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jc w:val="center"/>
        <w:rPr>
          <w:rFonts w:hint="eastAsia"/>
          <w:sz w:val="44"/>
          <w:szCs w:val="40"/>
        </w:rPr>
      </w:pPr>
      <w:bookmarkStart w:id="195" w:name="_GoBack"/>
      <w:bookmarkEnd w:id="195"/>
      <w:bookmarkStart w:id="0" w:name="_Toc18684"/>
      <w:bookmarkStart w:id="1" w:name="_Hlk23059675"/>
      <w:r>
        <w:rPr>
          <w:rFonts w:hint="eastAsia"/>
          <w:sz w:val="44"/>
          <w:szCs w:val="40"/>
          <w:lang w:val="zh-CN"/>
        </w:rPr>
        <w:t>曲靖市富源县富村镇大竹林水库</w:t>
      </w:r>
      <w:r>
        <w:rPr>
          <w:rFonts w:hint="eastAsia"/>
          <w:sz w:val="44"/>
          <w:szCs w:val="40"/>
        </w:rPr>
        <w:t>饮用水</w:t>
      </w:r>
    </w:p>
    <w:p>
      <w:pPr>
        <w:pStyle w:val="23"/>
        <w:jc w:val="center"/>
        <w:rPr>
          <w:sz w:val="44"/>
          <w:szCs w:val="40"/>
          <w:lang w:val="en-US"/>
        </w:rPr>
      </w:pPr>
      <w:r>
        <w:rPr>
          <w:rFonts w:hint="eastAsia"/>
          <w:sz w:val="44"/>
          <w:szCs w:val="40"/>
          <w:lang w:eastAsia="zh-CN"/>
        </w:rPr>
        <w:t>水</w:t>
      </w:r>
      <w:r>
        <w:rPr>
          <w:rFonts w:hint="eastAsia"/>
          <w:sz w:val="44"/>
          <w:szCs w:val="40"/>
        </w:rPr>
        <w:t>源保护区划分</w:t>
      </w:r>
      <w:r>
        <w:rPr>
          <w:rFonts w:hint="eastAsia"/>
          <w:sz w:val="44"/>
          <w:szCs w:val="40"/>
          <w:lang w:eastAsia="zh-CN"/>
        </w:rPr>
        <w:t>方案</w:t>
      </w:r>
      <w:bookmarkEnd w:id="0"/>
    </w:p>
    <w:p>
      <w:pPr>
        <w:ind w:firstLine="480"/>
        <w:jc w:val="center"/>
      </w:pPr>
      <w:r>
        <w:rPr>
          <w:rFonts w:hint="eastAsia" w:eastAsia="仿宋"/>
          <w:b/>
          <w:color w:val="0D0D0D" w:themeColor="text1" w:themeTint="F2"/>
          <w:sz w:val="36"/>
          <w:szCs w:val="36"/>
          <w14:textFill>
            <w14:solidFill>
              <w14:schemeClr w14:val="tx1">
                <w14:lumMod w14:val="95000"/>
                <w14:lumOff w14:val="5000"/>
              </w14:schemeClr>
            </w14:solidFill>
          </w14:textFill>
        </w:rPr>
        <w:t>（报批稿）</w:t>
      </w:r>
    </w:p>
    <w:p>
      <w:pPr>
        <w:pStyle w:val="2"/>
        <w:ind w:firstLine="420"/>
        <w:rPr>
          <w:rFonts w:hint="default"/>
        </w:rPr>
      </w:pPr>
    </w:p>
    <w:p>
      <w:pPr>
        <w:pStyle w:val="2"/>
        <w:ind w:firstLine="420"/>
        <w:rPr>
          <w:rFonts w:hint="default"/>
        </w:rPr>
      </w:pPr>
    </w:p>
    <w:p>
      <w:pPr>
        <w:pStyle w:val="2"/>
        <w:ind w:firstLine="420"/>
        <w:rPr>
          <w:rFonts w:hint="default"/>
        </w:rPr>
      </w:pPr>
    </w:p>
    <w:p>
      <w:pPr>
        <w:pStyle w:val="2"/>
        <w:ind w:firstLine="420"/>
        <w:rPr>
          <w:rFonts w:hint="default"/>
        </w:rPr>
      </w:pPr>
    </w:p>
    <w:p>
      <w:pPr>
        <w:pStyle w:val="2"/>
        <w:ind w:firstLine="420"/>
        <w:rPr>
          <w:rFonts w:hint="default"/>
        </w:rPr>
      </w:pPr>
    </w:p>
    <w:p>
      <w:pPr>
        <w:pStyle w:val="2"/>
        <w:ind w:firstLine="420"/>
        <w:rPr>
          <w:rFonts w:hint="default"/>
        </w:rPr>
      </w:pPr>
    </w:p>
    <w:p>
      <w:pPr>
        <w:pStyle w:val="2"/>
        <w:ind w:firstLine="420"/>
        <w:rPr>
          <w:rFonts w:hint="default"/>
        </w:rPr>
      </w:pPr>
    </w:p>
    <w:p>
      <w:pPr>
        <w:pStyle w:val="10"/>
        <w:snapToGrid w:val="0"/>
        <w:spacing w:after="0"/>
        <w:ind w:left="0" w:leftChars="0" w:firstLine="1686" w:firstLineChars="600"/>
        <w:rPr>
          <w:rFonts w:cs="Times New Roman"/>
          <w:b/>
          <w:sz w:val="28"/>
          <w:szCs w:val="28"/>
        </w:rPr>
      </w:pPr>
    </w:p>
    <w:p>
      <w:pPr>
        <w:pStyle w:val="10"/>
        <w:snapToGrid w:val="0"/>
        <w:spacing w:after="0"/>
        <w:ind w:left="0" w:leftChars="0" w:firstLine="1686" w:firstLineChars="600"/>
        <w:rPr>
          <w:rFonts w:cs="Times New Roman"/>
          <w:b/>
          <w:sz w:val="28"/>
          <w:szCs w:val="28"/>
        </w:rPr>
      </w:pPr>
    </w:p>
    <w:p>
      <w:pPr>
        <w:pStyle w:val="10"/>
        <w:snapToGrid w:val="0"/>
        <w:spacing w:after="0"/>
        <w:ind w:left="0" w:leftChars="0" w:firstLine="1686" w:firstLineChars="600"/>
        <w:rPr>
          <w:rFonts w:cs="Times New Roman"/>
          <w:b/>
          <w:sz w:val="28"/>
          <w:szCs w:val="28"/>
        </w:rPr>
      </w:pPr>
    </w:p>
    <w:p>
      <w:pPr>
        <w:pStyle w:val="10"/>
        <w:snapToGrid w:val="0"/>
        <w:spacing w:after="0"/>
        <w:ind w:left="0" w:leftChars="0" w:firstLine="1686" w:firstLineChars="600"/>
        <w:rPr>
          <w:rFonts w:cs="Times New Roman"/>
          <w:b/>
          <w:sz w:val="28"/>
          <w:szCs w:val="28"/>
        </w:rPr>
      </w:pPr>
    </w:p>
    <w:p>
      <w:pPr>
        <w:pStyle w:val="10"/>
        <w:snapToGrid w:val="0"/>
        <w:spacing w:after="0"/>
        <w:ind w:left="0" w:leftChars="0" w:firstLine="1686" w:firstLineChars="600"/>
        <w:rPr>
          <w:rFonts w:cs="Times New Roman"/>
          <w:b/>
          <w:sz w:val="28"/>
          <w:szCs w:val="28"/>
        </w:rPr>
      </w:pPr>
    </w:p>
    <w:p>
      <w:pPr>
        <w:pStyle w:val="10"/>
        <w:snapToGrid w:val="0"/>
        <w:spacing w:after="0"/>
        <w:ind w:left="0" w:leftChars="0" w:firstLine="1686" w:firstLineChars="600"/>
        <w:rPr>
          <w:rFonts w:cs="Times New Roman"/>
          <w:b/>
          <w:sz w:val="28"/>
          <w:szCs w:val="28"/>
        </w:rPr>
      </w:pPr>
    </w:p>
    <w:p>
      <w:pPr>
        <w:pStyle w:val="10"/>
        <w:snapToGrid w:val="0"/>
        <w:spacing w:after="0"/>
        <w:ind w:left="0" w:leftChars="0" w:firstLine="1686" w:firstLineChars="600"/>
        <w:rPr>
          <w:rFonts w:cs="Times New Roman"/>
          <w:b/>
          <w:sz w:val="28"/>
          <w:szCs w:val="28"/>
        </w:rPr>
      </w:pPr>
    </w:p>
    <w:p>
      <w:pPr>
        <w:pStyle w:val="10"/>
        <w:snapToGrid w:val="0"/>
        <w:spacing w:after="0"/>
        <w:ind w:left="0" w:leftChars="0" w:firstLine="1686" w:firstLineChars="600"/>
        <w:rPr>
          <w:rFonts w:cs="Times New Roman"/>
          <w:b/>
          <w:sz w:val="28"/>
          <w:szCs w:val="28"/>
        </w:rPr>
      </w:pPr>
    </w:p>
    <w:p>
      <w:pPr>
        <w:pStyle w:val="10"/>
        <w:snapToGrid w:val="0"/>
        <w:spacing w:after="0"/>
        <w:ind w:left="0" w:leftChars="0" w:firstLine="1686" w:firstLineChars="600"/>
        <w:rPr>
          <w:rFonts w:cs="Times New Roman"/>
          <w:b/>
          <w:sz w:val="28"/>
          <w:szCs w:val="28"/>
        </w:rPr>
      </w:pPr>
    </w:p>
    <w:p>
      <w:pPr>
        <w:pStyle w:val="10"/>
        <w:snapToGrid w:val="0"/>
        <w:spacing w:after="0"/>
        <w:ind w:left="0" w:leftChars="0" w:firstLine="1686" w:firstLineChars="600"/>
        <w:rPr>
          <w:rFonts w:hint="eastAsia" w:cs="Times New Roman"/>
          <w:b/>
          <w:sz w:val="28"/>
          <w:szCs w:val="28"/>
        </w:rPr>
      </w:pPr>
    </w:p>
    <w:bookmarkEnd w:id="1"/>
    <w:p>
      <w:pPr>
        <w:pStyle w:val="51"/>
        <w:spacing w:line="360" w:lineRule="auto"/>
        <w:ind w:firstLine="0" w:firstLineChars="0"/>
        <w:jc w:val="cente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pPr>
    </w:p>
    <w:p>
      <w:pPr>
        <w:pStyle w:val="51"/>
        <w:spacing w:line="360" w:lineRule="auto"/>
        <w:ind w:firstLine="0" w:firstLineChars="0"/>
        <w:jc w:val="cente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pPr>
    </w:p>
    <w:p>
      <w:pPr>
        <w:pStyle w:val="51"/>
        <w:spacing w:line="360" w:lineRule="auto"/>
        <w:ind w:firstLine="0" w:firstLineChars="0"/>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富源县人民政府</w:t>
      </w: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201</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9</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年12月</w:t>
      </w:r>
    </w:p>
    <w:p>
      <w:pPr>
        <w:pStyle w:val="2"/>
        <w:ind w:firstLine="562"/>
        <w:jc w:val="center"/>
        <w:rPr>
          <w:rFonts w:hint="default"/>
          <w:b/>
          <w:bCs/>
          <w:sz w:val="28"/>
          <w:szCs w:val="28"/>
        </w:rPr>
      </w:pPr>
    </w:p>
    <w:p>
      <w:pPr>
        <w:pStyle w:val="2"/>
        <w:ind w:firstLine="562"/>
        <w:jc w:val="center"/>
        <w:rPr>
          <w:rFonts w:hint="default"/>
          <w:b/>
          <w:bCs/>
          <w:sz w:val="28"/>
          <w:szCs w:val="28"/>
        </w:rPr>
      </w:pPr>
      <w:r>
        <w:rPr>
          <w:b/>
          <w:bCs/>
          <w:sz w:val="28"/>
          <w:szCs w:val="28"/>
        </w:rPr>
        <w:t>目录</w:t>
      </w:r>
    </w:p>
    <w:sdt>
      <w:sdtPr>
        <w:rPr>
          <w:rFonts w:ascii="宋体" w:hAnsi="宋体" w:cstheme="minorBidi"/>
          <w:kern w:val="2"/>
          <w:sz w:val="21"/>
          <w:szCs w:val="22"/>
        </w:rPr>
        <w:id w:val="-1436591917"/>
      </w:sdtPr>
      <w:sdtEndPr>
        <w:rPr>
          <w:rFonts w:ascii="Calibri" w:hAnsi="Calibri" w:cs="Times New Roman"/>
          <w:kern w:val="2"/>
          <w:sz w:val="21"/>
          <w:szCs w:val="22"/>
        </w:rPr>
      </w:sdtEndPr>
      <w:sdtContent>
        <w:p>
          <w:pPr>
            <w:pStyle w:val="47"/>
            <w:tabs>
              <w:tab w:val="right" w:leader="dot" w:pos="8306"/>
            </w:tabs>
            <w:spacing w:line="720" w:lineRule="auto"/>
            <w:rPr>
              <w:rFonts w:ascii="Calibri" w:hAnsi="Calibri" w:eastAsia="宋体" w:cs="Times New Roman"/>
              <w:lang w:val="en-US" w:eastAsia="zh-CN" w:bidi="ar-SA"/>
            </w:rPr>
          </w:pPr>
          <w:bookmarkStart w:id="2" w:name="_Toc23475_WPSOffice_Type1"/>
          <w:r>
            <w:rPr>
              <w:rFonts w:ascii="宋体" w:hAnsi="宋体" w:cstheme="minorBidi"/>
              <w:kern w:val="2"/>
              <w:sz w:val="21"/>
              <w:szCs w:val="22"/>
            </w:rPr>
            <w:fldChar w:fldCharType="begin"/>
          </w:r>
          <w:r>
            <w:rPr>
              <w:rFonts w:ascii="宋体" w:hAnsi="宋体" w:cstheme="minorBidi"/>
              <w:kern w:val="2"/>
              <w:sz w:val="21"/>
              <w:szCs w:val="22"/>
            </w:rPr>
            <w:instrText xml:space="preserve">TOC \o "1-3" \h \u </w:instrText>
          </w:r>
          <w:r>
            <w:rPr>
              <w:rFonts w:ascii="宋体" w:hAnsi="宋体" w:cstheme="minorBidi"/>
              <w:kern w:val="2"/>
              <w:sz w:val="21"/>
              <w:szCs w:val="22"/>
            </w:rPr>
            <w:fldChar w:fldCharType="separate"/>
          </w:r>
        </w:p>
        <w:p>
          <w:pPr>
            <w:pStyle w:val="18"/>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_Toc2597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第一章 总则</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_Toc2597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- 1 -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_Toc12666 </w:instrText>
          </w:r>
          <w:r>
            <w:rPr>
              <w:rFonts w:ascii="宋体" w:hAnsi="宋体" w:eastAsia="宋体" w:cstheme="minorBidi"/>
              <w:kern w:val="2"/>
              <w:szCs w:val="22"/>
              <w:lang w:val="en-US" w:eastAsia="zh-CN" w:bidi="ar-SA"/>
            </w:rPr>
            <w:fldChar w:fldCharType="separate"/>
          </w:r>
          <w:r>
            <w:rPr>
              <w:rFonts w:ascii="Calibri" w:hAnsi="Calibri" w:eastAsia="宋体" w:cs="Times New Roman"/>
              <w:lang w:val="en-US" w:eastAsia="zh-CN" w:bidi="ar-SA"/>
            </w:rPr>
            <w:t xml:space="preserve">1.1  </w:t>
          </w:r>
          <w:r>
            <w:rPr>
              <w:rFonts w:hint="eastAsia" w:ascii="Calibri" w:hAnsi="Calibri" w:eastAsia="宋体" w:cs="Times New Roman"/>
              <w:lang w:val="en-US" w:eastAsia="zh-CN" w:bidi="ar-SA"/>
            </w:rPr>
            <w:t>划分目的</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_Toc12666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- 1 -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_Toc19704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1</w:t>
          </w:r>
          <w:r>
            <w:rPr>
              <w:rFonts w:ascii="Calibri" w:hAnsi="Calibri" w:eastAsia="宋体" w:cs="Times New Roman"/>
              <w:lang w:val="en-US" w:eastAsia="zh-CN" w:bidi="ar-SA"/>
            </w:rPr>
            <w:t xml:space="preserve">.2  </w:t>
          </w:r>
          <w:r>
            <w:rPr>
              <w:rFonts w:hint="eastAsia" w:ascii="Calibri" w:hAnsi="Calibri" w:eastAsia="宋体" w:cs="Times New Roman"/>
              <w:lang w:val="en-US" w:eastAsia="zh-CN" w:bidi="ar-SA"/>
            </w:rPr>
            <w:t>划分依据</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_Toc19704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_Toc26553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1</w:t>
          </w:r>
          <w:r>
            <w:rPr>
              <w:rFonts w:ascii="Calibri" w:hAnsi="Calibri" w:eastAsia="宋体" w:cs="Times New Roman"/>
              <w:lang w:val="en-US" w:eastAsia="zh-CN" w:bidi="ar-SA"/>
            </w:rPr>
            <w:t xml:space="preserve">.2.1  </w:t>
          </w:r>
          <w:r>
            <w:rPr>
              <w:rFonts w:hint="eastAsia" w:ascii="Calibri" w:hAnsi="Calibri" w:eastAsia="宋体" w:cs="Times New Roman"/>
              <w:lang w:val="en-US" w:eastAsia="zh-CN" w:bidi="ar-SA"/>
            </w:rPr>
            <w:t>相关法律法规</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_Toc26553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_Toc10936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1</w:t>
          </w:r>
          <w:r>
            <w:rPr>
              <w:rFonts w:ascii="Calibri" w:hAnsi="Calibri" w:eastAsia="宋体" w:cs="Times New Roman"/>
              <w:lang w:val="en-US" w:eastAsia="zh-CN" w:bidi="ar-SA"/>
            </w:rPr>
            <w:t xml:space="preserve">.2.2  </w:t>
          </w:r>
          <w:r>
            <w:rPr>
              <w:rFonts w:hint="eastAsia" w:ascii="Calibri" w:hAnsi="Calibri" w:eastAsia="宋体" w:cs="Times New Roman"/>
              <w:lang w:val="en-US" w:eastAsia="zh-CN" w:bidi="ar-SA"/>
            </w:rPr>
            <w:t>相关规划</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_Toc10936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- 3 -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_Toc22308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1</w:t>
          </w:r>
          <w:r>
            <w:rPr>
              <w:rFonts w:ascii="Calibri" w:hAnsi="Calibri" w:eastAsia="宋体" w:cs="Times New Roman"/>
              <w:lang w:val="en-US" w:eastAsia="zh-CN" w:bidi="ar-SA"/>
            </w:rPr>
            <w:t xml:space="preserve">.3  </w:t>
          </w:r>
          <w:r>
            <w:rPr>
              <w:rFonts w:hint="eastAsia" w:ascii="Calibri" w:hAnsi="Calibri" w:eastAsia="宋体" w:cs="Times New Roman"/>
              <w:lang w:val="en-US" w:eastAsia="zh-CN" w:bidi="ar-SA"/>
            </w:rPr>
            <w:t>技术路线</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_Toc22308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- 3 -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_Toc9234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1</w:t>
          </w:r>
          <w:r>
            <w:rPr>
              <w:rFonts w:ascii="Calibri" w:hAnsi="Calibri" w:eastAsia="宋体" w:cs="Times New Roman"/>
              <w:lang w:val="en-US" w:eastAsia="zh-CN" w:bidi="ar-SA"/>
            </w:rPr>
            <w:t xml:space="preserve">.3.1  </w:t>
          </w:r>
          <w:r>
            <w:rPr>
              <w:rFonts w:hint="eastAsia" w:ascii="Calibri" w:hAnsi="Calibri" w:eastAsia="宋体" w:cs="Times New Roman"/>
              <w:lang w:val="en-US" w:eastAsia="zh-CN" w:bidi="ar-SA"/>
            </w:rPr>
            <w:t>技术步骤</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_Toc9234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- 3 -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_Toc28514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1</w:t>
          </w:r>
          <w:r>
            <w:rPr>
              <w:rFonts w:ascii="Calibri" w:hAnsi="Calibri" w:eastAsia="宋体" w:cs="Times New Roman"/>
              <w:lang w:val="en-US" w:eastAsia="zh-CN" w:bidi="ar-SA"/>
            </w:rPr>
            <w:t xml:space="preserve">.3.2  </w:t>
          </w:r>
          <w:r>
            <w:rPr>
              <w:rFonts w:hint="eastAsia" w:ascii="Calibri" w:hAnsi="Calibri" w:eastAsia="宋体" w:cs="Times New Roman"/>
              <w:lang w:val="en-US" w:eastAsia="zh-CN" w:bidi="ar-SA"/>
            </w:rPr>
            <w:t>调查方案</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_Toc28514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- 4 -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_Toc15642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1</w:t>
          </w:r>
          <w:r>
            <w:rPr>
              <w:rFonts w:ascii="Calibri" w:hAnsi="Calibri" w:eastAsia="宋体" w:cs="Times New Roman"/>
              <w:lang w:val="en-US" w:eastAsia="zh-CN" w:bidi="ar-SA"/>
            </w:rPr>
            <w:t xml:space="preserve">.3.3  </w:t>
          </w:r>
          <w:r>
            <w:rPr>
              <w:rFonts w:hint="eastAsia" w:ascii="Calibri" w:hAnsi="Calibri" w:eastAsia="宋体" w:cs="Times New Roman"/>
              <w:lang w:val="en-US" w:eastAsia="zh-CN" w:bidi="ar-SA"/>
            </w:rPr>
            <w:t>数据质量控制</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_Toc15642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- 5 -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8"/>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_Toc13104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第二章  区域自然环境和社会经济状况</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_Toc13104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- 6 -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_Toc10402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2</w:t>
          </w:r>
          <w:r>
            <w:rPr>
              <w:rFonts w:ascii="Calibri" w:hAnsi="Calibri" w:eastAsia="宋体" w:cs="Times New Roman"/>
              <w:lang w:val="en-US" w:eastAsia="zh-CN" w:bidi="ar-SA"/>
            </w:rPr>
            <w:t xml:space="preserve">.1  </w:t>
          </w:r>
          <w:r>
            <w:rPr>
              <w:rFonts w:hint="eastAsia" w:ascii="Calibri" w:hAnsi="Calibri" w:eastAsia="宋体" w:cs="Times New Roman"/>
              <w:lang w:val="en-US" w:eastAsia="zh-CN" w:bidi="ar-SA"/>
            </w:rPr>
            <w:t>自然环境状况</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_Toc10402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- 6 -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_Toc8416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2</w:t>
          </w:r>
          <w:r>
            <w:rPr>
              <w:rFonts w:ascii="Calibri" w:hAnsi="Calibri" w:eastAsia="宋体" w:cs="Times New Roman"/>
              <w:lang w:val="en-US" w:eastAsia="zh-CN" w:bidi="ar-SA"/>
            </w:rPr>
            <w:t xml:space="preserve">.1.1  </w:t>
          </w:r>
          <w:r>
            <w:rPr>
              <w:rFonts w:hint="eastAsia" w:ascii="Calibri" w:hAnsi="Calibri" w:eastAsia="宋体" w:cs="Times New Roman"/>
              <w:lang w:val="en-US" w:eastAsia="zh-CN" w:bidi="ar-SA"/>
            </w:rPr>
            <w:t>地理位置</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_Toc8416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- 6 -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_Toc20314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2</w:t>
          </w:r>
          <w:r>
            <w:rPr>
              <w:rFonts w:ascii="Calibri" w:hAnsi="Calibri" w:eastAsia="宋体" w:cs="Times New Roman"/>
              <w:lang w:val="en-US" w:eastAsia="zh-CN" w:bidi="ar-SA"/>
            </w:rPr>
            <w:t xml:space="preserve">.1.2  </w:t>
          </w:r>
          <w:r>
            <w:rPr>
              <w:rFonts w:hint="eastAsia" w:ascii="Calibri" w:hAnsi="Calibri" w:eastAsia="宋体" w:cs="Times New Roman"/>
              <w:lang w:val="en-US" w:eastAsia="zh-CN" w:bidi="ar-SA"/>
            </w:rPr>
            <w:t>地质地貌</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_Toc20314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- 6 -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_Toc23418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2</w:t>
          </w:r>
          <w:r>
            <w:rPr>
              <w:rFonts w:ascii="Calibri" w:hAnsi="Calibri" w:eastAsia="宋体" w:cs="Times New Roman"/>
              <w:lang w:val="en-US" w:eastAsia="zh-CN" w:bidi="ar-SA"/>
            </w:rPr>
            <w:t xml:space="preserve">.1.3  </w:t>
          </w:r>
          <w:r>
            <w:rPr>
              <w:rFonts w:hint="eastAsia" w:ascii="Calibri" w:hAnsi="Calibri" w:eastAsia="宋体" w:cs="Times New Roman"/>
              <w:lang w:val="en-US" w:eastAsia="zh-CN" w:bidi="ar-SA"/>
            </w:rPr>
            <w:t>气候气象</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_Toc23418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- 6 -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_Toc6365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2</w:t>
          </w:r>
          <w:r>
            <w:rPr>
              <w:rFonts w:ascii="Calibri" w:hAnsi="Calibri" w:eastAsia="宋体" w:cs="Times New Roman"/>
              <w:lang w:val="en-US" w:eastAsia="zh-CN" w:bidi="ar-SA"/>
            </w:rPr>
            <w:t xml:space="preserve">.1.4  </w:t>
          </w:r>
          <w:r>
            <w:rPr>
              <w:rFonts w:hint="eastAsia" w:ascii="Calibri" w:hAnsi="Calibri" w:eastAsia="宋体" w:cs="Times New Roman"/>
              <w:lang w:val="en-US" w:eastAsia="zh-CN" w:bidi="ar-SA"/>
            </w:rPr>
            <w:t>土壤状况</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_Toc6365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- 6 -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_Toc543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2</w:t>
          </w:r>
          <w:r>
            <w:rPr>
              <w:rFonts w:ascii="Calibri" w:hAnsi="Calibri" w:eastAsia="宋体" w:cs="Times New Roman"/>
              <w:lang w:val="en-US" w:eastAsia="zh-CN" w:bidi="ar-SA"/>
            </w:rPr>
            <w:t xml:space="preserve">.1.5  </w:t>
          </w:r>
          <w:r>
            <w:rPr>
              <w:rFonts w:hint="eastAsia" w:ascii="Calibri" w:hAnsi="Calibri" w:eastAsia="宋体" w:cs="Times New Roman"/>
              <w:lang w:val="en-US" w:eastAsia="zh-CN" w:bidi="ar-SA"/>
            </w:rPr>
            <w:t>植被资源</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_Toc543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- 7 -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_Toc19976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2</w:t>
          </w:r>
          <w:r>
            <w:rPr>
              <w:rFonts w:ascii="Calibri" w:hAnsi="Calibri" w:eastAsia="宋体" w:cs="Times New Roman"/>
              <w:lang w:val="en-US" w:eastAsia="zh-CN" w:bidi="ar-SA"/>
            </w:rPr>
            <w:t xml:space="preserve">.1.6  </w:t>
          </w:r>
          <w:r>
            <w:rPr>
              <w:rFonts w:hint="eastAsia" w:ascii="Calibri" w:hAnsi="Calibri" w:eastAsia="宋体" w:cs="Times New Roman"/>
              <w:lang w:val="en-US" w:eastAsia="zh-CN" w:bidi="ar-SA"/>
            </w:rPr>
            <w:t>水文水系</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_Toc19976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- 8 -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_Toc20330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2</w:t>
          </w:r>
          <w:r>
            <w:rPr>
              <w:rFonts w:ascii="Calibri" w:hAnsi="Calibri" w:eastAsia="宋体" w:cs="Times New Roman"/>
              <w:lang w:val="en-US" w:eastAsia="zh-CN" w:bidi="ar-SA"/>
            </w:rPr>
            <w:t xml:space="preserve">.2  </w:t>
          </w:r>
          <w:r>
            <w:rPr>
              <w:rFonts w:hint="eastAsia" w:ascii="Calibri" w:hAnsi="Calibri" w:eastAsia="宋体" w:cs="Times New Roman"/>
              <w:lang w:val="en-US" w:eastAsia="zh-CN" w:bidi="ar-SA"/>
            </w:rPr>
            <w:t>社会经济状况</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_Toc20330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- 9 -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_Toc26466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2</w:t>
          </w:r>
          <w:r>
            <w:rPr>
              <w:rFonts w:ascii="Calibri" w:hAnsi="Calibri" w:eastAsia="宋体" w:cs="Times New Roman"/>
              <w:lang w:val="en-US" w:eastAsia="zh-CN" w:bidi="ar-SA"/>
            </w:rPr>
            <w:t xml:space="preserve">.2.1  </w:t>
          </w:r>
          <w:r>
            <w:rPr>
              <w:rFonts w:hint="eastAsia" w:ascii="Calibri" w:hAnsi="Calibri" w:eastAsia="宋体" w:cs="Times New Roman"/>
              <w:lang w:val="en-US" w:eastAsia="zh-CN" w:bidi="ar-SA"/>
            </w:rPr>
            <w:t>行政区划</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_Toc26466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- 9 -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_Toc10454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2</w:t>
          </w:r>
          <w:r>
            <w:rPr>
              <w:rFonts w:ascii="Calibri" w:hAnsi="Calibri" w:eastAsia="宋体" w:cs="Times New Roman"/>
              <w:lang w:val="en-US" w:eastAsia="zh-CN" w:bidi="ar-SA"/>
            </w:rPr>
            <w:t xml:space="preserve">.2.2  </w:t>
          </w:r>
          <w:r>
            <w:rPr>
              <w:rFonts w:hint="eastAsia" w:ascii="Calibri" w:hAnsi="Calibri" w:eastAsia="宋体" w:cs="Times New Roman"/>
              <w:lang w:val="en-US" w:eastAsia="zh-CN" w:bidi="ar-SA"/>
            </w:rPr>
            <w:t>人口状况</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_Toc10454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- 9 -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_Toc28499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2</w:t>
          </w:r>
          <w:r>
            <w:rPr>
              <w:rFonts w:ascii="Calibri" w:hAnsi="Calibri" w:eastAsia="宋体" w:cs="Times New Roman"/>
              <w:lang w:val="en-US" w:eastAsia="zh-CN" w:bidi="ar-SA"/>
            </w:rPr>
            <w:t xml:space="preserve">.2.3  </w:t>
          </w:r>
          <w:r>
            <w:rPr>
              <w:rFonts w:hint="eastAsia" w:ascii="Calibri" w:hAnsi="Calibri" w:eastAsia="宋体" w:cs="Times New Roman"/>
              <w:lang w:val="en-US" w:eastAsia="zh-CN" w:bidi="ar-SA"/>
            </w:rPr>
            <w:t>经济发展状况</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_Toc28499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- 10 -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_Toc18048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2</w:t>
          </w:r>
          <w:r>
            <w:rPr>
              <w:rFonts w:ascii="Calibri" w:hAnsi="Calibri" w:eastAsia="宋体" w:cs="Times New Roman"/>
              <w:lang w:val="en-US" w:eastAsia="zh-CN" w:bidi="ar-SA"/>
            </w:rPr>
            <w:t xml:space="preserve">.3  </w:t>
          </w:r>
          <w:r>
            <w:rPr>
              <w:rFonts w:hint="eastAsia" w:ascii="Calibri" w:hAnsi="Calibri" w:eastAsia="宋体" w:cs="Times New Roman"/>
              <w:lang w:val="en-US" w:eastAsia="zh-CN" w:bidi="ar-SA"/>
            </w:rPr>
            <w:t>土地使用现状</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_Toc18048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- 12 -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_Toc8059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2</w:t>
          </w:r>
          <w:r>
            <w:rPr>
              <w:rFonts w:ascii="Calibri" w:hAnsi="Calibri" w:eastAsia="宋体" w:cs="Times New Roman"/>
              <w:lang w:val="en-US" w:eastAsia="zh-CN" w:bidi="ar-SA"/>
            </w:rPr>
            <w:t xml:space="preserve">.4  </w:t>
          </w:r>
          <w:r>
            <w:rPr>
              <w:rFonts w:hint="eastAsia" w:ascii="Calibri" w:hAnsi="Calibri" w:eastAsia="宋体" w:cs="Times New Roman"/>
              <w:lang w:val="en-US" w:eastAsia="zh-CN" w:bidi="ar-SA"/>
            </w:rPr>
            <w:t>规划现状</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_Toc8059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- 14 -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8"/>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_Toc7607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 xml:space="preserve">第三章 </w:t>
          </w:r>
          <w:r>
            <w:rPr>
              <w:rFonts w:ascii="Calibri" w:hAnsi="Calibri" w:eastAsia="宋体" w:cs="Times New Roman"/>
              <w:lang w:val="en-US" w:eastAsia="zh-CN" w:bidi="ar-SA"/>
            </w:rPr>
            <w:t xml:space="preserve"> </w:t>
          </w:r>
          <w:r>
            <w:rPr>
              <w:rFonts w:hint="eastAsia" w:ascii="Calibri" w:hAnsi="Calibri" w:eastAsia="宋体" w:cs="Times New Roman"/>
              <w:lang w:val="en-US" w:eastAsia="zh-CN" w:bidi="ar-SA"/>
            </w:rPr>
            <w:t>水源地基础环境质量</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_Toc7607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- 14 -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_Toc22895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3</w:t>
          </w:r>
          <w:r>
            <w:rPr>
              <w:rFonts w:ascii="Calibri" w:hAnsi="Calibri" w:eastAsia="宋体" w:cs="Times New Roman"/>
              <w:lang w:val="en-US" w:eastAsia="zh-CN" w:bidi="ar-SA"/>
            </w:rPr>
            <w:t xml:space="preserve">.1  </w:t>
          </w:r>
          <w:r>
            <w:rPr>
              <w:rFonts w:hint="eastAsia" w:ascii="Calibri" w:hAnsi="Calibri" w:eastAsia="宋体" w:cs="Times New Roman"/>
              <w:lang w:val="en-US" w:eastAsia="zh-CN" w:bidi="ar-SA"/>
            </w:rPr>
            <w:t>饮用水源地现状</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_Toc22895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- 15 -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_Toc19760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3</w:t>
          </w:r>
          <w:r>
            <w:rPr>
              <w:rFonts w:ascii="Calibri" w:hAnsi="Calibri" w:eastAsia="宋体" w:cs="Times New Roman"/>
              <w:lang w:val="en-US" w:eastAsia="zh-CN" w:bidi="ar-SA"/>
            </w:rPr>
            <w:t xml:space="preserve">.2  </w:t>
          </w:r>
          <w:r>
            <w:rPr>
              <w:rFonts w:hint="eastAsia" w:ascii="Calibri" w:hAnsi="Calibri" w:eastAsia="宋体" w:cs="Times New Roman"/>
              <w:lang w:val="en-US" w:eastAsia="zh-CN" w:bidi="ar-SA"/>
            </w:rPr>
            <w:t>饮用水源地水质评价</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_Toc19760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- 16 -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_Toc24223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3</w:t>
          </w:r>
          <w:r>
            <w:rPr>
              <w:rFonts w:ascii="Calibri" w:hAnsi="Calibri" w:eastAsia="宋体" w:cs="Times New Roman"/>
              <w:lang w:val="en-US" w:eastAsia="zh-CN" w:bidi="ar-SA"/>
            </w:rPr>
            <w:t xml:space="preserve">.3  </w:t>
          </w:r>
          <w:r>
            <w:rPr>
              <w:rFonts w:hint="eastAsia" w:ascii="Calibri" w:hAnsi="Calibri" w:eastAsia="宋体" w:cs="Times New Roman"/>
              <w:lang w:val="en-US" w:eastAsia="zh-CN" w:bidi="ar-SA"/>
            </w:rPr>
            <w:t>饮用水源地周边及上游污染源调查</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_Toc24223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- 16 -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_Toc32745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3</w:t>
          </w:r>
          <w:r>
            <w:rPr>
              <w:rFonts w:ascii="Calibri" w:hAnsi="Calibri" w:eastAsia="宋体" w:cs="Times New Roman"/>
              <w:lang w:val="en-US" w:eastAsia="zh-CN" w:bidi="ar-SA"/>
            </w:rPr>
            <w:t xml:space="preserve">.4  </w:t>
          </w:r>
          <w:r>
            <w:rPr>
              <w:rFonts w:hint="eastAsia" w:ascii="Calibri" w:hAnsi="Calibri" w:eastAsia="宋体" w:cs="Times New Roman"/>
              <w:lang w:val="en-US" w:eastAsia="zh-CN" w:bidi="ar-SA"/>
            </w:rPr>
            <w:t>饮用水水源地水环境风险分析</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_Toc32745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- 18 -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8"/>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_Toc2106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 xml:space="preserve">第四章 </w:t>
          </w:r>
          <w:r>
            <w:rPr>
              <w:rFonts w:ascii="Calibri" w:hAnsi="Calibri" w:eastAsia="宋体" w:cs="Times New Roman"/>
              <w:lang w:val="en-US" w:eastAsia="zh-CN" w:bidi="ar-SA"/>
            </w:rPr>
            <w:t xml:space="preserve"> </w:t>
          </w:r>
          <w:r>
            <w:rPr>
              <w:rFonts w:hint="eastAsia" w:ascii="Calibri" w:hAnsi="Calibri" w:eastAsia="宋体" w:cs="Times New Roman"/>
              <w:lang w:val="en-US" w:eastAsia="zh-CN" w:bidi="ar-SA"/>
            </w:rPr>
            <w:t>保护区划分与定界</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_Toc2106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- 18 -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_Toc9201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4</w:t>
          </w:r>
          <w:r>
            <w:rPr>
              <w:rFonts w:ascii="Calibri" w:hAnsi="Calibri" w:eastAsia="宋体" w:cs="Times New Roman"/>
              <w:lang w:val="en-US" w:eastAsia="zh-CN" w:bidi="ar-SA"/>
            </w:rPr>
            <w:t xml:space="preserve">.1  </w:t>
          </w:r>
          <w:r>
            <w:rPr>
              <w:rFonts w:hint="eastAsia" w:ascii="Calibri" w:hAnsi="Calibri" w:eastAsia="宋体" w:cs="Times New Roman"/>
              <w:lang w:val="en-US" w:eastAsia="zh-CN" w:bidi="ar-SA"/>
            </w:rPr>
            <w:t>水环境功能</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_Toc9201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- 19 -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_Toc1852 </w:instrText>
          </w:r>
          <w:r>
            <w:rPr>
              <w:rFonts w:ascii="宋体" w:hAnsi="宋体" w:eastAsia="宋体" w:cstheme="minorBidi"/>
              <w:kern w:val="2"/>
              <w:szCs w:val="22"/>
              <w:lang w:val="en-US" w:eastAsia="zh-CN" w:bidi="ar-SA"/>
            </w:rPr>
            <w:fldChar w:fldCharType="separate"/>
          </w:r>
          <w:r>
            <w:rPr>
              <w:rFonts w:ascii="Calibri" w:hAnsi="Calibri" w:eastAsia="宋体" w:cs="Times New Roman"/>
              <w:lang w:val="en-US" w:eastAsia="zh-CN" w:bidi="ar-SA"/>
            </w:rPr>
            <w:t>4.2  保护区划分原则</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_Toc1852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- 19 -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_Toc31927 </w:instrText>
          </w:r>
          <w:r>
            <w:rPr>
              <w:rFonts w:ascii="宋体" w:hAnsi="宋体" w:eastAsia="宋体" w:cstheme="minorBidi"/>
              <w:kern w:val="2"/>
              <w:szCs w:val="22"/>
              <w:lang w:val="en-US" w:eastAsia="zh-CN" w:bidi="ar-SA"/>
            </w:rPr>
            <w:fldChar w:fldCharType="separate"/>
          </w:r>
          <w:r>
            <w:rPr>
              <w:rFonts w:ascii="Calibri" w:hAnsi="Calibri" w:eastAsia="宋体" w:cs="Times New Roman"/>
              <w:lang w:val="en-US" w:eastAsia="zh-CN" w:bidi="ar-SA"/>
            </w:rPr>
            <w:t>4.3  划分方案</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_Toc31927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- 19 -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_Toc13854 </w:instrText>
          </w:r>
          <w:r>
            <w:rPr>
              <w:rFonts w:ascii="宋体" w:hAnsi="宋体" w:eastAsia="宋体" w:cstheme="minorBidi"/>
              <w:kern w:val="2"/>
              <w:szCs w:val="22"/>
              <w:lang w:val="en-US" w:eastAsia="zh-CN" w:bidi="ar-SA"/>
            </w:rPr>
            <w:fldChar w:fldCharType="separate"/>
          </w:r>
          <w:r>
            <w:rPr>
              <w:rFonts w:ascii="Calibri" w:hAnsi="Calibri" w:eastAsia="宋体" w:cs="Times New Roman"/>
              <w:lang w:val="en-US" w:eastAsia="zh-CN" w:bidi="ar-SA"/>
            </w:rPr>
            <w:t>4.3.1  一级保护区划分方案</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_Toc13854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- 20 -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_Toc5265 </w:instrText>
          </w:r>
          <w:r>
            <w:rPr>
              <w:rFonts w:ascii="宋体" w:hAnsi="宋体" w:eastAsia="宋体" w:cstheme="minorBidi"/>
              <w:kern w:val="2"/>
              <w:szCs w:val="22"/>
              <w:lang w:val="en-US" w:eastAsia="zh-CN" w:bidi="ar-SA"/>
            </w:rPr>
            <w:fldChar w:fldCharType="separate"/>
          </w:r>
          <w:r>
            <w:rPr>
              <w:rFonts w:ascii="Calibri" w:hAnsi="Calibri" w:eastAsia="宋体" w:cs="Times New Roman"/>
              <w:lang w:val="en-US" w:eastAsia="zh-CN" w:bidi="ar-SA"/>
            </w:rPr>
            <w:t>4.3.2  二级保护区划分方案</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_Toc5265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- 20 -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_Toc4276 </w:instrText>
          </w:r>
          <w:r>
            <w:rPr>
              <w:rFonts w:ascii="宋体" w:hAnsi="宋体" w:eastAsia="宋体" w:cstheme="minorBidi"/>
              <w:kern w:val="2"/>
              <w:szCs w:val="22"/>
              <w:lang w:val="en-US" w:eastAsia="zh-CN" w:bidi="ar-SA"/>
            </w:rPr>
            <w:fldChar w:fldCharType="separate"/>
          </w:r>
          <w:r>
            <w:rPr>
              <w:rFonts w:ascii="Calibri" w:hAnsi="Calibri" w:eastAsia="宋体" w:cs="Times New Roman"/>
              <w:lang w:val="en-US" w:eastAsia="zh-CN" w:bidi="ar-SA"/>
            </w:rPr>
            <w:t>4.4  保护区定界方案和技术说明</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_Toc4276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- 20 -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_Toc28554 </w:instrText>
          </w:r>
          <w:r>
            <w:rPr>
              <w:rFonts w:ascii="宋体" w:hAnsi="宋体" w:eastAsia="宋体" w:cstheme="minorBidi"/>
              <w:kern w:val="2"/>
              <w:szCs w:val="22"/>
              <w:lang w:val="en-US" w:eastAsia="zh-CN" w:bidi="ar-SA"/>
            </w:rPr>
            <w:fldChar w:fldCharType="separate"/>
          </w:r>
          <w:r>
            <w:rPr>
              <w:rFonts w:ascii="Calibri" w:hAnsi="Calibri" w:eastAsia="宋体" w:cs="Times New Roman"/>
              <w:lang w:val="en-US" w:eastAsia="zh-CN" w:bidi="ar-SA"/>
            </w:rPr>
            <w:t>4.4.1  一级保护区定界方案</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_Toc28554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- 20 -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_Toc19513 </w:instrText>
          </w:r>
          <w:r>
            <w:rPr>
              <w:rFonts w:ascii="宋体" w:hAnsi="宋体" w:eastAsia="宋体" w:cstheme="minorBidi"/>
              <w:kern w:val="2"/>
              <w:szCs w:val="22"/>
              <w:lang w:val="en-US" w:eastAsia="zh-CN" w:bidi="ar-SA"/>
            </w:rPr>
            <w:fldChar w:fldCharType="separate"/>
          </w:r>
          <w:r>
            <w:rPr>
              <w:rFonts w:ascii="Calibri" w:hAnsi="Calibri" w:eastAsia="宋体" w:cs="Times New Roman"/>
              <w:lang w:val="en-US" w:eastAsia="zh-CN" w:bidi="ar-SA"/>
            </w:rPr>
            <w:t>4.4.2  二级保护区定界方案</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_Toc19513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- 21 -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_Toc12747 </w:instrText>
          </w:r>
          <w:r>
            <w:rPr>
              <w:rFonts w:ascii="宋体" w:hAnsi="宋体" w:eastAsia="宋体" w:cstheme="minorBidi"/>
              <w:kern w:val="2"/>
              <w:szCs w:val="22"/>
              <w:lang w:val="en-US" w:eastAsia="zh-CN" w:bidi="ar-SA"/>
            </w:rPr>
            <w:fldChar w:fldCharType="separate"/>
          </w:r>
          <w:r>
            <w:rPr>
              <w:rFonts w:ascii="Calibri" w:hAnsi="Calibri" w:eastAsia="宋体" w:cs="Times New Roman"/>
              <w:lang w:val="en-US" w:eastAsia="zh-CN" w:bidi="ar-SA"/>
            </w:rPr>
            <w:t>4.5  保护区内土地利用现状</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_Toc12747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- 22 -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8"/>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_Toc6309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 xml:space="preserve">第五章 </w:t>
          </w:r>
          <w:r>
            <w:rPr>
              <w:rFonts w:ascii="Calibri" w:hAnsi="Calibri" w:eastAsia="宋体" w:cs="Times New Roman"/>
              <w:lang w:val="en-US" w:eastAsia="zh-CN" w:bidi="ar-SA"/>
            </w:rPr>
            <w:t xml:space="preserve"> </w:t>
          </w:r>
          <w:r>
            <w:rPr>
              <w:rFonts w:hint="eastAsia" w:ascii="Calibri" w:hAnsi="Calibri" w:eastAsia="宋体" w:cs="Times New Roman"/>
              <w:lang w:val="en-US" w:eastAsia="zh-CN" w:bidi="ar-SA"/>
            </w:rPr>
            <w:t>保护区规范化建设与管理要求</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_Toc6309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- 23 -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_Toc15892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5</w:t>
          </w:r>
          <w:r>
            <w:rPr>
              <w:rFonts w:ascii="Calibri" w:hAnsi="Calibri" w:eastAsia="宋体" w:cs="Times New Roman"/>
              <w:lang w:val="en-US" w:eastAsia="zh-CN" w:bidi="ar-SA"/>
            </w:rPr>
            <w:t xml:space="preserve">.1  </w:t>
          </w:r>
          <w:r>
            <w:rPr>
              <w:rFonts w:hint="eastAsia" w:ascii="Calibri" w:hAnsi="Calibri" w:eastAsia="宋体" w:cs="Times New Roman"/>
              <w:lang w:val="en-US" w:eastAsia="zh-CN" w:bidi="ar-SA"/>
            </w:rPr>
            <w:t>法律法规体系建设</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_Toc15892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- 24 -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_Toc7611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5</w:t>
          </w:r>
          <w:r>
            <w:rPr>
              <w:rFonts w:ascii="Calibri" w:hAnsi="Calibri" w:eastAsia="宋体" w:cs="Times New Roman"/>
              <w:lang w:val="en-US" w:eastAsia="zh-CN" w:bidi="ar-SA"/>
            </w:rPr>
            <w:t xml:space="preserve">.2  </w:t>
          </w:r>
          <w:r>
            <w:rPr>
              <w:rFonts w:hint="eastAsia" w:ascii="Calibri" w:hAnsi="Calibri" w:eastAsia="宋体" w:cs="Times New Roman"/>
              <w:lang w:val="en-US" w:eastAsia="zh-CN" w:bidi="ar-SA"/>
            </w:rPr>
            <w:t>监测能力建设</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_Toc7611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- 24 -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_Toc13595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5</w:t>
          </w:r>
          <w:r>
            <w:rPr>
              <w:rFonts w:ascii="Calibri" w:hAnsi="Calibri" w:eastAsia="宋体" w:cs="Times New Roman"/>
              <w:lang w:val="en-US" w:eastAsia="zh-CN" w:bidi="ar-SA"/>
            </w:rPr>
            <w:t xml:space="preserve">.3  </w:t>
          </w:r>
          <w:r>
            <w:rPr>
              <w:rFonts w:hint="eastAsia" w:ascii="Calibri" w:hAnsi="Calibri" w:eastAsia="宋体" w:cs="Times New Roman"/>
              <w:lang w:val="en-US" w:eastAsia="zh-CN" w:bidi="ar-SA"/>
            </w:rPr>
            <w:t>治理方面措施</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_Toc13595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- 24 -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_Toc6510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5</w:t>
          </w:r>
          <w:r>
            <w:rPr>
              <w:rFonts w:ascii="Calibri" w:hAnsi="Calibri" w:eastAsia="宋体" w:cs="Times New Roman"/>
              <w:lang w:val="en-US" w:eastAsia="zh-CN" w:bidi="ar-SA"/>
            </w:rPr>
            <w:t xml:space="preserve">.4  </w:t>
          </w:r>
          <w:r>
            <w:rPr>
              <w:rFonts w:hint="eastAsia" w:ascii="Calibri" w:hAnsi="Calibri" w:eastAsia="宋体" w:cs="Times New Roman"/>
              <w:lang w:val="en-US" w:eastAsia="zh-CN" w:bidi="ar-SA"/>
            </w:rPr>
            <w:t>环境管理措施</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_Toc6510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- 25 -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_Toc17615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5</w:t>
          </w:r>
          <w:r>
            <w:rPr>
              <w:rFonts w:ascii="Calibri" w:hAnsi="Calibri" w:eastAsia="宋体" w:cs="Times New Roman"/>
              <w:lang w:val="en-US" w:eastAsia="zh-CN" w:bidi="ar-SA"/>
            </w:rPr>
            <w:t xml:space="preserve">.5  </w:t>
          </w:r>
          <w:r>
            <w:rPr>
              <w:rFonts w:hint="eastAsia" w:ascii="Calibri" w:hAnsi="Calibri" w:eastAsia="宋体" w:cs="Times New Roman"/>
              <w:lang w:val="en-US" w:eastAsia="zh-CN" w:bidi="ar-SA"/>
            </w:rPr>
            <w:t>制度管理措施</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_Toc17615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- 25 -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_Toc29328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5</w:t>
          </w:r>
          <w:r>
            <w:rPr>
              <w:rFonts w:ascii="Calibri" w:hAnsi="Calibri" w:eastAsia="宋体" w:cs="Times New Roman"/>
              <w:lang w:val="en-US" w:eastAsia="zh-CN" w:bidi="ar-SA"/>
            </w:rPr>
            <w:t xml:space="preserve">.6  </w:t>
          </w:r>
          <w:r>
            <w:rPr>
              <w:rFonts w:hint="eastAsia" w:ascii="Calibri" w:hAnsi="Calibri" w:eastAsia="宋体" w:cs="Times New Roman"/>
              <w:lang w:val="en-US" w:eastAsia="zh-CN" w:bidi="ar-SA"/>
            </w:rPr>
            <w:t>保护区管理措施</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_Toc29328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- 25 -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_Toc28369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5</w:t>
          </w:r>
          <w:r>
            <w:rPr>
              <w:rFonts w:ascii="Calibri" w:hAnsi="Calibri" w:eastAsia="宋体" w:cs="Times New Roman"/>
              <w:lang w:val="en-US" w:eastAsia="zh-CN" w:bidi="ar-SA"/>
            </w:rPr>
            <w:t xml:space="preserve">.7  </w:t>
          </w:r>
          <w:r>
            <w:rPr>
              <w:rFonts w:hint="eastAsia" w:ascii="Calibri" w:hAnsi="Calibri" w:eastAsia="宋体" w:cs="Times New Roman"/>
              <w:lang w:val="en-US" w:eastAsia="zh-CN" w:bidi="ar-SA"/>
            </w:rPr>
            <w:t>保护区建设投资估算</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_Toc28369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- 26 -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_Toc27119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5</w:t>
          </w:r>
          <w:r>
            <w:rPr>
              <w:rFonts w:ascii="Calibri" w:hAnsi="Calibri" w:eastAsia="宋体" w:cs="Times New Roman"/>
              <w:lang w:val="en-US" w:eastAsia="zh-CN" w:bidi="ar-SA"/>
            </w:rPr>
            <w:t>.7</w:t>
          </w:r>
          <w:r>
            <w:rPr>
              <w:rFonts w:hint="eastAsia" w:ascii="Calibri" w:hAnsi="Calibri" w:eastAsia="宋体" w:cs="Times New Roman"/>
              <w:lang w:val="en-US" w:eastAsia="zh-CN" w:bidi="ar-SA"/>
            </w:rPr>
            <w:t>.1</w:t>
          </w:r>
          <w:r>
            <w:rPr>
              <w:rFonts w:ascii="Calibri" w:hAnsi="Calibri" w:eastAsia="宋体" w:cs="Times New Roman"/>
              <w:lang w:val="en-US" w:eastAsia="zh-CN" w:bidi="ar-SA"/>
            </w:rPr>
            <w:t xml:space="preserve">  </w:t>
          </w:r>
          <w:r>
            <w:rPr>
              <w:rFonts w:ascii="Calibri" w:hAnsi="Calibri" w:eastAsia="宋体" w:cs="Times New Roman"/>
              <w:shd w:val="clear" w:color="auto" w:fill="FFFFFF"/>
              <w:lang w:val="en-US" w:eastAsia="zh-CN" w:bidi="ar-SA"/>
            </w:rPr>
            <w:t>保护标志投资</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_Toc27119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- 26 -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_Toc26534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5</w:t>
          </w:r>
          <w:r>
            <w:rPr>
              <w:rFonts w:ascii="Calibri" w:hAnsi="Calibri" w:eastAsia="宋体" w:cs="Times New Roman"/>
              <w:lang w:val="en-US" w:eastAsia="zh-CN" w:bidi="ar-SA"/>
            </w:rPr>
            <w:t>.7</w:t>
          </w:r>
          <w:r>
            <w:rPr>
              <w:rFonts w:hint="eastAsia" w:ascii="Calibri" w:hAnsi="Calibri" w:eastAsia="宋体" w:cs="Times New Roman"/>
              <w:lang w:val="en-US" w:eastAsia="zh-CN" w:bidi="ar-SA"/>
            </w:rPr>
            <w:t>.2</w:t>
          </w:r>
          <w:r>
            <w:rPr>
              <w:rFonts w:ascii="Calibri" w:hAnsi="Calibri" w:eastAsia="宋体" w:cs="Times New Roman"/>
              <w:lang w:val="en-US" w:eastAsia="zh-CN" w:bidi="ar-SA"/>
            </w:rPr>
            <w:t xml:space="preserve">  </w:t>
          </w:r>
          <w:r>
            <w:rPr>
              <w:rFonts w:ascii="Calibri" w:hAnsi="Calibri" w:eastAsia="宋体" w:cs="Times New Roman"/>
              <w:shd w:val="clear" w:color="auto" w:fill="FFFFFF"/>
              <w:lang w:val="en-US" w:eastAsia="zh-CN" w:bidi="ar-SA"/>
            </w:rPr>
            <w:t>保护隔离防护投资</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_Toc26534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- 27 -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_Toc9536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5</w:t>
          </w:r>
          <w:r>
            <w:rPr>
              <w:rFonts w:ascii="Calibri" w:hAnsi="Calibri" w:eastAsia="宋体" w:cs="Times New Roman"/>
              <w:lang w:val="en-US" w:eastAsia="zh-CN" w:bidi="ar-SA"/>
            </w:rPr>
            <w:t>.7</w:t>
          </w:r>
          <w:r>
            <w:rPr>
              <w:rFonts w:hint="eastAsia" w:ascii="Calibri" w:hAnsi="Calibri" w:eastAsia="宋体" w:cs="Times New Roman"/>
              <w:lang w:val="en-US" w:eastAsia="zh-CN" w:bidi="ar-SA"/>
            </w:rPr>
            <w:t>.3</w:t>
          </w:r>
          <w:r>
            <w:rPr>
              <w:rFonts w:ascii="Calibri" w:hAnsi="Calibri" w:eastAsia="宋体" w:cs="Times New Roman"/>
              <w:lang w:val="en-US" w:eastAsia="zh-CN" w:bidi="ar-SA"/>
            </w:rPr>
            <w:t xml:space="preserve">  </w:t>
          </w:r>
          <w:r>
            <w:rPr>
              <w:rFonts w:hint="eastAsia" w:ascii="Calibri" w:hAnsi="Calibri" w:eastAsia="宋体" w:cs="Times New Roman"/>
              <w:lang w:val="en-US" w:eastAsia="zh-CN" w:bidi="ar-SA"/>
            </w:rPr>
            <w:t>耕地恢复成林地</w:t>
          </w:r>
          <w:r>
            <w:rPr>
              <w:rFonts w:ascii="黑体" w:hAnsi="黑体" w:eastAsia="宋体" w:cs="Times New Roman"/>
              <w:shd w:val="clear" w:color="auto" w:fill="FFFFFF"/>
              <w:lang w:val="en-US" w:eastAsia="zh-CN" w:bidi="ar-SA"/>
            </w:rPr>
            <w:t>投资</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_Toc9536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- 27 -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_Toc31845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5</w:t>
          </w:r>
          <w:r>
            <w:rPr>
              <w:rFonts w:ascii="Calibri" w:hAnsi="Calibri" w:eastAsia="宋体" w:cs="Times New Roman"/>
              <w:lang w:val="en-US" w:eastAsia="zh-CN" w:bidi="ar-SA"/>
            </w:rPr>
            <w:t>.7</w:t>
          </w:r>
          <w:r>
            <w:rPr>
              <w:rFonts w:hint="eastAsia" w:ascii="Calibri" w:hAnsi="Calibri" w:eastAsia="宋体" w:cs="Times New Roman"/>
              <w:lang w:val="en-US" w:eastAsia="zh-CN" w:bidi="ar-SA"/>
            </w:rPr>
            <w:t>.4</w:t>
          </w:r>
          <w:r>
            <w:rPr>
              <w:rFonts w:ascii="Calibri" w:hAnsi="Calibri" w:eastAsia="宋体" w:cs="Times New Roman"/>
              <w:lang w:val="en-US" w:eastAsia="zh-CN" w:bidi="ar-SA"/>
            </w:rPr>
            <w:t xml:space="preserve">  </w:t>
          </w:r>
          <w:r>
            <w:rPr>
              <w:rFonts w:hint="eastAsia" w:ascii="Calibri" w:hAnsi="Calibri" w:eastAsia="宋体" w:cs="Times New Roman"/>
              <w:lang w:val="en-US" w:eastAsia="zh-CN" w:bidi="ar-SA"/>
            </w:rPr>
            <w:t>总投资</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_Toc31845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- 27 -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8"/>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_Toc27280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 xml:space="preserve">第六章 </w:t>
          </w:r>
          <w:r>
            <w:rPr>
              <w:rFonts w:ascii="Calibri" w:hAnsi="Calibri" w:eastAsia="宋体" w:cs="Times New Roman"/>
              <w:lang w:val="en-US" w:eastAsia="zh-CN" w:bidi="ar-SA"/>
            </w:rPr>
            <w:t xml:space="preserve"> </w:t>
          </w:r>
          <w:r>
            <w:rPr>
              <w:rFonts w:hint="eastAsia" w:ascii="Calibri" w:hAnsi="Calibri" w:eastAsia="宋体" w:cs="Times New Roman"/>
              <w:lang w:val="en-US" w:eastAsia="zh-CN" w:bidi="ar-SA"/>
            </w:rPr>
            <w:t>结论和建议</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_Toc27280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- 28 -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_Toc6897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6</w:t>
          </w:r>
          <w:r>
            <w:rPr>
              <w:rFonts w:ascii="Calibri" w:hAnsi="Calibri" w:eastAsia="宋体" w:cs="Times New Roman"/>
              <w:lang w:val="en-US" w:eastAsia="zh-CN" w:bidi="ar-SA"/>
            </w:rPr>
            <w:t xml:space="preserve">.1  </w:t>
          </w:r>
          <w:r>
            <w:rPr>
              <w:rFonts w:hint="eastAsia" w:ascii="Calibri" w:hAnsi="Calibri" w:eastAsia="宋体" w:cs="Times New Roman"/>
              <w:lang w:val="en-US" w:eastAsia="zh-CN" w:bidi="ar-SA"/>
            </w:rPr>
            <w:t>结论</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_Toc6897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- 29 -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_Toc22547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6</w:t>
          </w:r>
          <w:r>
            <w:rPr>
              <w:rFonts w:ascii="Calibri" w:hAnsi="Calibri" w:eastAsia="宋体" w:cs="Times New Roman"/>
              <w:lang w:val="en-US" w:eastAsia="zh-CN" w:bidi="ar-SA"/>
            </w:rPr>
            <w:t xml:space="preserve">.1.1  </w:t>
          </w:r>
          <w:r>
            <w:rPr>
              <w:rFonts w:hint="eastAsia" w:ascii="Calibri" w:hAnsi="Calibri" w:eastAsia="宋体" w:cs="Times New Roman"/>
              <w:lang w:val="en-US" w:eastAsia="zh-CN" w:bidi="ar-SA"/>
            </w:rPr>
            <w:t>区域自然环境和社会环境调查结论</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_Toc22547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- 29 -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_Toc14602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6</w:t>
          </w:r>
          <w:r>
            <w:rPr>
              <w:rFonts w:ascii="Calibri" w:hAnsi="Calibri" w:eastAsia="宋体" w:cs="Times New Roman"/>
              <w:lang w:val="en-US" w:eastAsia="zh-CN" w:bidi="ar-SA"/>
            </w:rPr>
            <w:t xml:space="preserve">.1.2  </w:t>
          </w:r>
          <w:r>
            <w:rPr>
              <w:rFonts w:hint="eastAsia" w:ascii="Calibri" w:hAnsi="Calibri" w:eastAsia="宋体" w:cs="Times New Roman"/>
              <w:lang w:val="en-US" w:eastAsia="zh-CN" w:bidi="ar-SA"/>
            </w:rPr>
            <w:t>饮用水源地保护区环境质量调查结论</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_Toc14602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- 29 -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_Toc900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6</w:t>
          </w:r>
          <w:r>
            <w:rPr>
              <w:rFonts w:ascii="Calibri" w:hAnsi="Calibri" w:eastAsia="宋体" w:cs="Times New Roman"/>
              <w:lang w:val="en-US" w:eastAsia="zh-CN" w:bidi="ar-SA"/>
            </w:rPr>
            <w:t xml:space="preserve">.1.3  </w:t>
          </w:r>
          <w:r>
            <w:rPr>
              <w:rFonts w:hint="eastAsia" w:ascii="Calibri" w:hAnsi="Calibri" w:eastAsia="宋体" w:cs="Times New Roman"/>
              <w:lang w:val="en-US" w:eastAsia="zh-CN" w:bidi="ar-SA"/>
            </w:rPr>
            <w:t>饮用水源保护区生态环境及污染源调查结论</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_Toc900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- 29 -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_Toc30887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6</w:t>
          </w:r>
          <w:r>
            <w:rPr>
              <w:rFonts w:ascii="Calibri" w:hAnsi="Calibri" w:eastAsia="宋体" w:cs="Times New Roman"/>
              <w:lang w:val="en-US" w:eastAsia="zh-CN" w:bidi="ar-SA"/>
            </w:rPr>
            <w:t xml:space="preserve">.1.4  </w:t>
          </w:r>
          <w:r>
            <w:rPr>
              <w:rFonts w:hint="eastAsia" w:ascii="Calibri" w:hAnsi="Calibri" w:eastAsia="宋体" w:cs="Times New Roman"/>
              <w:lang w:val="en-US" w:eastAsia="zh-CN" w:bidi="ar-SA"/>
            </w:rPr>
            <w:t>水环境功能区与水源保护区划分结论</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_Toc30887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- 30 -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_Toc1400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6</w:t>
          </w:r>
          <w:r>
            <w:rPr>
              <w:rFonts w:ascii="Calibri" w:hAnsi="Calibri" w:eastAsia="宋体" w:cs="Times New Roman"/>
              <w:lang w:val="en-US" w:eastAsia="zh-CN" w:bidi="ar-SA"/>
            </w:rPr>
            <w:t xml:space="preserve">.1.5  </w:t>
          </w:r>
          <w:r>
            <w:rPr>
              <w:rFonts w:hint="eastAsia" w:ascii="Calibri" w:hAnsi="Calibri" w:eastAsia="宋体" w:cs="Times New Roman"/>
              <w:lang w:val="en-US" w:eastAsia="zh-CN" w:bidi="ar-SA"/>
            </w:rPr>
            <w:t>饮用水源环境管理状况调查结论</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_Toc1400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- 30 -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21"/>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_Toc7301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6</w:t>
          </w:r>
          <w:r>
            <w:rPr>
              <w:rFonts w:ascii="Calibri" w:hAnsi="Calibri" w:eastAsia="宋体" w:cs="Times New Roman"/>
              <w:lang w:val="en-US" w:eastAsia="zh-CN" w:bidi="ar-SA"/>
            </w:rPr>
            <w:t xml:space="preserve">.2  </w:t>
          </w:r>
          <w:r>
            <w:rPr>
              <w:rFonts w:hint="eastAsia" w:ascii="Calibri" w:hAnsi="Calibri" w:eastAsia="宋体" w:cs="Times New Roman"/>
              <w:lang w:val="en-US" w:eastAsia="zh-CN" w:bidi="ar-SA"/>
            </w:rPr>
            <w:t>问题及建议</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_Toc7301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- 31 -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_Toc22607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6</w:t>
          </w:r>
          <w:r>
            <w:rPr>
              <w:rFonts w:ascii="Calibri" w:hAnsi="Calibri" w:eastAsia="宋体" w:cs="Times New Roman"/>
              <w:lang w:val="en-US" w:eastAsia="zh-CN" w:bidi="ar-SA"/>
            </w:rPr>
            <w:t>.2.</w:t>
          </w:r>
          <w:r>
            <w:rPr>
              <w:rFonts w:hint="eastAsia" w:ascii="Calibri" w:hAnsi="Calibri" w:eastAsia="宋体" w:cs="Times New Roman"/>
              <w:lang w:val="en-US" w:eastAsia="zh-CN" w:bidi="ar-SA"/>
            </w:rPr>
            <w:t>1</w:t>
          </w:r>
          <w:r>
            <w:rPr>
              <w:rFonts w:ascii="Calibri" w:hAnsi="Calibri" w:eastAsia="宋体" w:cs="Times New Roman"/>
              <w:lang w:val="en-US" w:eastAsia="zh-CN" w:bidi="ar-SA"/>
            </w:rPr>
            <w:t xml:space="preserve">  </w:t>
          </w:r>
          <w:r>
            <w:rPr>
              <w:rFonts w:hint="eastAsia" w:ascii="Calibri" w:hAnsi="Calibri" w:eastAsia="宋体" w:cs="Times New Roman"/>
              <w:lang w:val="en-US" w:eastAsia="zh-CN" w:bidi="ar-SA"/>
            </w:rPr>
            <w:t>严厉查处饮用水源污染违法行为</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_Toc22607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- 31 -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_Toc13775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6.2.2</w:t>
          </w:r>
          <w:r>
            <w:rPr>
              <w:rFonts w:ascii="Calibri" w:hAnsi="Calibri" w:eastAsia="宋体" w:cs="Times New Roman"/>
              <w:lang w:val="en-US" w:eastAsia="zh-CN" w:bidi="ar-SA"/>
            </w:rPr>
            <w:t xml:space="preserve">  </w:t>
          </w:r>
          <w:r>
            <w:rPr>
              <w:rFonts w:hint="eastAsia" w:ascii="Calibri" w:hAnsi="Calibri" w:eastAsia="宋体" w:cs="Times New Roman"/>
              <w:lang w:val="en-US" w:eastAsia="zh-CN" w:bidi="ar-SA"/>
            </w:rPr>
            <w:t>对饮用水源保护区的养殖小区要严格监管</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_Toc13775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- 31 -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_Toc28583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6.2.3</w:t>
          </w:r>
          <w:r>
            <w:rPr>
              <w:rFonts w:ascii="Calibri" w:hAnsi="Calibri" w:eastAsia="宋体" w:cs="Times New Roman"/>
              <w:lang w:val="en-US" w:eastAsia="zh-CN" w:bidi="ar-SA"/>
            </w:rPr>
            <w:t xml:space="preserve">  </w:t>
          </w:r>
          <w:r>
            <w:rPr>
              <w:rFonts w:hint="eastAsia" w:ascii="Calibri" w:hAnsi="Calibri" w:eastAsia="宋体" w:cs="Times New Roman"/>
              <w:lang w:val="en-US" w:eastAsia="zh-CN" w:bidi="ar-SA"/>
            </w:rPr>
            <w:t>项目审批要严守生态和发展两条底线</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_Toc28583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- 31 -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_Toc31808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6.2.4</w:t>
          </w:r>
          <w:r>
            <w:rPr>
              <w:rFonts w:ascii="Calibri" w:hAnsi="Calibri" w:eastAsia="宋体" w:cs="Times New Roman"/>
              <w:lang w:val="en-US" w:eastAsia="zh-CN" w:bidi="ar-SA"/>
            </w:rPr>
            <w:t xml:space="preserve">  </w:t>
          </w:r>
          <w:r>
            <w:rPr>
              <w:rFonts w:hint="eastAsia" w:ascii="Calibri" w:hAnsi="Calibri" w:eastAsia="宋体" w:cs="Times New Roman"/>
              <w:lang w:val="en-US" w:eastAsia="zh-CN" w:bidi="ar-SA"/>
            </w:rPr>
            <w:t>完善风险源应急机制</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_Toc31808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- 32 -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_Toc21637 </w:instrText>
          </w:r>
          <w:r>
            <w:rPr>
              <w:rFonts w:ascii="宋体" w:hAnsi="宋体" w:eastAsia="宋体" w:cstheme="minorBidi"/>
              <w:kern w:val="2"/>
              <w:szCs w:val="22"/>
              <w:lang w:val="en-US" w:eastAsia="zh-CN" w:bidi="ar-SA"/>
            </w:rPr>
            <w:fldChar w:fldCharType="separate"/>
          </w:r>
          <w:r>
            <w:rPr>
              <w:rFonts w:ascii="Calibri" w:hAnsi="Calibri" w:eastAsia="宋体" w:cs="Times New Roman"/>
              <w:lang w:val="en-US" w:eastAsia="zh-CN" w:bidi="ar-SA"/>
            </w:rPr>
            <w:t>6.2.5  加强对径流区范围内的整治</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_Toc21637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- 32 -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_Toc3128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6.2.6</w:t>
          </w:r>
          <w:r>
            <w:rPr>
              <w:rFonts w:ascii="Calibri" w:hAnsi="Calibri" w:eastAsia="宋体" w:cs="Times New Roman"/>
              <w:lang w:val="en-US" w:eastAsia="zh-CN" w:bidi="ar-SA"/>
            </w:rPr>
            <w:t xml:space="preserve">  </w:t>
          </w:r>
          <w:r>
            <w:rPr>
              <w:rFonts w:hint="eastAsia" w:ascii="Calibri" w:hAnsi="Calibri" w:eastAsia="宋体" w:cs="Times New Roman"/>
              <w:lang w:val="en-US" w:eastAsia="zh-CN" w:bidi="ar-SA"/>
            </w:rPr>
            <w:t>完善饮用水源地保护区内的标示标牌工作</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_Toc3128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- 32 -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_Toc13190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6.2.7</w:t>
          </w:r>
          <w:r>
            <w:rPr>
              <w:rFonts w:ascii="Calibri" w:hAnsi="Calibri" w:eastAsia="宋体" w:cs="Times New Roman"/>
              <w:lang w:val="en-US" w:eastAsia="zh-CN" w:bidi="ar-SA"/>
            </w:rPr>
            <w:t xml:space="preserve">  </w:t>
          </w:r>
          <w:r>
            <w:rPr>
              <w:rFonts w:hint="eastAsia" w:ascii="Calibri" w:hAnsi="Calibri" w:eastAsia="宋体" w:cs="Times New Roman"/>
              <w:lang w:val="en-US" w:eastAsia="zh-CN" w:bidi="ar-SA"/>
            </w:rPr>
            <w:t>强化部门间联动协作机制，提高执法能力</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_Toc13190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- 32 -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12"/>
            <w:tabs>
              <w:tab w:val="right" w:leader="dot" w:pos="8306"/>
            </w:tabs>
            <w:rPr>
              <w:rFonts w:ascii="Calibri" w:hAnsi="Calibri" w:eastAsia="宋体" w:cs="Times New Roman"/>
              <w:lang w:val="en-US" w:eastAsia="zh-CN" w:bidi="ar-SA"/>
            </w:rPr>
          </w:pPr>
          <w:r>
            <w:rPr>
              <w:rFonts w:ascii="宋体" w:hAnsi="宋体" w:eastAsia="宋体" w:cstheme="minorBidi"/>
              <w:kern w:val="2"/>
              <w:szCs w:val="22"/>
              <w:lang w:val="en-US" w:eastAsia="zh-CN" w:bidi="ar-SA"/>
            </w:rPr>
            <w:fldChar w:fldCharType="begin"/>
          </w:r>
          <w:r>
            <w:rPr>
              <w:rFonts w:ascii="宋体" w:hAnsi="宋体" w:eastAsia="宋体" w:cstheme="minorBidi"/>
              <w:kern w:val="2"/>
              <w:szCs w:val="22"/>
              <w:lang w:val="en-US" w:eastAsia="zh-CN" w:bidi="ar-SA"/>
            </w:rPr>
            <w:instrText xml:space="preserve"> HYPERLINK \l _Toc25242 </w:instrText>
          </w:r>
          <w:r>
            <w:rPr>
              <w:rFonts w:ascii="宋体" w:hAnsi="宋体" w:eastAsia="宋体" w:cstheme="minorBidi"/>
              <w:kern w:val="2"/>
              <w:szCs w:val="22"/>
              <w:lang w:val="en-US" w:eastAsia="zh-CN" w:bidi="ar-SA"/>
            </w:rPr>
            <w:fldChar w:fldCharType="separate"/>
          </w:r>
          <w:r>
            <w:rPr>
              <w:rFonts w:hint="eastAsia" w:ascii="Calibri" w:hAnsi="Calibri" w:eastAsia="宋体" w:cs="Times New Roman"/>
              <w:lang w:val="en-US" w:eastAsia="zh-CN" w:bidi="ar-SA"/>
            </w:rPr>
            <w:t>6.2.8</w:t>
          </w:r>
          <w:r>
            <w:rPr>
              <w:rFonts w:ascii="Calibri" w:hAnsi="Calibri" w:eastAsia="宋体" w:cs="Times New Roman"/>
              <w:lang w:val="en-US" w:eastAsia="zh-CN" w:bidi="ar-SA"/>
            </w:rPr>
            <w:t xml:space="preserve">  </w:t>
          </w:r>
          <w:r>
            <w:rPr>
              <w:rFonts w:hint="eastAsia" w:ascii="Calibri" w:hAnsi="Calibri" w:eastAsia="宋体" w:cs="Times New Roman"/>
              <w:lang w:val="en-US" w:eastAsia="zh-CN" w:bidi="ar-SA"/>
            </w:rPr>
            <w:t>加大宣传保护及公众参与机制</w:t>
          </w:r>
          <w:r>
            <w:rPr>
              <w:rFonts w:ascii="Calibri" w:hAnsi="Calibri" w:eastAsia="宋体" w:cs="Times New Roman"/>
              <w:lang w:val="en-US" w:eastAsia="zh-CN" w:bidi="ar-SA"/>
            </w:rPr>
            <w:tab/>
          </w:r>
          <w:r>
            <w:rPr>
              <w:rFonts w:ascii="Calibri" w:hAnsi="Calibri" w:eastAsia="宋体" w:cs="Times New Roman"/>
              <w:lang w:val="en-US" w:eastAsia="zh-CN" w:bidi="ar-SA"/>
            </w:rPr>
            <w:fldChar w:fldCharType="begin"/>
          </w:r>
          <w:r>
            <w:rPr>
              <w:rFonts w:ascii="Calibri" w:hAnsi="Calibri" w:eastAsia="宋体" w:cs="Times New Roman"/>
              <w:lang w:val="en-US" w:eastAsia="zh-CN" w:bidi="ar-SA"/>
            </w:rPr>
            <w:instrText xml:space="preserve"> PAGEREF _Toc25242 </w:instrText>
          </w:r>
          <w:r>
            <w:rPr>
              <w:rFonts w:ascii="Calibri" w:hAnsi="Calibri" w:eastAsia="宋体" w:cs="Times New Roman"/>
              <w:lang w:val="en-US" w:eastAsia="zh-CN" w:bidi="ar-SA"/>
            </w:rPr>
            <w:fldChar w:fldCharType="separate"/>
          </w:r>
          <w:r>
            <w:rPr>
              <w:rFonts w:ascii="Calibri" w:hAnsi="Calibri" w:eastAsia="宋体" w:cs="Times New Roman"/>
              <w:lang w:val="en-US" w:eastAsia="zh-CN" w:bidi="ar-SA"/>
            </w:rPr>
            <w:t>- 32 -</w:t>
          </w:r>
          <w:r>
            <w:rPr>
              <w:rFonts w:ascii="Calibri" w:hAnsi="Calibri" w:eastAsia="宋体" w:cs="Times New Roman"/>
              <w:lang w:val="en-US" w:eastAsia="zh-CN" w:bidi="ar-SA"/>
            </w:rPr>
            <w:fldChar w:fldCharType="end"/>
          </w:r>
          <w:r>
            <w:rPr>
              <w:rFonts w:ascii="宋体" w:hAnsi="宋体" w:eastAsia="宋体" w:cstheme="minorBidi"/>
              <w:kern w:val="2"/>
              <w:szCs w:val="22"/>
              <w:lang w:val="en-US" w:eastAsia="zh-CN" w:bidi="ar-SA"/>
            </w:rPr>
            <w:fldChar w:fldCharType="end"/>
          </w:r>
        </w:p>
        <w:p>
          <w:pPr>
            <w:pStyle w:val="47"/>
            <w:tabs>
              <w:tab w:val="right" w:leader="dot" w:pos="8306"/>
            </w:tabs>
            <w:spacing w:line="720" w:lineRule="auto"/>
            <w:rPr>
              <w:rFonts w:ascii="宋体" w:hAnsi="宋体" w:cstheme="minorBidi"/>
              <w:kern w:val="2"/>
              <w:sz w:val="21"/>
              <w:szCs w:val="22"/>
            </w:rPr>
          </w:pPr>
          <w:r>
            <w:rPr>
              <w:rFonts w:ascii="宋体" w:hAnsi="宋体" w:eastAsia="宋体" w:cstheme="minorBidi"/>
              <w:kern w:val="2"/>
              <w:szCs w:val="22"/>
              <w:lang w:val="en-US" w:eastAsia="zh-CN" w:bidi="ar-SA"/>
            </w:rPr>
            <w:fldChar w:fldCharType="end"/>
          </w:r>
        </w:p>
        <w:p>
          <w:pPr>
            <w:pStyle w:val="47"/>
            <w:tabs>
              <w:tab w:val="right" w:leader="dot" w:pos="8306"/>
            </w:tabs>
            <w:spacing w:line="720" w:lineRule="auto"/>
          </w:pPr>
        </w:p>
      </w:sdtContent>
    </w:sdt>
    <w:bookmarkEnd w:id="2"/>
    <w:p>
      <w:pPr>
        <w:pStyle w:val="47"/>
        <w:tabs>
          <w:tab w:val="right" w:leader="dot" w:pos="8306"/>
        </w:tabs>
      </w:pPr>
    </w:p>
    <w:p>
      <w:pPr>
        <w:pStyle w:val="47"/>
        <w:tabs>
          <w:tab w:val="right" w:leader="dot" w:pos="8306"/>
        </w:tabs>
      </w:pPr>
    </w:p>
    <w:p>
      <w:pPr>
        <w:pStyle w:val="47"/>
        <w:tabs>
          <w:tab w:val="right" w:leader="dot" w:pos="8306"/>
        </w:tabs>
      </w:pPr>
    </w:p>
    <w:p>
      <w:pPr>
        <w:pStyle w:val="47"/>
        <w:tabs>
          <w:tab w:val="right" w:leader="dot" w:pos="8306"/>
        </w:tabs>
      </w:pPr>
    </w:p>
    <w:p>
      <w:pPr>
        <w:pStyle w:val="47"/>
        <w:tabs>
          <w:tab w:val="right" w:leader="dot" w:pos="8306"/>
        </w:tabs>
      </w:pPr>
    </w:p>
    <w:p>
      <w:pPr>
        <w:pStyle w:val="47"/>
        <w:tabs>
          <w:tab w:val="right" w:leader="dot" w:pos="8306"/>
        </w:tabs>
      </w:pPr>
    </w:p>
    <w:p>
      <w:pPr>
        <w:pStyle w:val="47"/>
        <w:tabs>
          <w:tab w:val="right" w:leader="dot" w:pos="8306"/>
        </w:tabs>
      </w:pPr>
    </w:p>
    <w:p>
      <w:pPr>
        <w:pStyle w:val="47"/>
        <w:tabs>
          <w:tab w:val="right" w:leader="dot" w:pos="8306"/>
        </w:tabs>
      </w:pPr>
    </w:p>
    <w:p>
      <w:pPr>
        <w:pStyle w:val="47"/>
        <w:tabs>
          <w:tab w:val="right" w:leader="dot" w:pos="8306"/>
        </w:tabs>
      </w:pPr>
    </w:p>
    <w:p>
      <w:pPr>
        <w:pStyle w:val="47"/>
        <w:tabs>
          <w:tab w:val="right" w:leader="dot" w:pos="8306"/>
        </w:tabs>
      </w:pPr>
    </w:p>
    <w:p>
      <w:pPr>
        <w:pStyle w:val="47"/>
        <w:tabs>
          <w:tab w:val="right" w:leader="dot" w:pos="8306"/>
        </w:tabs>
      </w:pPr>
    </w:p>
    <w:p>
      <w:pPr>
        <w:pStyle w:val="47"/>
        <w:tabs>
          <w:tab w:val="right" w:leader="dot" w:pos="8306"/>
        </w:tabs>
      </w:pPr>
    </w:p>
    <w:p>
      <w:pPr>
        <w:pStyle w:val="47"/>
        <w:tabs>
          <w:tab w:val="right" w:leader="dot" w:pos="8306"/>
        </w:tabs>
      </w:pPr>
    </w:p>
    <w:p>
      <w:pPr>
        <w:pStyle w:val="47"/>
        <w:tabs>
          <w:tab w:val="right" w:leader="dot" w:pos="8306"/>
        </w:tabs>
      </w:pPr>
    </w:p>
    <w:p>
      <w:pPr>
        <w:pStyle w:val="47"/>
        <w:tabs>
          <w:tab w:val="right" w:leader="dot" w:pos="8306"/>
        </w:tabs>
      </w:pPr>
    </w:p>
    <w:p>
      <w:pPr>
        <w:pStyle w:val="47"/>
        <w:tabs>
          <w:tab w:val="right" w:leader="dot" w:pos="8306"/>
        </w:tabs>
      </w:pPr>
    </w:p>
    <w:p>
      <w:pPr>
        <w:pStyle w:val="47"/>
        <w:tabs>
          <w:tab w:val="right" w:leader="dot" w:pos="8306"/>
        </w:tabs>
      </w:pPr>
    </w:p>
    <w:p>
      <w:pPr>
        <w:pStyle w:val="47"/>
        <w:tabs>
          <w:tab w:val="right" w:leader="dot" w:pos="8306"/>
        </w:tabs>
      </w:pPr>
    </w:p>
    <w:p>
      <w:pPr>
        <w:pStyle w:val="47"/>
        <w:tabs>
          <w:tab w:val="right" w:leader="dot" w:pos="8306"/>
        </w:tabs>
      </w:pPr>
    </w:p>
    <w:p>
      <w:pPr>
        <w:pStyle w:val="47"/>
        <w:tabs>
          <w:tab w:val="right" w:leader="dot" w:pos="8306"/>
        </w:tabs>
      </w:pPr>
    </w:p>
    <w:p>
      <w:pPr>
        <w:ind w:firstLine="482"/>
        <w:jc w:val="left"/>
        <w:rPr>
          <w:rFonts w:cs="Times New Roman"/>
          <w:b/>
          <w:bCs/>
        </w:rPr>
      </w:pPr>
      <w:bookmarkStart w:id="3" w:name="_Toc3497_WPSOffice_Level1"/>
      <w:bookmarkStart w:id="4" w:name="_Toc7959_WPSOffice_Level1"/>
      <w:bookmarkStart w:id="5" w:name="_Toc24136_WPSOffice_Level1"/>
      <w:r>
        <w:rPr>
          <w:rFonts w:cs="Times New Roman"/>
          <w:b/>
          <w:bCs/>
        </w:rPr>
        <w:t>附件：</w:t>
      </w:r>
      <w:bookmarkEnd w:id="3"/>
      <w:bookmarkEnd w:id="4"/>
      <w:bookmarkEnd w:id="5"/>
    </w:p>
    <w:p>
      <w:pPr>
        <w:ind w:firstLine="480"/>
      </w:pPr>
      <w:bookmarkStart w:id="6" w:name="_Toc32172_WPSOffice_Level1"/>
      <w:bookmarkStart w:id="7" w:name="_Toc26909_WPSOffice_Level1"/>
      <w:bookmarkStart w:id="8" w:name="_Toc22504_WPSOffice_Level1"/>
      <w:r>
        <w:t xml:space="preserve">附件1  </w:t>
      </w:r>
      <w:bookmarkEnd w:id="6"/>
      <w:bookmarkStart w:id="9" w:name="_Toc10064_WPSOffice_Level1"/>
      <w:r>
        <w:t>“千吨万人”千吨万人及县级以上集中式饮用水源保护区划分（调整）方案申报资料清单</w:t>
      </w:r>
      <w:bookmarkEnd w:id="7"/>
      <w:bookmarkEnd w:id="8"/>
    </w:p>
    <w:p>
      <w:pPr>
        <w:ind w:firstLine="480"/>
      </w:pPr>
      <w:bookmarkStart w:id="10" w:name="_Toc5446_WPSOffice_Level1"/>
      <w:bookmarkStart w:id="11" w:name="_Toc22162_WPSOffice_Level1"/>
      <w:r>
        <w:t>附件</w:t>
      </w:r>
      <w:r>
        <w:rPr>
          <w:rFonts w:hint="eastAsia"/>
        </w:rPr>
        <w:t>2</w:t>
      </w:r>
      <w:r>
        <w:t xml:space="preserve">  201</w:t>
      </w:r>
      <w:r>
        <w:rPr>
          <w:rFonts w:hint="eastAsia"/>
        </w:rPr>
        <w:t>9</w:t>
      </w:r>
      <w:r>
        <w:t>年</w:t>
      </w:r>
      <w:r>
        <w:rPr>
          <w:rFonts w:hint="eastAsia"/>
        </w:rPr>
        <w:t>水质</w:t>
      </w:r>
      <w:r>
        <w:t>检测报告</w:t>
      </w:r>
      <w:bookmarkEnd w:id="9"/>
      <w:bookmarkEnd w:id="10"/>
      <w:bookmarkEnd w:id="11"/>
    </w:p>
    <w:p>
      <w:pPr>
        <w:ind w:firstLine="480"/>
        <w:rPr>
          <w:rFonts w:cs="Times New Roman"/>
        </w:rPr>
      </w:pPr>
      <w:bookmarkStart w:id="12" w:name="_Toc14628_WPSOffice_Level1"/>
      <w:r>
        <w:rPr>
          <w:rFonts w:hint="eastAsia" w:cs="Times New Roman"/>
        </w:rPr>
        <w:t>附件3</w:t>
      </w:r>
      <w:r>
        <w:rPr>
          <w:rFonts w:cs="Times New Roman"/>
        </w:rPr>
        <w:t xml:space="preserve">  </w:t>
      </w:r>
      <w:r>
        <w:rPr>
          <w:rFonts w:hint="eastAsia"/>
        </w:rPr>
        <w:t>饮用水水源地环境状况调查表</w:t>
      </w:r>
      <w:bookmarkEnd w:id="12"/>
    </w:p>
    <w:p>
      <w:pPr>
        <w:ind w:firstLine="480"/>
      </w:pPr>
    </w:p>
    <w:p>
      <w:pPr>
        <w:ind w:firstLine="482"/>
        <w:rPr>
          <w:rFonts w:cs="Times New Roman"/>
          <w:b/>
          <w:bCs/>
        </w:rPr>
      </w:pPr>
      <w:bookmarkStart w:id="13" w:name="_Toc27056_WPSOffice_Level1"/>
      <w:bookmarkStart w:id="14" w:name="_Toc16220_WPSOffice_Level1"/>
      <w:bookmarkStart w:id="15" w:name="_Toc8255_WPSOffice_Level1"/>
      <w:r>
        <w:rPr>
          <w:rFonts w:cs="Times New Roman"/>
          <w:b/>
          <w:bCs/>
        </w:rPr>
        <w:t>附图：</w:t>
      </w:r>
      <w:bookmarkEnd w:id="13"/>
      <w:bookmarkEnd w:id="14"/>
      <w:bookmarkEnd w:id="15"/>
    </w:p>
    <w:p>
      <w:pPr>
        <w:ind w:firstLine="480"/>
        <w:rPr>
          <w:b/>
          <w:bCs/>
        </w:rPr>
      </w:pPr>
      <w:bookmarkStart w:id="16" w:name="_Toc19691486"/>
      <w:bookmarkStart w:id="17" w:name="_Toc15159_WPSOffice_Level1"/>
      <w:bookmarkStart w:id="18" w:name="_Toc11363_WPSOffice_Level1"/>
      <w:bookmarkStart w:id="19" w:name="_Toc31793_WPSOffice_Level1"/>
      <w:r>
        <w:rPr>
          <w:rFonts w:hint="eastAsia"/>
        </w:rPr>
        <w:t xml:space="preserve">附图1  </w:t>
      </w:r>
      <w:bookmarkEnd w:id="16"/>
      <w:r>
        <w:rPr>
          <w:rFonts w:hint="eastAsia"/>
        </w:rPr>
        <w:t>富源县大竹林水库位置示意图</w:t>
      </w:r>
      <w:bookmarkEnd w:id="17"/>
      <w:bookmarkEnd w:id="18"/>
      <w:bookmarkEnd w:id="19"/>
    </w:p>
    <w:p>
      <w:pPr>
        <w:ind w:firstLine="480"/>
        <w:rPr>
          <w:b/>
          <w:bCs/>
        </w:rPr>
      </w:pPr>
      <w:bookmarkStart w:id="20" w:name="_Toc19691487"/>
      <w:bookmarkStart w:id="21" w:name="_Toc10870_WPSOffice_Level1"/>
      <w:bookmarkStart w:id="22" w:name="_Toc12990_WPSOffice_Level1"/>
      <w:bookmarkStart w:id="23" w:name="_Toc2916_WPSOffice_Level1"/>
      <w:r>
        <w:rPr>
          <w:rFonts w:hint="eastAsia"/>
        </w:rPr>
        <w:t xml:space="preserve">附图2  </w:t>
      </w:r>
      <w:bookmarkEnd w:id="20"/>
      <w:r>
        <w:rPr>
          <w:rFonts w:hint="eastAsia"/>
        </w:rPr>
        <w:t>富源县大竹林水库水系示意图</w:t>
      </w:r>
      <w:bookmarkEnd w:id="21"/>
      <w:bookmarkEnd w:id="22"/>
      <w:bookmarkEnd w:id="23"/>
    </w:p>
    <w:p>
      <w:pPr>
        <w:ind w:firstLine="480"/>
        <w:rPr>
          <w:b/>
          <w:bCs/>
        </w:rPr>
      </w:pPr>
      <w:bookmarkStart w:id="24" w:name="_Toc19691488"/>
      <w:bookmarkStart w:id="25" w:name="_Toc20887_WPSOffice_Level1"/>
      <w:bookmarkStart w:id="26" w:name="_Toc14312_WPSOffice_Level1"/>
      <w:bookmarkStart w:id="27" w:name="_Toc21547_WPSOffice_Level1"/>
      <w:r>
        <w:rPr>
          <w:rFonts w:hint="eastAsia"/>
        </w:rPr>
        <w:t xml:space="preserve">附图3  </w:t>
      </w:r>
      <w:bookmarkEnd w:id="24"/>
      <w:r>
        <w:rPr>
          <w:rFonts w:hint="eastAsia"/>
        </w:rPr>
        <w:t>富源县大竹林水库流域内土地利用现状图</w:t>
      </w:r>
      <w:bookmarkEnd w:id="25"/>
      <w:bookmarkEnd w:id="26"/>
      <w:bookmarkEnd w:id="27"/>
    </w:p>
    <w:p>
      <w:pPr>
        <w:ind w:firstLine="480"/>
        <w:rPr>
          <w:b/>
          <w:bCs/>
        </w:rPr>
      </w:pPr>
      <w:bookmarkStart w:id="28" w:name="_Toc19691489"/>
      <w:bookmarkStart w:id="29" w:name="_Toc12076_WPSOffice_Level1"/>
      <w:bookmarkStart w:id="30" w:name="_Toc18414_WPSOffice_Level1"/>
      <w:bookmarkStart w:id="31" w:name="_Toc25204_WPSOffice_Level1"/>
      <w:r>
        <w:rPr>
          <w:rFonts w:hint="eastAsia"/>
        </w:rPr>
        <w:t xml:space="preserve">附图4  </w:t>
      </w:r>
      <w:bookmarkEnd w:id="28"/>
      <w:r>
        <w:rPr>
          <w:rFonts w:hint="eastAsia"/>
        </w:rPr>
        <w:t>富源县大竹林水库污染现状图</w:t>
      </w:r>
      <w:bookmarkEnd w:id="29"/>
      <w:bookmarkEnd w:id="30"/>
      <w:bookmarkEnd w:id="31"/>
    </w:p>
    <w:p>
      <w:pPr>
        <w:ind w:firstLine="480"/>
        <w:rPr>
          <w:b/>
          <w:bCs/>
        </w:rPr>
      </w:pPr>
      <w:bookmarkStart w:id="32" w:name="_Toc19691490"/>
      <w:bookmarkStart w:id="33" w:name="_Toc18621_WPSOffice_Level1"/>
      <w:bookmarkStart w:id="34" w:name="_Toc22324_WPSOffice_Level1"/>
      <w:bookmarkStart w:id="35" w:name="_Toc17392_WPSOffice_Level1"/>
      <w:r>
        <w:rPr>
          <w:rFonts w:hint="eastAsia"/>
        </w:rPr>
        <w:t xml:space="preserve">附图5  </w:t>
      </w:r>
      <w:bookmarkEnd w:id="32"/>
      <w:r>
        <w:rPr>
          <w:rFonts w:hint="eastAsia"/>
        </w:rPr>
        <w:t>富源县大竹林水库饮用水水源保护区区划图</w:t>
      </w:r>
      <w:bookmarkEnd w:id="33"/>
      <w:bookmarkEnd w:id="34"/>
      <w:bookmarkEnd w:id="35"/>
    </w:p>
    <w:p>
      <w:pPr>
        <w:pStyle w:val="3"/>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numberInDash" w:start="1"/>
          <w:cols w:space="425" w:num="1"/>
          <w:titlePg/>
          <w:docGrid w:type="lines" w:linePitch="326" w:charSpace="0"/>
        </w:sectPr>
      </w:pPr>
    </w:p>
    <w:p>
      <w:pPr>
        <w:pStyle w:val="3"/>
      </w:pPr>
      <w:bookmarkStart w:id="36" w:name="_Toc2597"/>
      <w:bookmarkStart w:id="37" w:name="_Toc781_WPSOffice_Level1"/>
      <w:bookmarkStart w:id="38" w:name="_Toc3129_WPSOffice_Level1"/>
      <w:r>
        <w:rPr>
          <w:rFonts w:hint="eastAsia"/>
        </w:rPr>
        <w:t>第一章 总则</w:t>
      </w:r>
      <w:bookmarkEnd w:id="36"/>
      <w:bookmarkEnd w:id="37"/>
      <w:bookmarkEnd w:id="38"/>
    </w:p>
    <w:p>
      <w:pPr>
        <w:pStyle w:val="4"/>
      </w:pPr>
      <w:bookmarkStart w:id="39" w:name="_Toc12666"/>
      <w:bookmarkStart w:id="40" w:name="_Toc19691416"/>
      <w:r>
        <w:t xml:space="preserve">1.1  </w:t>
      </w:r>
      <w:r>
        <w:rPr>
          <w:rFonts w:hint="eastAsia"/>
        </w:rPr>
        <w:t>划分目的</w:t>
      </w:r>
      <w:bookmarkEnd w:id="39"/>
      <w:bookmarkEnd w:id="40"/>
    </w:p>
    <w:p>
      <w:pPr>
        <w:ind w:firstLine="480"/>
      </w:pPr>
      <w:r>
        <w:rPr>
          <w:rFonts w:hint="eastAsia"/>
        </w:rPr>
        <w:t>为认真贯彻习近平新时代中国特色社会主义思想和党的十九大精神，以习近平生态文明思想为指导，深入贯彻落实《中共中央 国务院关于全面加强生态环境保护坚决打好污染防治攻坚战的意见》（中发〔2018〕17号）、《中共云南省委 云南省人民政府关于全面加强生态环境保护坚决打好污染防治攻坚战的实施意见》（云发〔2018〕16号）、《中共曲靖市委 曲靖市人民政府关于印发&lt;曲靖市全面加强生态环境保护坚决打好污染防治攻坚战实施方案&gt;的通知》（曲发〔2018〕35号）以及全国、全省、全市生态环境保护大会精神，以改善饮用水水源环境质量为核心，坚持“环境执法、风险管理”两手发力，统筹推进水源地污染防治和环境风险防范，全面推进饮用水水源地达标建设工作，强化饮用水水源地保护区突出环境问题整治，落实“饮用水水源保护区的划立治、不达标水源水质改善、水源风险防控”三项重点任务，建立起部门联防联控的管理机制，协同推进水源地保护与经济社会的可持续发展，确保广大人民群众饮水安全</w:t>
      </w:r>
      <w:r>
        <w:rPr>
          <w:rFonts w:hint="eastAsia" w:cs="Times New Roman"/>
        </w:rPr>
        <w:t>，特此，曲靖市环境保护局和曲靖市水务局组织开展供水人口在</w:t>
      </w:r>
      <w:r>
        <w:rPr>
          <w:rFonts w:cs="Times New Roman"/>
        </w:rPr>
        <w:t>10000</w:t>
      </w:r>
      <w:r>
        <w:rPr>
          <w:rFonts w:hint="eastAsia" w:cs="Times New Roman"/>
        </w:rPr>
        <w:t>人以上或日供水在</w:t>
      </w:r>
      <w:r>
        <w:rPr>
          <w:rFonts w:cs="Times New Roman"/>
        </w:rPr>
        <w:t>1000</w:t>
      </w:r>
      <w:r>
        <w:rPr>
          <w:rFonts w:hint="eastAsia" w:cs="Times New Roman"/>
        </w:rPr>
        <w:t>吨以上的所有饮用水水源地环境保护清理整治工作。</w:t>
      </w:r>
    </w:p>
    <w:p>
      <w:pPr>
        <w:ind w:firstLine="480"/>
      </w:pPr>
      <w:r>
        <w:rPr>
          <w:rFonts w:hint="eastAsia"/>
        </w:rPr>
        <w:t>为解决好农村饮用水安全，取缔水源保护区内的直接排污口，严防畜禽养殖业和水产养殖业污染水源，禁止有毒有害物资进入饮用水水源保护区，强化水污染事故的预防和应急处理，确保群众饮水安全，全面保障人民群众饮水安全和水源可持续开发利用，认真开展大竹林水库饮用水源地环境保护调查及区划工作，旨在进一步掌握大竹林水库饮用水源地环境状况和存在的问题，加强大竹林饮用水源地污染防治和管理能力建设，进一步完善饮用水源地环境保护相关管理制度，全面落实饮用水源地专项执法行动，为解决目前危害饮用水源地水质安全的隐患问题，为后续水库饮用水源地保护的各项工作打下基础，同时也为确保</w:t>
      </w:r>
      <w:r>
        <w:rPr>
          <w:rFonts w:hint="eastAsia"/>
          <w:szCs w:val="24"/>
        </w:rPr>
        <w:t>富村镇干龙、小坝、祖德、团山等四个村委会39个自然村170</w:t>
      </w:r>
      <w:r>
        <w:rPr>
          <w:szCs w:val="24"/>
        </w:rPr>
        <w:t>0</w:t>
      </w:r>
      <w:r>
        <w:rPr>
          <w:rFonts w:hint="eastAsia"/>
          <w:szCs w:val="24"/>
        </w:rPr>
        <w:t>0人</w:t>
      </w:r>
      <w:r>
        <w:rPr>
          <w:rFonts w:hint="eastAsia"/>
        </w:rPr>
        <w:t>的饮用水水质，防止饮用水水源地污染，保证</w:t>
      </w:r>
      <w:r>
        <w:rPr>
          <w:rFonts w:hint="eastAsia"/>
          <w:lang w:val="zh-CN"/>
        </w:rPr>
        <w:t>大竹林水库</w:t>
      </w:r>
      <w:r>
        <w:rPr>
          <w:rFonts w:hint="eastAsia"/>
        </w:rPr>
        <w:t>水质，为确保饮用水源地饮水安全，并进一步加强污染源控制、生态环境保护、环境监管能力建设，使饮水安全及环保工作更加科学、有序、有力，特对</w:t>
      </w:r>
      <w:r>
        <w:rPr>
          <w:rFonts w:hint="eastAsia"/>
          <w:lang w:val="zh-CN"/>
        </w:rPr>
        <w:t>大竹林水库</w:t>
      </w:r>
      <w:r>
        <w:rPr>
          <w:rFonts w:hint="eastAsia"/>
        </w:rPr>
        <w:t>饮用水水源保护区进行划分。</w:t>
      </w:r>
    </w:p>
    <w:p>
      <w:pPr>
        <w:pStyle w:val="4"/>
      </w:pPr>
      <w:bookmarkStart w:id="41" w:name="_Toc19691417"/>
      <w:bookmarkStart w:id="42" w:name="_Toc19704"/>
      <w:r>
        <w:rPr>
          <w:rFonts w:hint="eastAsia"/>
        </w:rPr>
        <w:t>1</w:t>
      </w:r>
      <w:r>
        <w:t xml:space="preserve">.2  </w:t>
      </w:r>
      <w:r>
        <w:rPr>
          <w:rFonts w:hint="eastAsia"/>
        </w:rPr>
        <w:t>划分依据</w:t>
      </w:r>
      <w:bookmarkEnd w:id="41"/>
      <w:bookmarkEnd w:id="42"/>
    </w:p>
    <w:p>
      <w:pPr>
        <w:pStyle w:val="5"/>
      </w:pPr>
      <w:bookmarkStart w:id="43" w:name="_Toc19691418"/>
      <w:bookmarkStart w:id="44" w:name="_Toc26553"/>
      <w:r>
        <w:rPr>
          <w:rFonts w:hint="eastAsia"/>
        </w:rPr>
        <w:t>1</w:t>
      </w:r>
      <w:r>
        <w:t xml:space="preserve">.2.1  </w:t>
      </w:r>
      <w:r>
        <w:rPr>
          <w:rFonts w:hint="eastAsia"/>
        </w:rPr>
        <w:t>相关法律法规</w:t>
      </w:r>
      <w:bookmarkEnd w:id="43"/>
      <w:bookmarkEnd w:id="44"/>
    </w:p>
    <w:p>
      <w:pPr>
        <w:widowControl/>
        <w:adjustRightInd w:val="0"/>
        <w:snapToGrid w:val="0"/>
        <w:ind w:left="480" w:leftChars="200" w:firstLine="0" w:firstLineChars="0"/>
        <w:rPr>
          <w:rFonts w:ascii="宋体" w:hAnsi="宋体" w:cs="宋体"/>
          <w:kern w:val="0"/>
          <w:szCs w:val="24"/>
        </w:rPr>
      </w:pPr>
      <w:r>
        <w:rPr>
          <w:rFonts w:hint="eastAsia" w:ascii="宋体" w:hAnsi="宋体" w:cs="宋体"/>
          <w:kern w:val="0"/>
          <w:szCs w:val="24"/>
        </w:rPr>
        <w:t>《中华人民共和国环境保护法》（2015年1月）</w:t>
      </w:r>
    </w:p>
    <w:p>
      <w:pPr>
        <w:widowControl/>
        <w:adjustRightInd w:val="0"/>
        <w:snapToGrid w:val="0"/>
        <w:ind w:left="480" w:leftChars="200" w:firstLine="0" w:firstLineChars="0"/>
        <w:rPr>
          <w:rFonts w:ascii="宋体" w:hAnsi="宋体" w:cs="宋体"/>
          <w:kern w:val="0"/>
          <w:szCs w:val="24"/>
        </w:rPr>
      </w:pPr>
      <w:r>
        <w:rPr>
          <w:rFonts w:hint="eastAsia" w:ascii="宋体" w:hAnsi="宋体" w:cs="宋体"/>
          <w:kern w:val="0"/>
          <w:szCs w:val="24"/>
        </w:rPr>
        <w:t>《水污染防治行动计划》（2015年4月）</w:t>
      </w:r>
    </w:p>
    <w:p>
      <w:pPr>
        <w:widowControl/>
        <w:adjustRightInd w:val="0"/>
        <w:snapToGrid w:val="0"/>
        <w:ind w:left="480" w:leftChars="200" w:firstLine="0" w:firstLineChars="0"/>
        <w:rPr>
          <w:rFonts w:ascii="宋体" w:hAnsi="宋体" w:cs="宋体"/>
          <w:kern w:val="0"/>
          <w:szCs w:val="24"/>
        </w:rPr>
      </w:pPr>
      <w:r>
        <w:rPr>
          <w:rFonts w:hint="eastAsia" w:ascii="宋体" w:hAnsi="宋体" w:cs="宋体"/>
          <w:kern w:val="0"/>
          <w:szCs w:val="24"/>
        </w:rPr>
        <w:t>《中华人民共和国水法》（2016年7月）</w:t>
      </w:r>
    </w:p>
    <w:p>
      <w:pPr>
        <w:widowControl/>
        <w:adjustRightInd w:val="0"/>
        <w:snapToGrid w:val="0"/>
        <w:ind w:left="480" w:leftChars="200" w:firstLine="0" w:firstLineChars="0"/>
        <w:rPr>
          <w:rFonts w:ascii="宋体" w:hAnsi="宋体" w:cs="宋体"/>
          <w:kern w:val="0"/>
          <w:szCs w:val="24"/>
        </w:rPr>
      </w:pPr>
      <w:r>
        <w:rPr>
          <w:rFonts w:hint="eastAsia" w:ascii="宋体" w:hAnsi="宋体" w:cs="宋体"/>
          <w:kern w:val="0"/>
          <w:szCs w:val="24"/>
        </w:rPr>
        <w:t>《中华人民共和国水土保持法》（2011年3月）</w:t>
      </w:r>
    </w:p>
    <w:p>
      <w:pPr>
        <w:widowControl/>
        <w:adjustRightInd w:val="0"/>
        <w:snapToGrid w:val="0"/>
        <w:ind w:left="480" w:leftChars="200" w:firstLine="0" w:firstLineChars="0"/>
        <w:rPr>
          <w:rFonts w:ascii="宋体" w:hAnsi="宋体" w:cs="宋体"/>
          <w:kern w:val="0"/>
          <w:szCs w:val="24"/>
        </w:rPr>
      </w:pPr>
      <w:r>
        <w:rPr>
          <w:rFonts w:hint="eastAsia" w:ascii="宋体" w:hAnsi="宋体" w:cs="宋体"/>
          <w:kern w:val="0"/>
          <w:szCs w:val="24"/>
        </w:rPr>
        <w:t>《中华人民共和国农业法》（2013年1月修订）</w:t>
      </w:r>
    </w:p>
    <w:p>
      <w:pPr>
        <w:widowControl/>
        <w:adjustRightInd w:val="0"/>
        <w:snapToGrid w:val="0"/>
        <w:ind w:left="480" w:leftChars="200" w:firstLine="0" w:firstLineChars="0"/>
        <w:rPr>
          <w:rFonts w:ascii="宋体" w:hAnsi="宋体" w:cs="宋体"/>
          <w:kern w:val="0"/>
          <w:szCs w:val="24"/>
        </w:rPr>
      </w:pPr>
      <w:r>
        <w:rPr>
          <w:rFonts w:hint="eastAsia" w:ascii="宋体" w:hAnsi="宋体" w:cs="宋体"/>
          <w:kern w:val="0"/>
          <w:szCs w:val="24"/>
        </w:rPr>
        <w:t>《中华人民共和国水污染防治法》（2018年6月）</w:t>
      </w:r>
    </w:p>
    <w:p>
      <w:pPr>
        <w:widowControl/>
        <w:adjustRightInd w:val="0"/>
        <w:snapToGrid w:val="0"/>
        <w:ind w:left="480" w:leftChars="200" w:firstLine="0" w:firstLineChars="0"/>
        <w:rPr>
          <w:rFonts w:ascii="宋体" w:hAnsi="宋体" w:cs="宋体"/>
          <w:kern w:val="0"/>
          <w:szCs w:val="24"/>
        </w:rPr>
      </w:pPr>
      <w:r>
        <w:rPr>
          <w:rFonts w:hint="eastAsia" w:ascii="宋体" w:hAnsi="宋体" w:cs="宋体"/>
          <w:kern w:val="0"/>
          <w:szCs w:val="24"/>
        </w:rPr>
        <w:t>《中华人民共和国水污染防治法实施细则》（2000年3月）</w:t>
      </w:r>
    </w:p>
    <w:p>
      <w:pPr>
        <w:widowControl/>
        <w:adjustRightInd w:val="0"/>
        <w:snapToGrid w:val="0"/>
        <w:ind w:left="480" w:leftChars="200" w:firstLine="0" w:firstLineChars="0"/>
        <w:rPr>
          <w:rFonts w:ascii="宋体" w:hAnsi="宋体" w:cs="宋体"/>
          <w:kern w:val="0"/>
          <w:szCs w:val="24"/>
        </w:rPr>
      </w:pPr>
      <w:r>
        <w:rPr>
          <w:rFonts w:hint="eastAsia" w:ascii="宋体" w:hAnsi="宋体" w:cs="宋体"/>
          <w:kern w:val="0"/>
          <w:szCs w:val="24"/>
        </w:rPr>
        <w:t>《中华人民共和国城市供水条例》（1994年7月）</w:t>
      </w:r>
    </w:p>
    <w:p>
      <w:pPr>
        <w:widowControl/>
        <w:adjustRightInd w:val="0"/>
        <w:snapToGrid w:val="0"/>
        <w:ind w:left="480" w:leftChars="200" w:firstLine="0" w:firstLineChars="0"/>
        <w:rPr>
          <w:rFonts w:ascii="宋体" w:hAnsi="宋体" w:cs="宋体"/>
          <w:kern w:val="0"/>
          <w:szCs w:val="24"/>
        </w:rPr>
      </w:pPr>
      <w:r>
        <w:rPr>
          <w:rFonts w:hint="eastAsia" w:ascii="宋体" w:hAnsi="宋体" w:cs="宋体"/>
          <w:szCs w:val="24"/>
        </w:rPr>
        <w:t>《饮用水水源保护区污染防治管理规定》（89环管字第201号）</w:t>
      </w:r>
    </w:p>
    <w:p>
      <w:pPr>
        <w:widowControl/>
        <w:adjustRightInd w:val="0"/>
        <w:snapToGrid w:val="0"/>
        <w:ind w:left="480" w:leftChars="200" w:firstLine="0" w:firstLineChars="0"/>
        <w:rPr>
          <w:rFonts w:ascii="宋体" w:hAnsi="宋体" w:cs="宋体"/>
          <w:kern w:val="0"/>
          <w:szCs w:val="24"/>
        </w:rPr>
      </w:pPr>
      <w:r>
        <w:rPr>
          <w:rFonts w:hint="eastAsia" w:ascii="宋体" w:hAnsi="宋体" w:cs="宋体"/>
          <w:kern w:val="0"/>
          <w:szCs w:val="24"/>
        </w:rPr>
        <w:t>《云南省水土保持条例》（2014年7月）</w:t>
      </w:r>
    </w:p>
    <w:p>
      <w:pPr>
        <w:widowControl/>
        <w:adjustRightInd w:val="0"/>
        <w:snapToGrid w:val="0"/>
        <w:ind w:left="480" w:leftChars="200" w:firstLine="0" w:firstLineChars="0"/>
        <w:rPr>
          <w:rFonts w:ascii="宋体" w:hAnsi="宋体" w:cs="宋体"/>
          <w:kern w:val="0"/>
          <w:szCs w:val="24"/>
        </w:rPr>
      </w:pPr>
      <w:r>
        <w:rPr>
          <w:rFonts w:hint="eastAsia" w:ascii="宋体" w:hAnsi="宋体" w:cs="宋体"/>
          <w:szCs w:val="24"/>
          <w:shd w:val="clear" w:color="auto" w:fill="FFFFFF"/>
        </w:rPr>
        <w:t>《云南省水污染防治工作方案》（云政发〔2016〕3号）</w:t>
      </w:r>
    </w:p>
    <w:p>
      <w:pPr>
        <w:widowControl/>
        <w:adjustRightInd w:val="0"/>
        <w:snapToGrid w:val="0"/>
        <w:ind w:left="480" w:leftChars="200" w:firstLine="0" w:firstLineChars="0"/>
        <w:rPr>
          <w:rFonts w:ascii="宋体" w:hAnsi="宋体" w:cs="宋体"/>
          <w:kern w:val="0"/>
          <w:szCs w:val="24"/>
        </w:rPr>
      </w:pPr>
      <w:r>
        <w:rPr>
          <w:rFonts w:hint="eastAsia" w:ascii="宋体" w:hAnsi="宋体" w:cs="宋体"/>
          <w:szCs w:val="24"/>
          <w:shd w:val="clear" w:color="auto" w:fill="FFFFFF"/>
        </w:rPr>
        <w:t>《云南省水利厅关于公布县级以上城市重要集中式饮用水水源地名录的通知》（云水资源〔2013〕56号）</w:t>
      </w:r>
    </w:p>
    <w:p>
      <w:pPr>
        <w:widowControl/>
        <w:adjustRightInd w:val="0"/>
        <w:snapToGrid w:val="0"/>
        <w:ind w:left="480" w:leftChars="200" w:firstLine="0" w:firstLineChars="0"/>
        <w:rPr>
          <w:rFonts w:ascii="宋体" w:hAnsi="宋体" w:cs="宋体"/>
          <w:szCs w:val="24"/>
          <w:shd w:val="clear" w:color="auto" w:fill="FFFFFF"/>
        </w:rPr>
      </w:pPr>
      <w:r>
        <w:rPr>
          <w:rFonts w:hint="eastAsia" w:ascii="宋体" w:hAnsi="宋体" w:cs="宋体"/>
          <w:szCs w:val="24"/>
          <w:shd w:val="clear" w:color="auto" w:fill="FFFFFF"/>
        </w:rPr>
        <w:t>《云南省水利厅关于建立贯彻落实最严格水资源管理制度推进工作机制的通知》（云水发〔2014〕63号）</w:t>
      </w:r>
    </w:p>
    <w:p>
      <w:pPr>
        <w:widowControl/>
        <w:adjustRightInd w:val="0"/>
        <w:snapToGrid w:val="0"/>
        <w:ind w:left="480" w:leftChars="200" w:firstLine="0" w:firstLineChars="0"/>
        <w:rPr>
          <w:rFonts w:ascii="宋体" w:hAnsi="宋体" w:cs="宋体"/>
          <w:kern w:val="0"/>
          <w:szCs w:val="24"/>
        </w:rPr>
      </w:pPr>
      <w:bookmarkStart w:id="45" w:name="OLE_LINK1"/>
      <w:r>
        <w:rPr>
          <w:rFonts w:hint="eastAsia" w:ascii="宋体" w:hAnsi="宋体" w:cs="宋体"/>
          <w:szCs w:val="24"/>
          <w:shd w:val="clear" w:color="auto" w:fill="FFFFFF"/>
        </w:rPr>
        <w:t>《云南省人民政府关于加强节水型社会建设的意见》（云政发〔2014〕71号）</w:t>
      </w:r>
    </w:p>
    <w:p>
      <w:pPr>
        <w:widowControl/>
        <w:adjustRightInd w:val="0"/>
        <w:snapToGrid w:val="0"/>
        <w:ind w:left="480" w:leftChars="200" w:firstLine="0" w:firstLineChars="0"/>
        <w:rPr>
          <w:rFonts w:ascii="宋体" w:hAnsi="宋体" w:cs="宋体"/>
          <w:kern w:val="0"/>
          <w:szCs w:val="24"/>
        </w:rPr>
      </w:pPr>
      <w:r>
        <w:rPr>
          <w:rFonts w:hint="eastAsia" w:ascii="宋体" w:hAnsi="宋体" w:cs="宋体"/>
          <w:szCs w:val="24"/>
        </w:rPr>
        <w:t>《云南水利厅关于推进最严格水资源管理制度示范县工作的通知》（云水资源〔2015〕6号）</w:t>
      </w:r>
    </w:p>
    <w:p>
      <w:pPr>
        <w:widowControl/>
        <w:adjustRightInd w:val="0"/>
        <w:snapToGrid w:val="0"/>
        <w:ind w:left="480" w:leftChars="200" w:firstLine="0" w:firstLineChars="0"/>
        <w:rPr>
          <w:rFonts w:ascii="宋体" w:hAnsi="宋体" w:cs="宋体"/>
          <w:kern w:val="0"/>
          <w:szCs w:val="24"/>
        </w:rPr>
      </w:pPr>
      <w:r>
        <w:rPr>
          <w:rFonts w:hint="eastAsia" w:ascii="宋体" w:hAnsi="宋体" w:cs="宋体"/>
          <w:szCs w:val="24"/>
        </w:rPr>
        <w:t>《云南省水利厅关于印发“十二五”期间推动落实最严格水资源管理制度重点工作任务的通知》（云水资源〔2012〕83号）</w:t>
      </w:r>
    </w:p>
    <w:p>
      <w:pPr>
        <w:widowControl/>
        <w:adjustRightInd w:val="0"/>
        <w:snapToGrid w:val="0"/>
        <w:ind w:left="480" w:leftChars="200" w:firstLine="0" w:firstLineChars="0"/>
        <w:rPr>
          <w:rFonts w:ascii="宋体" w:hAnsi="宋体" w:cs="宋体"/>
          <w:kern w:val="0"/>
          <w:szCs w:val="24"/>
        </w:rPr>
      </w:pPr>
      <w:r>
        <w:rPr>
          <w:rFonts w:hint="eastAsia" w:ascii="宋体" w:hAnsi="宋体" w:cs="宋体"/>
          <w:szCs w:val="24"/>
        </w:rPr>
        <w:t>《云南省水利厅关于建立贯彻落实最严格水资源管理制度推进工作机制的通知》（云水发〔2014〕63号）</w:t>
      </w:r>
    </w:p>
    <w:p>
      <w:pPr>
        <w:widowControl/>
        <w:adjustRightInd w:val="0"/>
        <w:snapToGrid w:val="0"/>
        <w:ind w:left="480" w:leftChars="200" w:firstLine="0" w:firstLineChars="0"/>
        <w:rPr>
          <w:rFonts w:ascii="宋体" w:hAnsi="宋体" w:cs="宋体"/>
          <w:kern w:val="0"/>
          <w:szCs w:val="24"/>
        </w:rPr>
      </w:pPr>
      <w:r>
        <w:rPr>
          <w:rFonts w:hint="eastAsia" w:ascii="宋体" w:hAnsi="宋体" w:cs="宋体"/>
          <w:szCs w:val="24"/>
          <w:shd w:val="clear" w:color="auto" w:fill="FFFFFF"/>
        </w:rPr>
        <w:t>《云南省人民政府关于实行最严格水资源管理制度的意见》（云政发〔2012〕126号）</w:t>
      </w:r>
    </w:p>
    <w:p>
      <w:pPr>
        <w:widowControl/>
        <w:adjustRightInd w:val="0"/>
        <w:snapToGrid w:val="0"/>
        <w:ind w:left="480" w:leftChars="200" w:firstLine="0" w:firstLineChars="0"/>
        <w:rPr>
          <w:rFonts w:ascii="宋体" w:hAnsi="宋体" w:cs="宋体"/>
          <w:kern w:val="0"/>
          <w:szCs w:val="24"/>
        </w:rPr>
      </w:pPr>
      <w:r>
        <w:rPr>
          <w:rFonts w:hint="eastAsia" w:ascii="宋体" w:hAnsi="宋体" w:cs="宋体"/>
          <w:szCs w:val="24"/>
          <w:shd w:val="clear" w:color="auto" w:fill="FFFFFF"/>
        </w:rPr>
        <w:t>《曲靖市人民政府关于加强节水型社会建设的实施意见》（曲政发〔2015〕69号）</w:t>
      </w:r>
    </w:p>
    <w:bookmarkEnd w:id="45"/>
    <w:p>
      <w:pPr>
        <w:widowControl/>
        <w:adjustRightInd w:val="0"/>
        <w:snapToGrid w:val="0"/>
        <w:ind w:left="480" w:leftChars="200" w:firstLine="0" w:firstLineChars="0"/>
        <w:rPr>
          <w:rFonts w:ascii="宋体" w:hAnsi="宋体" w:cs="宋体"/>
          <w:szCs w:val="24"/>
          <w:shd w:val="clear" w:color="auto" w:fill="FFFFFF"/>
        </w:rPr>
      </w:pPr>
      <w:r>
        <w:rPr>
          <w:rFonts w:hint="eastAsia" w:ascii="宋体" w:hAnsi="宋体" w:cs="宋体"/>
          <w:szCs w:val="24"/>
          <w:shd w:val="clear" w:color="auto" w:fill="FFFFFF"/>
        </w:rPr>
        <w:t>《曲靖市环境保护局关于转发云南省环境保护厅关于进一步加强全省集式生活饮用水源地水质监测工作的通知》（曲环通〔2016〕54号）</w:t>
      </w:r>
    </w:p>
    <w:p>
      <w:pPr>
        <w:widowControl/>
        <w:adjustRightInd w:val="0"/>
        <w:snapToGrid w:val="0"/>
        <w:ind w:left="480" w:leftChars="200" w:firstLine="0" w:firstLineChars="0"/>
        <w:rPr>
          <w:rFonts w:ascii="宋体" w:hAnsi="宋体" w:cs="宋体"/>
          <w:kern w:val="0"/>
          <w:szCs w:val="24"/>
        </w:rPr>
      </w:pPr>
      <w:r>
        <w:rPr>
          <w:rFonts w:hint="eastAsia" w:ascii="宋体" w:hAnsi="宋体" w:cs="宋体"/>
          <w:szCs w:val="24"/>
          <w:shd w:val="clear" w:color="auto" w:fill="FFFFFF"/>
        </w:rPr>
        <w:t>《富源县农村饮水安全巩固提升工程“十三五”规划》</w:t>
      </w:r>
    </w:p>
    <w:p>
      <w:pPr>
        <w:pStyle w:val="5"/>
        <w:rPr>
          <w:rFonts w:ascii="宋体" w:hAnsi="宋体" w:eastAsia="宋体" w:cs="宋体"/>
          <w:szCs w:val="24"/>
          <w:shd w:val="clear" w:color="auto" w:fill="FFFFFF"/>
        </w:rPr>
      </w:pPr>
      <w:bookmarkStart w:id="46" w:name="_Toc19691419"/>
      <w:bookmarkStart w:id="47" w:name="_Toc10936"/>
      <w:r>
        <w:rPr>
          <w:rFonts w:hint="eastAsia"/>
        </w:rPr>
        <w:t>1</w:t>
      </w:r>
      <w:r>
        <w:t xml:space="preserve">.2.2  </w:t>
      </w:r>
      <w:r>
        <w:rPr>
          <w:rFonts w:hint="eastAsia"/>
        </w:rPr>
        <w:t>相关规划</w:t>
      </w:r>
      <w:bookmarkEnd w:id="46"/>
      <w:bookmarkEnd w:id="47"/>
    </w:p>
    <w:p>
      <w:pPr>
        <w:widowControl/>
        <w:adjustRightInd w:val="0"/>
        <w:snapToGrid w:val="0"/>
        <w:ind w:left="480" w:leftChars="200" w:firstLine="0" w:firstLineChars="0"/>
        <w:rPr>
          <w:rFonts w:ascii="宋体" w:hAnsi="宋体" w:cs="宋体"/>
          <w:szCs w:val="24"/>
          <w:shd w:val="clear" w:color="auto" w:fill="FFFFFF"/>
        </w:rPr>
      </w:pPr>
      <w:r>
        <w:rPr>
          <w:rFonts w:hint="eastAsia" w:ascii="宋体" w:hAnsi="宋体" w:cs="宋体"/>
          <w:szCs w:val="24"/>
          <w:shd w:val="clear" w:color="auto" w:fill="FFFFFF"/>
        </w:rPr>
        <w:t>《全国城市饮用水水源地环境保护规划》(2008-2020年)</w:t>
      </w:r>
    </w:p>
    <w:p>
      <w:pPr>
        <w:widowControl/>
        <w:adjustRightInd w:val="0"/>
        <w:snapToGrid w:val="0"/>
        <w:ind w:left="480" w:leftChars="200" w:firstLine="0" w:firstLineChars="0"/>
        <w:rPr>
          <w:rFonts w:ascii="宋体" w:hAnsi="宋体" w:cs="宋体"/>
          <w:szCs w:val="24"/>
          <w:shd w:val="clear" w:color="auto" w:fill="FFFFFF"/>
        </w:rPr>
      </w:pPr>
      <w:r>
        <w:rPr>
          <w:rFonts w:hint="eastAsia" w:ascii="宋体" w:hAnsi="宋体" w:cs="宋体"/>
          <w:szCs w:val="24"/>
          <w:shd w:val="clear" w:color="auto" w:fill="FFFFFF"/>
        </w:rPr>
        <w:t>《云南省水资源保护规划报告》（2016年）</w:t>
      </w:r>
    </w:p>
    <w:p>
      <w:pPr>
        <w:widowControl/>
        <w:adjustRightInd w:val="0"/>
        <w:snapToGrid w:val="0"/>
        <w:ind w:left="480" w:leftChars="200" w:firstLine="0" w:firstLineChars="0"/>
        <w:rPr>
          <w:rFonts w:ascii="宋体" w:hAnsi="宋体" w:cs="宋体"/>
          <w:szCs w:val="24"/>
          <w:shd w:val="clear" w:color="auto" w:fill="FFFFFF"/>
        </w:rPr>
      </w:pPr>
      <w:r>
        <w:rPr>
          <w:rFonts w:hint="eastAsia" w:ascii="宋体" w:hAnsi="宋体" w:cs="宋体"/>
          <w:szCs w:val="24"/>
          <w:shd w:val="clear" w:color="auto" w:fill="FFFFFF"/>
        </w:rPr>
        <w:t>《曲靖市水资源保护规划》（2015年）</w:t>
      </w:r>
    </w:p>
    <w:p>
      <w:pPr>
        <w:widowControl/>
        <w:adjustRightInd w:val="0"/>
        <w:snapToGrid w:val="0"/>
        <w:ind w:left="480" w:leftChars="200" w:firstLine="0" w:firstLineChars="0"/>
        <w:rPr>
          <w:rFonts w:ascii="宋体" w:hAnsi="宋体" w:cs="宋体"/>
          <w:szCs w:val="24"/>
          <w:shd w:val="clear" w:color="auto" w:fill="FFFFFF"/>
        </w:rPr>
      </w:pPr>
      <w:r>
        <w:rPr>
          <w:rFonts w:hint="eastAsia" w:ascii="宋体" w:hAnsi="宋体" w:cs="宋体"/>
          <w:szCs w:val="24"/>
          <w:shd w:val="clear" w:color="auto" w:fill="FFFFFF"/>
        </w:rPr>
        <w:t>《曲靖市城市城市集中式饮用水源地环境保护规划》（2015年9月）</w:t>
      </w:r>
    </w:p>
    <w:p>
      <w:pPr>
        <w:widowControl/>
        <w:adjustRightInd w:val="0"/>
        <w:snapToGrid w:val="0"/>
        <w:ind w:left="480" w:leftChars="200" w:firstLine="0" w:firstLineChars="0"/>
        <w:rPr>
          <w:rFonts w:ascii="宋体" w:hAnsi="宋体" w:cs="宋体"/>
          <w:szCs w:val="24"/>
          <w:shd w:val="clear" w:color="auto" w:fill="FFFFFF"/>
        </w:rPr>
      </w:pPr>
      <w:r>
        <w:rPr>
          <w:rFonts w:hint="eastAsia" w:ascii="宋体" w:hAnsi="宋体" w:cs="宋体"/>
          <w:szCs w:val="24"/>
          <w:shd w:val="clear" w:color="auto" w:fill="FFFFFF"/>
        </w:rPr>
        <w:t>《曲靖市环境保护“十三五”规划》（2017年）</w:t>
      </w:r>
    </w:p>
    <w:p>
      <w:pPr>
        <w:widowControl/>
        <w:adjustRightInd w:val="0"/>
        <w:snapToGrid w:val="0"/>
        <w:ind w:left="480" w:leftChars="200" w:firstLine="0" w:firstLineChars="0"/>
        <w:rPr>
          <w:rFonts w:ascii="宋体" w:hAnsi="宋体" w:cs="宋体"/>
          <w:szCs w:val="24"/>
          <w:shd w:val="clear" w:color="auto" w:fill="FFFFFF"/>
        </w:rPr>
      </w:pPr>
      <w:r>
        <w:rPr>
          <w:rFonts w:hint="eastAsia" w:ascii="宋体" w:hAnsi="宋体" w:cs="宋体"/>
          <w:szCs w:val="24"/>
          <w:shd w:val="clear" w:color="auto" w:fill="FFFFFF"/>
        </w:rPr>
        <w:t>《富源生态文明建设规划》(2016—2025年)</w:t>
      </w:r>
    </w:p>
    <w:p>
      <w:pPr>
        <w:widowControl/>
        <w:adjustRightInd w:val="0"/>
        <w:snapToGrid w:val="0"/>
        <w:ind w:left="480" w:leftChars="200" w:firstLine="0" w:firstLineChars="0"/>
        <w:rPr>
          <w:rFonts w:ascii="宋体" w:hAnsi="宋体" w:cs="宋体"/>
          <w:szCs w:val="24"/>
          <w:shd w:val="clear" w:color="auto" w:fill="FFFFFF"/>
        </w:rPr>
      </w:pPr>
      <w:r>
        <w:rPr>
          <w:rFonts w:hint="eastAsia" w:ascii="宋体" w:hAnsi="宋体" w:cs="宋体"/>
          <w:szCs w:val="24"/>
          <w:shd w:val="clear" w:color="auto" w:fill="FFFFFF"/>
        </w:rPr>
        <w:t>《</w:t>
      </w:r>
      <w:r>
        <w:rPr>
          <w:rFonts w:hint="eastAsia" w:ascii="宋体" w:hAnsi="宋体" w:cs="宋体"/>
          <w:szCs w:val="24"/>
        </w:rPr>
        <w:t>云南省地表水水环境功能区划</w:t>
      </w:r>
      <w:r>
        <w:rPr>
          <w:rFonts w:hint="eastAsia" w:ascii="宋体" w:hAnsi="宋体" w:cs="宋体"/>
          <w:szCs w:val="24"/>
          <w:shd w:val="clear" w:color="auto" w:fill="FFFFFF"/>
        </w:rPr>
        <w:t>》(2010—2020年)</w:t>
      </w:r>
    </w:p>
    <w:p>
      <w:pPr>
        <w:pStyle w:val="4"/>
      </w:pPr>
      <w:bookmarkStart w:id="48" w:name="_Toc22308"/>
      <w:bookmarkStart w:id="49" w:name="_Toc19691420"/>
      <w:r>
        <w:rPr>
          <w:rFonts w:hint="eastAsia"/>
        </w:rPr>
        <w:t>1</w:t>
      </w:r>
      <w:r>
        <w:t xml:space="preserve">.3  </w:t>
      </w:r>
      <w:r>
        <w:rPr>
          <w:rFonts w:hint="eastAsia"/>
        </w:rPr>
        <w:t>技术路线</w:t>
      </w:r>
      <w:bookmarkEnd w:id="48"/>
      <w:bookmarkEnd w:id="49"/>
    </w:p>
    <w:p>
      <w:pPr>
        <w:pStyle w:val="5"/>
      </w:pPr>
      <w:bookmarkStart w:id="50" w:name="_Toc19691421"/>
      <w:bookmarkStart w:id="51" w:name="_Toc9234"/>
      <w:r>
        <w:rPr>
          <w:rFonts w:hint="eastAsia"/>
        </w:rPr>
        <w:t>1</w:t>
      </w:r>
      <w:r>
        <w:t xml:space="preserve">.3.1  </w:t>
      </w:r>
      <w:r>
        <w:rPr>
          <w:rFonts w:hint="eastAsia"/>
        </w:rPr>
        <w:t>技术步骤</w:t>
      </w:r>
      <w:bookmarkEnd w:id="50"/>
      <w:bookmarkEnd w:id="51"/>
    </w:p>
    <w:p>
      <w:pPr>
        <w:ind w:firstLine="480"/>
      </w:pPr>
      <w:r>
        <w:rPr>
          <w:rFonts w:hint="eastAsia"/>
        </w:rPr>
        <w:t>2</w:t>
      </w:r>
      <w:r>
        <w:t>019</w:t>
      </w:r>
      <w:r>
        <w:rPr>
          <w:rFonts w:hint="eastAsia"/>
        </w:rPr>
        <w:t>年8月，</w:t>
      </w:r>
      <w:r>
        <w:rPr>
          <w:rFonts w:hint="eastAsia"/>
          <w:u w:val="single"/>
        </w:rPr>
        <w:t>富源县富村镇人民政府</w:t>
      </w:r>
      <w:r>
        <w:rPr>
          <w:rFonts w:hint="eastAsia"/>
        </w:rPr>
        <w:t>（以下简称“富村镇人民政府”）委托</w:t>
      </w:r>
      <w:r>
        <w:rPr>
          <w:rFonts w:hint="eastAsia"/>
          <w:u w:val="single"/>
        </w:rPr>
        <w:t>云南巽通环保科技有限公司</w:t>
      </w:r>
      <w:r>
        <w:rPr>
          <w:rFonts w:hint="eastAsia"/>
        </w:rPr>
        <w:t>（以下简称“巽通环保”）对</w:t>
      </w:r>
      <w:r>
        <w:rPr>
          <w:rFonts w:hint="eastAsia"/>
          <w:u w:val="single"/>
        </w:rPr>
        <w:t>富源县大竹林水库</w:t>
      </w:r>
      <w:r>
        <w:rPr>
          <w:rFonts w:hint="eastAsia"/>
        </w:rPr>
        <w:t>（以下简称“大竹林水库”）饮用水水源地环境现状进行调查，并完成饮用水水源地保护区划分和技术报告的编制工作。巽通环保严格按照《饮用水水源保护区划技术规范》（HJ</w:t>
      </w:r>
      <w:r>
        <w:t xml:space="preserve"> 338-2018</w:t>
      </w:r>
      <w:r>
        <w:rPr>
          <w:rFonts w:hint="eastAsia"/>
        </w:rPr>
        <w:t>）所要求的技术步骤，完成此项工作，技术步骤如图1</w:t>
      </w:r>
      <w:r>
        <w:t>-1</w:t>
      </w:r>
      <w:r>
        <w:rPr>
          <w:rFonts w:hint="eastAsia"/>
        </w:rPr>
        <w:t>所示。</w:t>
      </w:r>
    </w:p>
    <w:p>
      <w:pPr>
        <w:ind w:firstLine="480"/>
      </w:pPr>
      <w:r>
        <w:rPr>
          <w:rFonts w:cs="Times New Roman"/>
          <w:szCs w:val="24"/>
        </w:rPr>
        <mc:AlternateContent>
          <mc:Choice Requires="wpg">
            <w:drawing>
              <wp:anchor distT="0" distB="0" distL="114300" distR="114300" simplePos="0" relativeHeight="251659264" behindDoc="0" locked="0" layoutInCell="1" allowOverlap="1">
                <wp:simplePos x="0" y="0"/>
                <wp:positionH relativeFrom="column">
                  <wp:posOffset>1171575</wp:posOffset>
                </wp:positionH>
                <wp:positionV relativeFrom="paragraph">
                  <wp:posOffset>295275</wp:posOffset>
                </wp:positionV>
                <wp:extent cx="3171825" cy="4794250"/>
                <wp:effectExtent l="6350" t="6350" r="22225" b="19050"/>
                <wp:wrapTopAndBottom/>
                <wp:docPr id="1" name="组合 1"/>
                <wp:cNvGraphicFramePr/>
                <a:graphic xmlns:a="http://schemas.openxmlformats.org/drawingml/2006/main">
                  <a:graphicData uri="http://schemas.microsoft.com/office/word/2010/wordprocessingGroup">
                    <wpg:wgp>
                      <wpg:cNvGrpSpPr/>
                      <wpg:grpSpPr>
                        <a:xfrm>
                          <a:off x="0" y="0"/>
                          <a:ext cx="3171825" cy="4794250"/>
                          <a:chOff x="0" y="0"/>
                          <a:chExt cx="2726267" cy="4794250"/>
                        </a:xfrm>
                      </wpg:grpSpPr>
                      <wps:wsp>
                        <wps:cNvPr id="27" name="矩形 27"/>
                        <wps:cNvSpPr/>
                        <wps:spPr>
                          <a:xfrm>
                            <a:off x="66675" y="0"/>
                            <a:ext cx="2592000" cy="270000"/>
                          </a:xfrm>
                          <a:prstGeom prst="rect">
                            <a:avLst/>
                          </a:prstGeom>
                        </wps:spPr>
                        <wps:style>
                          <a:lnRef idx="2">
                            <a:schemeClr val="dk1"/>
                          </a:lnRef>
                          <a:fillRef idx="1">
                            <a:schemeClr val="lt1"/>
                          </a:fillRef>
                          <a:effectRef idx="0">
                            <a:schemeClr val="dk1"/>
                          </a:effectRef>
                          <a:fontRef idx="minor">
                            <a:schemeClr val="dk1"/>
                          </a:fontRef>
                        </wps:style>
                        <wps:txbx>
                          <w:txbxContent>
                            <w:p>
                              <w:pPr>
                                <w:pStyle w:val="35"/>
                              </w:pPr>
                              <w:r>
                                <w:rPr>
                                  <w:rFonts w:hint="eastAsia"/>
                                </w:rPr>
                                <w:t>水源地水质、环境状况调查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28" name="直接箭头连接符 28"/>
                        <wps:cNvCnPr/>
                        <wps:spPr>
                          <a:xfrm>
                            <a:off x="1381125" y="285750"/>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矩形 29"/>
                        <wps:cNvSpPr/>
                        <wps:spPr>
                          <a:xfrm>
                            <a:off x="66675" y="514350"/>
                            <a:ext cx="2592000" cy="270000"/>
                          </a:xfrm>
                          <a:prstGeom prst="rect">
                            <a:avLst/>
                          </a:prstGeom>
                        </wps:spPr>
                        <wps:style>
                          <a:lnRef idx="2">
                            <a:schemeClr val="dk1"/>
                          </a:lnRef>
                          <a:fillRef idx="1">
                            <a:schemeClr val="lt1"/>
                          </a:fillRef>
                          <a:effectRef idx="0">
                            <a:schemeClr val="dk1"/>
                          </a:effectRef>
                          <a:fontRef idx="minor">
                            <a:schemeClr val="dk1"/>
                          </a:fontRef>
                        </wps:style>
                        <wps:txbx>
                          <w:txbxContent>
                            <w:p>
                              <w:pPr>
                                <w:pStyle w:val="35"/>
                              </w:pPr>
                              <w:r>
                                <w:rPr>
                                  <w:rFonts w:hint="eastAsia"/>
                                </w:rPr>
                                <w:t>分析问题清单、识别环境风险</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30" name="直接箭头连接符 30"/>
                        <wps:cNvCnPr/>
                        <wps:spPr>
                          <a:xfrm>
                            <a:off x="1381125" y="790575"/>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矩形 31"/>
                        <wps:cNvSpPr/>
                        <wps:spPr>
                          <a:xfrm>
                            <a:off x="638175" y="1009650"/>
                            <a:ext cx="1439545" cy="269875"/>
                          </a:xfrm>
                          <a:prstGeom prst="rect">
                            <a:avLst/>
                          </a:prstGeom>
                        </wps:spPr>
                        <wps:style>
                          <a:lnRef idx="2">
                            <a:schemeClr val="dk1"/>
                          </a:lnRef>
                          <a:fillRef idx="1">
                            <a:schemeClr val="lt1"/>
                          </a:fillRef>
                          <a:effectRef idx="0">
                            <a:schemeClr val="dk1"/>
                          </a:effectRef>
                          <a:fontRef idx="minor">
                            <a:schemeClr val="dk1"/>
                          </a:fontRef>
                        </wps:style>
                        <wps:txbx>
                          <w:txbxContent>
                            <w:p>
                              <w:pPr>
                                <w:pStyle w:val="35"/>
                              </w:pPr>
                              <w:r>
                                <w:rPr>
                                  <w:rFonts w:hint="eastAsia"/>
                                </w:rPr>
                                <w:t>环境管理要求</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32" name="直接箭头连接符 32"/>
                        <wps:cNvCnPr/>
                        <wps:spPr>
                          <a:xfrm>
                            <a:off x="1381125" y="1276350"/>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矩形 33"/>
                        <wps:cNvSpPr/>
                        <wps:spPr>
                          <a:xfrm>
                            <a:off x="638175" y="1514475"/>
                            <a:ext cx="1440000" cy="270000"/>
                          </a:xfrm>
                          <a:prstGeom prst="rect">
                            <a:avLst/>
                          </a:prstGeom>
                        </wps:spPr>
                        <wps:style>
                          <a:lnRef idx="2">
                            <a:schemeClr val="dk1"/>
                          </a:lnRef>
                          <a:fillRef idx="1">
                            <a:schemeClr val="lt1"/>
                          </a:fillRef>
                          <a:effectRef idx="0">
                            <a:schemeClr val="dk1"/>
                          </a:effectRef>
                          <a:fontRef idx="minor">
                            <a:schemeClr val="dk1"/>
                          </a:fontRef>
                        </wps:style>
                        <wps:txbx>
                          <w:txbxContent>
                            <w:p>
                              <w:pPr>
                                <w:pStyle w:val="35"/>
                              </w:pPr>
                              <w:r>
                                <w:rPr>
                                  <w:rFonts w:hint="eastAsia"/>
                                </w:rPr>
                                <w:t>筛选划分方法</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34" name="直接箭头连接符 34"/>
                        <wps:cNvCnPr/>
                        <wps:spPr>
                          <a:xfrm>
                            <a:off x="1371600" y="1781175"/>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矩形 35"/>
                        <wps:cNvSpPr/>
                        <wps:spPr>
                          <a:xfrm>
                            <a:off x="295275" y="2009775"/>
                            <a:ext cx="2141855" cy="269875"/>
                          </a:xfrm>
                          <a:prstGeom prst="rect">
                            <a:avLst/>
                          </a:prstGeom>
                        </wps:spPr>
                        <wps:style>
                          <a:lnRef idx="2">
                            <a:schemeClr val="dk1"/>
                          </a:lnRef>
                          <a:fillRef idx="1">
                            <a:schemeClr val="lt1"/>
                          </a:fillRef>
                          <a:effectRef idx="0">
                            <a:schemeClr val="dk1"/>
                          </a:effectRef>
                          <a:fontRef idx="minor">
                            <a:schemeClr val="dk1"/>
                          </a:fontRef>
                        </wps:style>
                        <wps:txbx>
                          <w:txbxContent>
                            <w:p>
                              <w:pPr>
                                <w:pStyle w:val="35"/>
                              </w:pPr>
                              <w:r>
                                <w:rPr>
                                  <w:rFonts w:hint="eastAsia"/>
                                </w:rPr>
                                <w:t>分析计算确定保护区范围</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36" name="直接箭头连接符 36"/>
                        <wps:cNvCnPr/>
                        <wps:spPr>
                          <a:xfrm>
                            <a:off x="1381125" y="2266950"/>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矩形 37"/>
                        <wps:cNvSpPr/>
                        <wps:spPr>
                          <a:xfrm>
                            <a:off x="104775" y="2505075"/>
                            <a:ext cx="2514600" cy="269875"/>
                          </a:xfrm>
                          <a:prstGeom prst="rect">
                            <a:avLst/>
                          </a:prstGeom>
                        </wps:spPr>
                        <wps:style>
                          <a:lnRef idx="2">
                            <a:schemeClr val="dk1"/>
                          </a:lnRef>
                          <a:fillRef idx="1">
                            <a:schemeClr val="lt1"/>
                          </a:fillRef>
                          <a:effectRef idx="0">
                            <a:schemeClr val="dk1"/>
                          </a:effectRef>
                          <a:fontRef idx="minor">
                            <a:schemeClr val="dk1"/>
                          </a:fontRef>
                        </wps:style>
                        <wps:txbx>
                          <w:txbxContent>
                            <w:p>
                              <w:pPr>
                                <w:pStyle w:val="35"/>
                              </w:pPr>
                              <w:r>
                                <w:rPr>
                                  <w:rFonts w:hint="eastAsia"/>
                                </w:rPr>
                                <w:t>现场定界、初步确定经纬度坐标</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38" name="直接箭头连接符 38"/>
                        <wps:cNvCnPr/>
                        <wps:spPr>
                          <a:xfrm>
                            <a:off x="1381125" y="2781300"/>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矩形 39"/>
                        <wps:cNvSpPr/>
                        <wps:spPr>
                          <a:xfrm>
                            <a:off x="638175" y="3009900"/>
                            <a:ext cx="1440000" cy="270510"/>
                          </a:xfrm>
                          <a:prstGeom prst="rect">
                            <a:avLst/>
                          </a:prstGeom>
                        </wps:spPr>
                        <wps:style>
                          <a:lnRef idx="2">
                            <a:schemeClr val="dk1"/>
                          </a:lnRef>
                          <a:fillRef idx="1">
                            <a:schemeClr val="lt1"/>
                          </a:fillRef>
                          <a:effectRef idx="0">
                            <a:schemeClr val="dk1"/>
                          </a:effectRef>
                          <a:fontRef idx="minor">
                            <a:schemeClr val="dk1"/>
                          </a:fontRef>
                        </wps:style>
                        <wps:txbx>
                          <w:txbxContent>
                            <w:p>
                              <w:pPr>
                                <w:pStyle w:val="35"/>
                              </w:pPr>
                              <w:r>
                                <w:rPr>
                                  <w:rFonts w:hint="eastAsia"/>
                                </w:rPr>
                                <w:t>编制技术报告</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40" name="直接箭头连接符 40"/>
                        <wps:cNvCnPr/>
                        <wps:spPr>
                          <a:xfrm>
                            <a:off x="1381125" y="3286125"/>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矩形 41"/>
                        <wps:cNvSpPr/>
                        <wps:spPr>
                          <a:xfrm>
                            <a:off x="733425" y="3514725"/>
                            <a:ext cx="1260000" cy="270000"/>
                          </a:xfrm>
                          <a:prstGeom prst="rect">
                            <a:avLst/>
                          </a:prstGeom>
                        </wps:spPr>
                        <wps:style>
                          <a:lnRef idx="2">
                            <a:schemeClr val="dk1"/>
                          </a:lnRef>
                          <a:fillRef idx="1">
                            <a:schemeClr val="lt1"/>
                          </a:fillRef>
                          <a:effectRef idx="0">
                            <a:schemeClr val="dk1"/>
                          </a:effectRef>
                          <a:fontRef idx="minor">
                            <a:schemeClr val="dk1"/>
                          </a:fontRef>
                        </wps:style>
                        <wps:txbx>
                          <w:txbxContent>
                            <w:p>
                              <w:pPr>
                                <w:pStyle w:val="35"/>
                              </w:pPr>
                              <w:r>
                                <w:rPr>
                                  <w:rFonts w:hint="eastAsia"/>
                                </w:rPr>
                                <w:t>专家审议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42" name="直接箭头连接符 42"/>
                        <wps:cNvCnPr/>
                        <wps:spPr>
                          <a:xfrm>
                            <a:off x="1371600" y="3781425"/>
                            <a:ext cx="0" cy="2201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矩形 43"/>
                        <wps:cNvSpPr/>
                        <wps:spPr>
                          <a:xfrm>
                            <a:off x="0" y="4019550"/>
                            <a:ext cx="2726267" cy="270000"/>
                          </a:xfrm>
                          <a:prstGeom prst="rect">
                            <a:avLst/>
                          </a:prstGeom>
                        </wps:spPr>
                        <wps:style>
                          <a:lnRef idx="2">
                            <a:schemeClr val="dk1"/>
                          </a:lnRef>
                          <a:fillRef idx="1">
                            <a:schemeClr val="lt1"/>
                          </a:fillRef>
                          <a:effectRef idx="0">
                            <a:schemeClr val="dk1"/>
                          </a:effectRef>
                          <a:fontRef idx="minor">
                            <a:schemeClr val="dk1"/>
                          </a:fontRef>
                        </wps:style>
                        <wps:txbx>
                          <w:txbxContent>
                            <w:p>
                              <w:pPr>
                                <w:pStyle w:val="35"/>
                              </w:pPr>
                              <w:r>
                                <w:rPr>
                                  <w:rFonts w:hint="eastAsia"/>
                                </w:rPr>
                                <w:t>最终修订边界坐标、制作保护区图件</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44" name="直接箭头连接符 44"/>
                        <wps:cNvCnPr/>
                        <wps:spPr>
                          <a:xfrm>
                            <a:off x="1381125" y="4295775"/>
                            <a:ext cx="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矩形 45"/>
                        <wps:cNvSpPr/>
                        <wps:spPr>
                          <a:xfrm>
                            <a:off x="638175" y="4524375"/>
                            <a:ext cx="1439545" cy="269875"/>
                          </a:xfrm>
                          <a:prstGeom prst="rect">
                            <a:avLst/>
                          </a:prstGeom>
                        </wps:spPr>
                        <wps:style>
                          <a:lnRef idx="2">
                            <a:schemeClr val="dk1"/>
                          </a:lnRef>
                          <a:fillRef idx="1">
                            <a:schemeClr val="lt1"/>
                          </a:fillRef>
                          <a:effectRef idx="0">
                            <a:schemeClr val="dk1"/>
                          </a:effectRef>
                          <a:fontRef idx="minor">
                            <a:schemeClr val="dk1"/>
                          </a:fontRef>
                        </wps:style>
                        <wps:txbx>
                          <w:txbxContent>
                            <w:p>
                              <w:pPr>
                                <w:pStyle w:val="35"/>
                              </w:pPr>
                              <w:r>
                                <w:rPr>
                                  <w:rFonts w:hint="eastAsia"/>
                                </w:rPr>
                                <w:t>报政府审批</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g:wgp>
                  </a:graphicData>
                </a:graphic>
              </wp:anchor>
            </w:drawing>
          </mc:Choice>
          <mc:Fallback>
            <w:pict>
              <v:group id="_x0000_s1026" o:spid="_x0000_s1026" o:spt="203" style="position:absolute;left:0pt;margin-left:92.25pt;margin-top:23.25pt;height:377.5pt;width:249.75pt;mso-wrap-distance-bottom:0pt;mso-wrap-distance-top:0pt;z-index:251659264;mso-width-relative:page;mso-height-relative:page;" coordsize="2726267,4794250" o:gfxdata="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">
                <o:lock v:ext="edit" aspectratio="f"/>
                <v:rect id="_x0000_s1026" o:spid="_x0000_s1026" o:spt="1" style="position:absolute;left:66675;top:0;height:270000;width:2592000;v-text-anchor:middle;" fillcolor="#FFFFFF [3201]" filled="t" stroked="t" coordsize="21600,21600" o:gfxdata="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FQ6L0AAADbAAAADwAAAAAAAAABACAAAAA4AAAAZHJzL2Rvd25yZXYu&#10;eG1sUEsBAhQAFAAAAAgAh07iQDMvBZ47AAAAOQAAABAAAAAAAAAAAQAgAAAAIgEAAGRycy9zaGFw&#10;ZXhtbC54bWxQSwUGAAAAAAYABgBbAQAAzAMAAAAA&#10;">
                  <v:fill on="t" focussize="0,0"/>
                  <v:stroke weight="1pt" color="#000000 [3200]" miterlimit="8" joinstyle="miter"/>
                  <v:imagedata o:title=""/>
                  <o:lock v:ext="edit" aspectratio="f"/>
                  <v:textbox>
                    <w:txbxContent>
                      <w:p>
                        <w:pPr>
                          <w:pStyle w:val="35"/>
                        </w:pPr>
                        <w:r>
                          <w:rPr>
                            <w:rFonts w:hint="eastAsia"/>
                          </w:rPr>
                          <w:t>水源地水质、环境状况调查</w:t>
                        </w:r>
                      </w:p>
                    </w:txbxContent>
                  </v:textbox>
                </v:rect>
                <v:shape id="_x0000_s1026" o:spid="_x0000_s1026" o:spt="32" type="#_x0000_t32" style="position:absolute;left:1381125;top:285750;height:216000;width:0;" filled="f" stroked="t" coordsize="21600,21600" o:gfxdata="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WGmdLoAAADbAAAADwAAAAAAAAABACAAAAA4AAAAZHJzL2Rvd25yZXYueG1s&#10;UEsBAhQAFAAAAAgAh07iQDMvBZ47AAAAOQAAABAAAAAAAAAAAQAgAAAAHwEAAGRycy9zaGFwZXht&#10;bC54bWxQSwUGAAAAAAYABgBbAQAAyQMAAAAA&#10;">
                  <v:fill on="f" focussize="0,0"/>
                  <v:stroke weight="0.5pt" color="#000000 [3200]" miterlimit="8" joinstyle="miter" endarrow="block"/>
                  <v:imagedata o:title=""/>
                  <o:lock v:ext="edit" aspectratio="f"/>
                </v:shape>
                <v:rect id="_x0000_s1026" o:spid="_x0000_s1026" o:spt="1" style="position:absolute;left:66675;top:514350;height:270000;width:2592000;v-text-anchor:middle;" fillcolor="#FFFFFF [3201]" filled="t" stroked="t" coordsize="21600,21600" o:gfxdata="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8JhAb0AAADbAAAADwAAAAAAAAABACAAAAA4AAAAZHJzL2Rvd25yZXYu&#10;eG1sUEsBAhQAFAAAAAgAh07iQDMvBZ47AAAAOQAAABAAAAAAAAAAAQAgAAAAIgEAAGRycy9zaGFw&#10;ZXhtbC54bWxQSwUGAAAAAAYABgBbAQAAzAMAAAAA&#10;">
                  <v:fill on="t" focussize="0,0"/>
                  <v:stroke weight="1pt" color="#000000 [3200]" miterlimit="8" joinstyle="miter"/>
                  <v:imagedata o:title=""/>
                  <o:lock v:ext="edit" aspectratio="f"/>
                  <v:textbox>
                    <w:txbxContent>
                      <w:p>
                        <w:pPr>
                          <w:pStyle w:val="35"/>
                        </w:pPr>
                        <w:r>
                          <w:rPr>
                            <w:rFonts w:hint="eastAsia"/>
                          </w:rPr>
                          <w:t>分析问题清单、识别环境风险</w:t>
                        </w:r>
                      </w:p>
                    </w:txbxContent>
                  </v:textbox>
                </v:rect>
                <v:shape id="_x0000_s1026" o:spid="_x0000_s1026" o:spt="32" type="#_x0000_t32" style="position:absolute;left:1381125;top:790575;height:215900;width:0;" filled="f" stroked="t" coordsize="21600,21600" o:gfxdata="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&#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CzjyvuQAAANsAAAAPAAAAAAAAAAEAIAAAADgAAABkcnMvZG93bnJldi54bWxQ&#10;SwECFAAUAAAACACHTuJAMy8FnjsAAAA5AAAAEAAAAAAAAAABACAAAAAeAQAAZHJzL3NoYXBleG1s&#10;LnhtbFBLBQYAAAAABgAGAFsBAADIAwAAAAA=&#10;">
                  <v:fill on="f" focussize="0,0"/>
                  <v:stroke weight="0.5pt" color="#000000 [3200]" miterlimit="8" joinstyle="miter" endarrow="block"/>
                  <v:imagedata o:title=""/>
                  <o:lock v:ext="edit" aspectratio="f"/>
                </v:shape>
                <v:rect id="_x0000_s1026" o:spid="_x0000_s1026" o:spt="1" style="position:absolute;left:638175;top:1009650;height:269875;width:1439545;v-text-anchor:middle;" fillcolor="#FFFFFF [3201]" filled="t" stroked="t" coordsize="21600,21600" o:gfxdata="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G372r0AAADbAAAADwAAAAAAAAABACAAAAA4AAAAZHJzL2Rvd25yZXYu&#10;eG1sUEsBAhQAFAAAAAgAh07iQDMvBZ47AAAAOQAAABAAAAAAAAAAAQAgAAAAIgEAAGRycy9zaGFw&#10;ZXhtbC54bWxQSwUGAAAAAAYABgBbAQAAzAMAAAAA&#10;">
                  <v:fill on="t" focussize="0,0"/>
                  <v:stroke weight="1pt" color="#000000 [3200]" miterlimit="8" joinstyle="miter"/>
                  <v:imagedata o:title=""/>
                  <o:lock v:ext="edit" aspectratio="f"/>
                  <v:textbox>
                    <w:txbxContent>
                      <w:p>
                        <w:pPr>
                          <w:pStyle w:val="35"/>
                        </w:pPr>
                        <w:r>
                          <w:rPr>
                            <w:rFonts w:hint="eastAsia"/>
                          </w:rPr>
                          <w:t>环境管理要求</w:t>
                        </w:r>
                      </w:p>
                    </w:txbxContent>
                  </v:textbox>
                </v:rect>
                <v:shape id="_x0000_s1026" o:spid="_x0000_s1026" o:spt="32" type="#_x0000_t32" style="position:absolute;left:1381125;top:1276350;height:216000;width:0;" filled="f" stroked="t" coordsize="21600,21600" o:gfxdata="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VAHQ70AAADbAAAADwAAAAAAAAABACAAAAA4AAAAZHJzL2Rvd25yZXYu&#10;eG1sUEsBAhQAFAAAAAgAh07iQDMvBZ47AAAAOQAAABAAAAAAAAAAAQAgAAAAIgEAAGRycy9zaGFw&#10;ZXhtbC54bWxQSwUGAAAAAAYABgBbAQAAzAMAAAAA&#10;">
                  <v:fill on="f" focussize="0,0"/>
                  <v:stroke weight="0.5pt" color="#000000 [3200]" miterlimit="8" joinstyle="miter" endarrow="block"/>
                  <v:imagedata o:title=""/>
                  <o:lock v:ext="edit" aspectratio="f"/>
                </v:shape>
                <v:rect id="_x0000_s1026" o:spid="_x0000_s1026" o:spt="1" style="position:absolute;left:638175;top:1514475;height:270000;width:1440000;v-text-anchor:middle;" fillcolor="#FFFFFF [3201]" filled="t" stroked="t" coordsize="21600,21600" o:gfxdata="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D88A2vAAAANsAAAAPAAAAAAAAAAEAIAAAADgAAABkcnMvZG93bnJldi54&#10;bWxQSwECFAAUAAAACACHTuJAMy8FnjsAAAA5AAAAEAAAAAAAAAABACAAAAAhAQAAZHJzL3NoYXBl&#10;eG1sLnhtbFBLBQYAAAAABgAGAFsBAADLAwAAAAA=&#10;">
                  <v:fill on="t" focussize="0,0"/>
                  <v:stroke weight="1pt" color="#000000 [3200]" miterlimit="8" joinstyle="miter"/>
                  <v:imagedata o:title=""/>
                  <o:lock v:ext="edit" aspectratio="f"/>
                  <v:textbox>
                    <w:txbxContent>
                      <w:p>
                        <w:pPr>
                          <w:pStyle w:val="35"/>
                        </w:pPr>
                        <w:r>
                          <w:rPr>
                            <w:rFonts w:hint="eastAsia"/>
                          </w:rPr>
                          <w:t>筛选划分方法</w:t>
                        </w:r>
                      </w:p>
                    </w:txbxContent>
                  </v:textbox>
                </v:rect>
                <v:shape id="_x0000_s1026" o:spid="_x0000_s1026" o:spt="32" type="#_x0000_t32" style="position:absolute;left:1371600;top:1781175;height:215900;width:0;" filled="f" stroked="t" coordsize="21600,21600" o:gfxdata="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31Oqy7AAAA2wAAAA8AAAAAAAAAAQAgAAAAOAAAAGRycy9kb3ducmV2Lnht&#10;bFBLAQIUABQAAAAIAIdO4kAzLwWeOwAAADkAAAAQAAAAAAAAAAEAIAAAACABAABkcnMvc2hhcGV4&#10;bWwueG1sUEsFBgAAAAAGAAYAWwEAAMoDAAAAAA==&#10;">
                  <v:fill on="f" focussize="0,0"/>
                  <v:stroke weight="0.5pt" color="#000000 [3200]" miterlimit="8" joinstyle="miter" endarrow="block"/>
                  <v:imagedata o:title=""/>
                  <o:lock v:ext="edit" aspectratio="f"/>
                </v:shape>
                <v:rect id="_x0000_s1026" o:spid="_x0000_s1026" o:spt="1" style="position:absolute;left:295275;top:2009775;height:269875;width:2141855;v-text-anchor:middle;" fillcolor="#FFFFFF [3201]" filled="t" stroked="t" coordsize="21600,21600" o:gfxdata="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1b92b0AAADbAAAADwAAAAAAAAABACAAAAA4AAAAZHJzL2Rvd25yZXYu&#10;eG1sUEsBAhQAFAAAAAgAh07iQDMvBZ47AAAAOQAAABAAAAAAAAAAAQAgAAAAIgEAAGRycy9zaGFw&#10;ZXhtbC54bWxQSwUGAAAAAAYABgBbAQAAzAMAAAAA&#10;">
                  <v:fill on="t" focussize="0,0"/>
                  <v:stroke weight="1pt" color="#000000 [3200]" miterlimit="8" joinstyle="miter"/>
                  <v:imagedata o:title=""/>
                  <o:lock v:ext="edit" aspectratio="f"/>
                  <v:textbox>
                    <w:txbxContent>
                      <w:p>
                        <w:pPr>
                          <w:pStyle w:val="35"/>
                        </w:pPr>
                        <w:r>
                          <w:rPr>
                            <w:rFonts w:hint="eastAsia"/>
                          </w:rPr>
                          <w:t>分析计算确定保护区范围</w:t>
                        </w:r>
                      </w:p>
                    </w:txbxContent>
                  </v:textbox>
                </v:rect>
                <v:shape id="_x0000_s1026" o:spid="_x0000_s1026" o:spt="32" type="#_x0000_t32" style="position:absolute;left:1381125;top:2266950;height:215900;width:0;" filled="f" stroked="t" coordsize="21600,21600" o:gfxdata="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JrAUC7AAAA2wAAAA8AAAAAAAAAAQAgAAAAOAAAAGRycy9kb3ducmV2Lnht&#10;bFBLAQIUABQAAAAIAIdO4kAzLwWeOwAAADkAAAAQAAAAAAAAAAEAIAAAACABAABkcnMvc2hhcGV4&#10;bWwueG1sUEsFBgAAAAAGAAYAWwEAAMoDAAAAAA==&#10;">
                  <v:fill on="f" focussize="0,0"/>
                  <v:stroke weight="0.5pt" color="#000000 [3200]" miterlimit="8" joinstyle="miter" endarrow="block"/>
                  <v:imagedata o:title=""/>
                  <o:lock v:ext="edit" aspectratio="f"/>
                </v:shape>
                <v:rect id="_x0000_s1026" o:spid="_x0000_s1026" o:spt="1" style="position:absolute;left:104775;top:2505075;height:269875;width:2514600;v-text-anchor:middle;" fillcolor="#FFFFFF [3201]" filled="t" stroked="t" coordsize="21600,21600" o:gfxdata="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MjGNb0AAADbAAAADwAAAAAAAAABACAAAAA4AAAAZHJzL2Rvd25yZXYu&#10;eG1sUEsBAhQAFAAAAAgAh07iQDMvBZ47AAAAOQAAABAAAAAAAAAAAQAgAAAAIgEAAGRycy9zaGFw&#10;ZXhtbC54bWxQSwUGAAAAAAYABgBbAQAAzAMAAAAA&#10;">
                  <v:fill on="t" focussize="0,0"/>
                  <v:stroke weight="1pt" color="#000000 [3200]" miterlimit="8" joinstyle="miter"/>
                  <v:imagedata o:title=""/>
                  <o:lock v:ext="edit" aspectratio="f"/>
                  <v:textbox>
                    <w:txbxContent>
                      <w:p>
                        <w:pPr>
                          <w:pStyle w:val="35"/>
                        </w:pPr>
                        <w:r>
                          <w:rPr>
                            <w:rFonts w:hint="eastAsia"/>
                          </w:rPr>
                          <w:t>现场定界、初步确定经纬度坐标</w:t>
                        </w:r>
                      </w:p>
                    </w:txbxContent>
                  </v:textbox>
                </v:rect>
                <v:shape id="_x0000_s1026" o:spid="_x0000_s1026" o:spt="32" type="#_x0000_t32" style="position:absolute;left:1381125;top:2781300;height:216000;width:0;" filled="f" stroked="t" coordsize="21600,21600" o:gfxdata="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&#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8uDCpuQAAANsAAAAPAAAAAAAAAAEAIAAAADgAAABkcnMvZG93bnJldi54bWxQ&#10;SwECFAAUAAAACACHTuJAMy8FnjsAAAA5AAAAEAAAAAAAAAABACAAAAAeAQAAZHJzL3NoYXBleG1s&#10;LnhtbFBLBQYAAAAABgAGAFsBAADIAwAAAAA=&#10;">
                  <v:fill on="f" focussize="0,0"/>
                  <v:stroke weight="0.5pt" color="#000000 [3200]" miterlimit="8" joinstyle="miter" endarrow="block"/>
                  <v:imagedata o:title=""/>
                  <o:lock v:ext="edit" aspectratio="f"/>
                </v:shape>
                <v:rect id="_x0000_s1026" o:spid="_x0000_s1026" o:spt="1" style="position:absolute;left:638175;top:3009900;height:270510;width:1440000;v-text-anchor:middle;" fillcolor="#FFFFFF [3201]" filled="t" stroked="t" coordsize="21600,21600" o:gfxdata="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hv33L0AAADbAAAADwAAAAAAAAABACAAAAA4AAAAZHJzL2Rvd25yZXYu&#10;eG1sUEsBAhQAFAAAAAgAh07iQDMvBZ47AAAAOQAAABAAAAAAAAAAAQAgAAAAIgEAAGRycy9zaGFw&#10;ZXhtbC54bWxQSwUGAAAAAAYABgBbAQAAzAMAAAAA&#10;">
                  <v:fill on="t" focussize="0,0"/>
                  <v:stroke weight="1pt" color="#000000 [3200]" miterlimit="8" joinstyle="miter"/>
                  <v:imagedata o:title=""/>
                  <o:lock v:ext="edit" aspectratio="f"/>
                  <v:textbox>
                    <w:txbxContent>
                      <w:p>
                        <w:pPr>
                          <w:pStyle w:val="35"/>
                        </w:pPr>
                        <w:r>
                          <w:rPr>
                            <w:rFonts w:hint="eastAsia"/>
                          </w:rPr>
                          <w:t>编制技术报告</w:t>
                        </w:r>
                      </w:p>
                    </w:txbxContent>
                  </v:textbox>
                </v:rect>
                <v:shape id="_x0000_s1026" o:spid="_x0000_s1026" o:spt="32" type="#_x0000_t32" style="position:absolute;left:1381125;top:3286125;height:216000;width:0;" filled="f" stroked="t" coordsize="21600,21600" o:gfxdata="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GshP0roAAADbAAAADwAAAAAAAAABACAAAAA4AAAAZHJzL2Rvd25yZXYueG1s&#10;UEsBAhQAFAAAAAgAh07iQDMvBZ47AAAAOQAAABAAAAAAAAAAAQAgAAAAHwEAAGRycy9zaGFwZXht&#10;bC54bWxQSwUGAAAAAAYABgBbAQAAyQMAAAAA&#10;">
                  <v:fill on="f" focussize="0,0"/>
                  <v:stroke weight="0.5pt" color="#000000 [3200]" miterlimit="8" joinstyle="miter" endarrow="block"/>
                  <v:imagedata o:title=""/>
                  <o:lock v:ext="edit" aspectratio="f"/>
                </v:shape>
                <v:rect id="_x0000_s1026" o:spid="_x0000_s1026" o:spt="1" style="position:absolute;left:733425;top:3514725;height:270000;width:1260000;v-text-anchor:middle;" fillcolor="#FFFFFF [3201]" filled="t" stroked="t" coordsize="21600,21600" o:gfxdata="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GuIp70AAADbAAAADwAAAAAAAAABACAAAAA4AAAAZHJzL2Rvd25yZXYu&#10;eG1sUEsBAhQAFAAAAAgAh07iQDMvBZ47AAAAOQAAABAAAAAAAAAAAQAgAAAAIgEAAGRycy9zaGFw&#10;ZXhtbC54bWxQSwUGAAAAAAYABgBbAQAAzAMAAAAA&#10;">
                  <v:fill on="t" focussize="0,0"/>
                  <v:stroke weight="1pt" color="#000000 [3200]" miterlimit="8" joinstyle="miter"/>
                  <v:imagedata o:title=""/>
                  <o:lock v:ext="edit" aspectratio="f"/>
                  <v:textbox>
                    <w:txbxContent>
                      <w:p>
                        <w:pPr>
                          <w:pStyle w:val="35"/>
                        </w:pPr>
                        <w:r>
                          <w:rPr>
                            <w:rFonts w:hint="eastAsia"/>
                          </w:rPr>
                          <w:t>专家审议</w:t>
                        </w:r>
                      </w:p>
                    </w:txbxContent>
                  </v:textbox>
                </v:rect>
                <v:shape id="_x0000_s1026" o:spid="_x0000_s1026" o:spt="32" type="#_x0000_t32" style="position:absolute;left:1371600;top:3781425;height:220133;width:0;" filled="f" stroked="t" coordsize="21600,21600" o:gfxdata="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VWdD67AAAA2wAAAA8AAAAAAAAAAQAgAAAAOAAAAGRycy9kb3ducmV2Lnht&#10;bFBLAQIUABQAAAAIAIdO4kAzLwWeOwAAADkAAAAQAAAAAAAAAAEAIAAAACABAABkcnMvc2hhcGV4&#10;bWwueG1sUEsFBgAAAAAGAAYAWwEAAMoDAAAAAA==&#10;">
                  <v:fill on="f" focussize="0,0"/>
                  <v:stroke weight="0.5pt" color="#000000 [3200]" miterlimit="8" joinstyle="miter" endarrow="block"/>
                  <v:imagedata o:title=""/>
                  <o:lock v:ext="edit" aspectratio="f"/>
                </v:shape>
                <v:rect id="_x0000_s1026" o:spid="_x0000_s1026" o:spt="1" style="position:absolute;left:0;top:4019550;height:270000;width:2726267;v-text-anchor:middle;" fillcolor="#FFFFFF [3201]" filled="t" stroked="t" coordsize="21600,21600" o:gfxdata="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WzS70AAADbAAAADwAAAAAAAAABACAAAAA4AAAAZHJzL2Rvd25yZXYu&#10;eG1sUEsBAhQAFAAAAAgAh07iQDMvBZ47AAAAOQAAABAAAAAAAAAAAQAgAAAAIgEAAGRycy9zaGFw&#10;ZXhtbC54bWxQSwUGAAAAAAYABgBbAQAAzAMAAAAA&#10;">
                  <v:fill on="t" focussize="0,0"/>
                  <v:stroke weight="1pt" color="#000000 [3200]" miterlimit="8" joinstyle="miter"/>
                  <v:imagedata o:title=""/>
                  <o:lock v:ext="edit" aspectratio="f"/>
                  <v:textbox>
                    <w:txbxContent>
                      <w:p>
                        <w:pPr>
                          <w:pStyle w:val="35"/>
                        </w:pPr>
                        <w:r>
                          <w:rPr>
                            <w:rFonts w:hint="eastAsia"/>
                          </w:rPr>
                          <w:t>最终修订边界坐标、制作保护区图件</w:t>
                        </w:r>
                      </w:p>
                    </w:txbxContent>
                  </v:textbox>
                </v:rect>
                <v:shape id="_x0000_s1026" o:spid="_x0000_s1026" o:spt="32" type="#_x0000_t32" style="position:absolute;left:1381125;top:4295775;height:215900;width:0;" filled="f" stroked="t" coordsize="21600,21600" o:gfxdata="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XzSdG7AAAA2wAAAA8AAAAAAAAAAQAgAAAAOAAAAGRycy9kb3ducmV2Lnht&#10;bFBLAQIUABQAAAAIAIdO4kAzLwWeOwAAADkAAAAQAAAAAAAAAAEAIAAAACABAABkcnMvc2hhcGV4&#10;bWwueG1sUEsFBgAAAAAGAAYAWwEAAMoDAAAAAA==&#10;">
                  <v:fill on="f" focussize="0,0"/>
                  <v:stroke weight="0.5pt" color="#000000 [3200]" miterlimit="8" joinstyle="miter" endarrow="block"/>
                  <v:imagedata o:title=""/>
                  <o:lock v:ext="edit" aspectratio="f"/>
                </v:shape>
                <v:rect id="_x0000_s1026" o:spid="_x0000_s1026" o:spt="1" style="position:absolute;left:638175;top:4524375;height:269875;width:1439545;v-text-anchor:middle;" fillcolor="#FFFFFF [3201]" filled="t" stroked="t" coordsize="21600,21600" o:gfxdata="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1COpL0AAADbAAAADwAAAAAAAAABACAAAAA4AAAAZHJzL2Rvd25yZXYu&#10;eG1sUEsBAhQAFAAAAAgAh07iQDMvBZ47AAAAOQAAABAAAAAAAAAAAQAgAAAAIgEAAGRycy9zaGFw&#10;ZXhtbC54bWxQSwUGAAAAAAYABgBbAQAAzAMAAAAA&#10;">
                  <v:fill on="t" focussize="0,0"/>
                  <v:stroke weight="1pt" color="#000000 [3200]" miterlimit="8" joinstyle="miter"/>
                  <v:imagedata o:title=""/>
                  <o:lock v:ext="edit" aspectratio="f"/>
                  <v:textbox>
                    <w:txbxContent>
                      <w:p>
                        <w:pPr>
                          <w:pStyle w:val="35"/>
                        </w:pPr>
                        <w:r>
                          <w:rPr>
                            <w:rFonts w:hint="eastAsia"/>
                          </w:rPr>
                          <w:t>报政府审批</w:t>
                        </w:r>
                      </w:p>
                    </w:txbxContent>
                  </v:textbox>
                </v:rect>
                <w10:wrap type="topAndBottom"/>
              </v:group>
            </w:pict>
          </mc:Fallback>
        </mc:AlternateContent>
      </w:r>
    </w:p>
    <w:p>
      <w:pPr>
        <w:pStyle w:val="42"/>
        <w:spacing w:before="166" w:after="166"/>
      </w:pPr>
      <w:r>
        <w:rPr>
          <w:rFonts w:hint="eastAsia"/>
        </w:rPr>
        <w:t>图1</w:t>
      </w:r>
      <w:r>
        <w:t xml:space="preserve">-1  </w:t>
      </w:r>
      <w:r>
        <w:rPr>
          <w:rFonts w:hint="eastAsia"/>
        </w:rPr>
        <w:t>饮用水水源保护区划分技术路线图</w:t>
      </w:r>
    </w:p>
    <w:p>
      <w:pPr>
        <w:pStyle w:val="5"/>
      </w:pPr>
      <w:bookmarkStart w:id="52" w:name="_Toc19691422"/>
      <w:bookmarkStart w:id="53" w:name="_Toc28514"/>
      <w:r>
        <w:rPr>
          <w:rFonts w:hint="eastAsia"/>
        </w:rPr>
        <w:t>1</w:t>
      </w:r>
      <w:r>
        <w:t xml:space="preserve">.3.2  </w:t>
      </w:r>
      <w:r>
        <w:rPr>
          <w:rFonts w:hint="eastAsia"/>
        </w:rPr>
        <w:t>调查方案</w:t>
      </w:r>
      <w:bookmarkEnd w:id="52"/>
      <w:bookmarkEnd w:id="53"/>
    </w:p>
    <w:p>
      <w:pPr>
        <w:ind w:firstLine="480"/>
      </w:pPr>
      <w:bookmarkStart w:id="54" w:name="_Toc19691424"/>
      <w:r>
        <w:rPr>
          <w:rFonts w:hint="eastAsia"/>
        </w:rPr>
        <w:t>由于大竹林水库建设年代（1</w:t>
      </w:r>
      <w:r>
        <w:t>971</w:t>
      </w:r>
      <w:r>
        <w:rPr>
          <w:rFonts w:hint="eastAsia"/>
        </w:rPr>
        <w:t>年）较早，相关建设资料比较缺失。利用地形图，结合谷歌地球卫星影像，在ArcGIS软件平台下完成了大竹林水库流域分水岭提取，以此作为大竹林水库环境状况调查的参考范围。</w:t>
      </w:r>
    </w:p>
    <w:p>
      <w:pPr>
        <w:ind w:firstLine="480"/>
      </w:pPr>
      <w:r>
        <w:rPr>
          <w:rFonts w:hint="eastAsia"/>
        </w:rPr>
        <w:t>考虑大竹林水库流域范围的实际情况，依据依据《饮用水水源保护区划技术规范》（HJ</w:t>
      </w:r>
      <w:r>
        <w:t xml:space="preserve"> 338-2018</w:t>
      </w:r>
      <w:r>
        <w:rPr>
          <w:rFonts w:hint="eastAsia"/>
        </w:rPr>
        <w:t>）附录A，制作了《饮用水水源地环境状况调查表》，详情见附件</w:t>
      </w:r>
      <w:r>
        <w:t>4</w:t>
      </w:r>
      <w:r>
        <w:rPr>
          <w:rFonts w:hint="eastAsia"/>
        </w:rPr>
        <w:t>。环境状况调查时，使用奥维互动地图完成现场地物的地理信息采集，并使用无人机对水库周边环境进行航拍以辅助调查。</w:t>
      </w:r>
    </w:p>
    <w:p>
      <w:pPr>
        <w:pStyle w:val="5"/>
      </w:pPr>
      <w:bookmarkStart w:id="55" w:name="_Toc15642"/>
      <w:bookmarkStart w:id="56" w:name="_Toc19691423"/>
      <w:r>
        <w:rPr>
          <w:rFonts w:hint="eastAsia"/>
        </w:rPr>
        <w:t>1</w:t>
      </w:r>
      <w:r>
        <w:t xml:space="preserve">.3.3  </w:t>
      </w:r>
      <w:r>
        <w:rPr>
          <w:rFonts w:hint="eastAsia"/>
        </w:rPr>
        <w:t>数据质量控制</w:t>
      </w:r>
      <w:bookmarkEnd w:id="55"/>
      <w:bookmarkEnd w:id="56"/>
    </w:p>
    <w:p>
      <w:pPr>
        <w:ind w:firstLine="480"/>
      </w:pPr>
      <w:r>
        <w:rPr>
          <w:rFonts w:hint="eastAsia"/>
        </w:rPr>
        <w:t>结合软件分析结果和现场探勘，最终确定大竹林水库流域范围；水源地基础状况主要采用资料收集方式获取，若信息有模糊的，现场调查的时候落实；社会经济数据采用资料收集和现场调查方式获取；土地现状利用数据使用谷歌地球影像作为基础，结合富源县自然资源局提供的土地利用现状图和土地利用总体规划图、无人机航拍和现场调查等手段，在ArcGIS软件中制作完成；污染源信息主要采用现场调查方式，对径流范围内污染源进行现场核实，并通过查阅资料和现场访问方式了解污染源排污情况；管理状况主要通过现场访问方式获取。</w:t>
      </w:r>
    </w:p>
    <w:p>
      <w:pPr>
        <w:ind w:firstLine="480"/>
      </w:pPr>
      <w:r>
        <w:rPr>
          <w:rFonts w:hint="eastAsia"/>
        </w:rPr>
        <w:t>由于大竹林水库建设年代较早、规模很小，建设前期并未展开流域内地形探勘，所以使用纠正后的谷歌地球卫星影像作为地理信息的基础底图数据；地理坐标采用大地2</w:t>
      </w:r>
      <w:r>
        <w:t>000</w:t>
      </w:r>
      <w:r>
        <w:rPr>
          <w:rFonts w:hint="eastAsia"/>
        </w:rPr>
        <w:t>国家大地坐标；原则上测量精度、记录数据和成果的误差控制在0</w:t>
      </w:r>
      <w:r>
        <w:t>.1</w:t>
      </w:r>
      <w:r>
        <w:rPr>
          <w:rFonts w:hint="eastAsia"/>
        </w:rPr>
        <w:t>m范围内。</w:t>
      </w:r>
    </w:p>
    <w:p>
      <w:pPr>
        <w:pStyle w:val="3"/>
      </w:pPr>
      <w:bookmarkStart w:id="57" w:name="_Toc9539_WPSOffice_Level1"/>
      <w:bookmarkStart w:id="58" w:name="_Toc30687_WPSOffice_Level1"/>
      <w:bookmarkStart w:id="59" w:name="_Toc13104"/>
      <w:r>
        <w:rPr>
          <w:rFonts w:hint="eastAsia"/>
        </w:rPr>
        <w:t>第二章  区域自然环境和社会经济状况</w:t>
      </w:r>
      <w:bookmarkEnd w:id="54"/>
      <w:bookmarkEnd w:id="57"/>
      <w:bookmarkEnd w:id="58"/>
      <w:bookmarkEnd w:id="59"/>
    </w:p>
    <w:p>
      <w:pPr>
        <w:pStyle w:val="4"/>
      </w:pPr>
      <w:bookmarkStart w:id="60" w:name="_Toc19691425"/>
      <w:bookmarkStart w:id="61" w:name="_Toc10402"/>
      <w:r>
        <w:rPr>
          <w:rFonts w:hint="eastAsia"/>
        </w:rPr>
        <w:t>2</w:t>
      </w:r>
      <w:r>
        <w:t xml:space="preserve">.1  </w:t>
      </w:r>
      <w:r>
        <w:rPr>
          <w:rFonts w:hint="eastAsia"/>
        </w:rPr>
        <w:t>自然环境状况</w:t>
      </w:r>
      <w:bookmarkEnd w:id="60"/>
      <w:bookmarkEnd w:id="61"/>
    </w:p>
    <w:p>
      <w:pPr>
        <w:pStyle w:val="5"/>
      </w:pPr>
      <w:bookmarkStart w:id="62" w:name="_Toc8416"/>
      <w:bookmarkStart w:id="63" w:name="_Toc19691426"/>
      <w:r>
        <w:rPr>
          <w:rFonts w:hint="eastAsia"/>
        </w:rPr>
        <w:t>2</w:t>
      </w:r>
      <w:r>
        <w:t xml:space="preserve">.1.1  </w:t>
      </w:r>
      <w:r>
        <w:rPr>
          <w:rFonts w:hint="eastAsia"/>
        </w:rPr>
        <w:t>地理位置</w:t>
      </w:r>
      <w:bookmarkEnd w:id="62"/>
      <w:bookmarkEnd w:id="63"/>
    </w:p>
    <w:p>
      <w:pPr>
        <w:ind w:firstLine="480"/>
        <w:rPr>
          <w:rFonts w:ascii="宋体" w:hAnsi="宋体" w:cs="仿宋_GB2312"/>
          <w:szCs w:val="24"/>
        </w:rPr>
      </w:pPr>
      <w:r>
        <w:rPr>
          <w:rFonts w:hint="eastAsia" w:ascii="宋体" w:hAnsi="宋体" w:cs="仿宋_GB2312"/>
          <w:szCs w:val="24"/>
          <w:lang w:val="zh-CN"/>
        </w:rPr>
        <w:t>大竹林水库位于富源县富村镇干龙潭村委会境内，</w:t>
      </w:r>
      <w:r>
        <w:rPr>
          <w:rFonts w:hint="eastAsia"/>
        </w:rPr>
        <w:t>距离富村镇44公里（</w:t>
      </w:r>
      <w:r>
        <w:rPr>
          <w:rFonts w:hint="eastAsia" w:ascii="宋体" w:hAnsi="宋体" w:cs="仿宋_GB2312"/>
          <w:szCs w:val="24"/>
        </w:rPr>
        <w:t>东经</w:t>
      </w:r>
      <w:r>
        <w:t>104°31'57.975"</w:t>
      </w:r>
      <w:r>
        <w:rPr>
          <w:rFonts w:hint="eastAsia" w:ascii="宋体" w:hAnsi="宋体" w:cs="仿宋_GB2312"/>
          <w:szCs w:val="24"/>
          <w:lang w:val="zh-CN"/>
        </w:rPr>
        <w:t>，</w:t>
      </w:r>
      <w:r>
        <w:rPr>
          <w:rFonts w:hint="eastAsia" w:ascii="宋体" w:hAnsi="宋体" w:cs="仿宋_GB2312"/>
          <w:szCs w:val="24"/>
        </w:rPr>
        <w:t>北纬</w:t>
      </w:r>
      <w:r>
        <w:t>25°28'5.564"</w:t>
      </w:r>
      <w:r>
        <w:rPr>
          <w:rFonts w:hint="eastAsia" w:ascii="宋体" w:hAnsi="宋体" w:cs="仿宋_GB2312"/>
          <w:szCs w:val="24"/>
        </w:rPr>
        <w:t>），大坝海拔为</w:t>
      </w:r>
      <w:r>
        <w:rPr>
          <w:rFonts w:ascii="宋体" w:hAnsi="宋体" w:cs="仿宋_GB2312"/>
          <w:szCs w:val="24"/>
        </w:rPr>
        <w:t>1797.9</w:t>
      </w:r>
      <w:r>
        <w:rPr>
          <w:rFonts w:hint="eastAsia" w:ascii="宋体" w:hAnsi="宋体" w:cs="仿宋_GB2312"/>
          <w:szCs w:val="24"/>
        </w:rPr>
        <w:t>m。</w:t>
      </w:r>
      <w:r>
        <w:rPr>
          <w:rFonts w:hint="eastAsia" w:ascii="宋体" w:hAnsi="宋体" w:cs="仿宋_GB2312"/>
          <w:szCs w:val="24"/>
          <w:lang w:val="zh-CN"/>
        </w:rPr>
        <w:t>大竹林水库</w:t>
      </w:r>
      <w:r>
        <w:rPr>
          <w:rFonts w:hint="eastAsia" w:ascii="宋体" w:hAnsi="宋体" w:cs="仿宋_GB2312"/>
          <w:szCs w:val="24"/>
        </w:rPr>
        <w:t>地理位置示意图见附图1。</w:t>
      </w:r>
    </w:p>
    <w:p>
      <w:pPr>
        <w:pStyle w:val="5"/>
      </w:pPr>
      <w:bookmarkStart w:id="64" w:name="_Toc20314"/>
      <w:bookmarkStart w:id="65" w:name="_Toc19691427"/>
      <w:r>
        <w:rPr>
          <w:rFonts w:hint="eastAsia"/>
        </w:rPr>
        <w:t>2</w:t>
      </w:r>
      <w:r>
        <w:t xml:space="preserve">.1.2  </w:t>
      </w:r>
      <w:r>
        <w:rPr>
          <w:rFonts w:hint="eastAsia"/>
        </w:rPr>
        <w:t>地质地貌</w:t>
      </w:r>
      <w:bookmarkEnd w:id="64"/>
      <w:bookmarkEnd w:id="65"/>
    </w:p>
    <w:p>
      <w:pPr>
        <w:ind w:firstLine="480"/>
      </w:pPr>
      <w:r>
        <w:rPr>
          <w:rFonts w:hint="eastAsia"/>
        </w:rPr>
        <w:t>富村镇境内平均海拔1980</w:t>
      </w:r>
      <w:r>
        <w:t xml:space="preserve"> </w:t>
      </w:r>
      <w:r>
        <w:rPr>
          <w:rFonts w:hint="eastAsia"/>
        </w:rPr>
        <w:t>m，属构造、剥蚀高中山地貌，山脉总体呈北东走向，乡境内地势南东高、北西低。项目区所属大地构造单元为扬子准地台（Ⅰ）滇东台褶带（Ⅰ3）曲靖台褶束（Ⅰ34）富源凹褶（Ⅰ34-2），工程区内及附近无区域活动性断裂，根据1∶400万《中国地震动参数区划图（GB18306—2015）》，管道工程区地震动峰值加速度为0.05g，地震动反应谱特征周期为0.45s，设计基本地震加速度值为0.10g，相应地震基本烈度为Ⅵ度。区域出露地层主要以三叠系为主,次为二叠系,另有少量第四系地层。工程区内以不均匀的上升运动为主,活动性断层的迹象不明显。</w:t>
      </w:r>
    </w:p>
    <w:p>
      <w:pPr>
        <w:ind w:firstLine="480"/>
      </w:pPr>
      <w:r>
        <w:rPr>
          <w:rFonts w:hint="eastAsia"/>
        </w:rPr>
        <w:t>区域出露地层以以二迭系上统玄武岩组(P2β)为主,次为二迭系下统茅口组(P1m)、二迭系下统栖霞组(P1q)、二迭系上统龙潭、长兴、大隆组(P2L-c-d)和少量的第四系(Q)地层。区域断层虽较发育，但新构造活动性迹象不明显。</w:t>
      </w:r>
    </w:p>
    <w:p>
      <w:pPr>
        <w:pStyle w:val="5"/>
      </w:pPr>
      <w:bookmarkStart w:id="66" w:name="_Toc23418"/>
      <w:bookmarkStart w:id="67" w:name="_Toc19691428"/>
      <w:r>
        <w:rPr>
          <w:rFonts w:hint="eastAsia"/>
        </w:rPr>
        <w:t>2</w:t>
      </w:r>
      <w:r>
        <w:t xml:space="preserve">.1.3  </w:t>
      </w:r>
      <w:r>
        <w:rPr>
          <w:rFonts w:hint="eastAsia"/>
        </w:rPr>
        <w:t>气候气象</w:t>
      </w:r>
      <w:bookmarkEnd w:id="66"/>
      <w:bookmarkEnd w:id="67"/>
    </w:p>
    <w:p>
      <w:pPr>
        <w:ind w:firstLine="480"/>
        <w:rPr>
          <w:rFonts w:cs="Times New Roman"/>
        </w:rPr>
      </w:pPr>
      <w:r>
        <w:rPr>
          <w:rFonts w:cs="Times New Roman"/>
          <w:szCs w:val="24"/>
          <w:lang w:val="zh-CN"/>
        </w:rPr>
        <w:t>水库径流区处于东南及西南季风过渡带，属南温带山地季风型半湿润</w:t>
      </w:r>
      <w:r>
        <w:rPr>
          <w:rFonts w:hint="eastAsia" w:cs="Times New Roman"/>
          <w:szCs w:val="24"/>
          <w:lang w:val="zh-CN"/>
        </w:rPr>
        <w:t>气候</w:t>
      </w:r>
      <w:r>
        <w:rPr>
          <w:rFonts w:cs="Times New Roman"/>
          <w:szCs w:val="24"/>
          <w:lang w:val="zh-CN"/>
        </w:rPr>
        <w:t xml:space="preserve">，干湿季分明，冬春少雨干旱，夏季降雨湿润。本区多年平均降雨量1600.4 mm，汛期（5 </w:t>
      </w:r>
      <w:r>
        <w:rPr>
          <w:rFonts w:cs="Times New Roman"/>
        </w:rPr>
        <w:t>～</w:t>
      </w:r>
      <w:r>
        <w:rPr>
          <w:rFonts w:cs="Times New Roman"/>
          <w:szCs w:val="24"/>
          <w:lang w:val="zh-CN"/>
        </w:rPr>
        <w:t xml:space="preserve"> 10月）降雨量占全年86.8%，降雨量年内分配不均，单点暴雨突出，小范围易形成山洪灾害。年平均水面蒸发量1050.0 mm，年平均日照1840 h，年平均气温14.5℃。</w:t>
      </w:r>
    </w:p>
    <w:p>
      <w:pPr>
        <w:pStyle w:val="5"/>
      </w:pPr>
      <w:bookmarkStart w:id="68" w:name="_Toc6365"/>
      <w:bookmarkStart w:id="69" w:name="_Toc19691429"/>
      <w:r>
        <w:rPr>
          <w:rFonts w:hint="eastAsia"/>
        </w:rPr>
        <w:t>2</w:t>
      </w:r>
      <w:r>
        <w:t xml:space="preserve">.1.4  </w:t>
      </w:r>
      <w:r>
        <w:rPr>
          <w:rFonts w:hint="eastAsia"/>
        </w:rPr>
        <w:t>土壤状况</w:t>
      </w:r>
      <w:bookmarkEnd w:id="68"/>
      <w:bookmarkEnd w:id="69"/>
    </w:p>
    <w:p>
      <w:pPr>
        <w:ind w:firstLine="480"/>
      </w:pPr>
      <w:r>
        <w:rPr>
          <w:rFonts w:hint="eastAsia"/>
        </w:rPr>
        <w:t>富源县土壤共有土壤类型共分为8个土类、12个亚类、30个土属、91个土种，全县以红壤、黄棕壤、黄壤和紫色土为主，并有棕壤、石灰土、草甸土、冲积土和水稻土等分布，红壤面积31892.20公顷，占耕地的34.80%。是富源县面积最大的耕地土壤土类。分布在全县除老厂镇外的九镇一乡，在中部、西部和北部地区，分布在海拔1600-2300米间的中山河谷、山地和山原面上，在东南部地区，分布在1500米以下的中低山山地和河谷。黄棕壤面积22037.36公顷，占耕地的24.05%。分布于海拔2000-2400米的山区，在县境北部的黑山地带和西部的东山地带海拔为2200-2400米，南部的富村～老厂一带海拔为2000-2300米。紫色土面积12835.85公顷，占耕地的14.01%。是富源县非地带性土壤面积最多的类型，分布较散，11个乡镇均有。石灰土面积1382.67公顷，占耕地的1.51%。分布于后所、富村、黄泥河、十八连山、老厂镇局部地段的灰岩坡地、石山缝隙或低洼处。水稻土面积3213.33公顷，占耕地的3.51%。分布在海拔1100-2210米间的低中山、中山河谷和山区、半山区水利条件较好的地段。黄壤面积18672.99公顷，占耕地的20.38%。分布在下半县的富村、黄泥河、十八连山、老厂的中山山地，海拔1500-2100米。草甸土面积592.22公顷，占耕地的0.65%。积土面积1013.38公顷，占耕地的1.11%。</w:t>
      </w:r>
    </w:p>
    <w:p>
      <w:pPr>
        <w:ind w:firstLine="480"/>
      </w:pPr>
      <w:r>
        <w:rPr>
          <w:rFonts w:hint="eastAsia"/>
          <w:lang w:val="zh-CN"/>
        </w:rPr>
        <w:t>水库径流区</w:t>
      </w:r>
      <w:r>
        <w:rPr>
          <w:rFonts w:hint="eastAsia"/>
        </w:rPr>
        <w:t>主要成土母质大致可分为古红土、近代母岩分化物和近代洪积冲积三种类型。古红土风化度和淋溶作用强，成土时间长，大多发展成地带性的山地黄壤“类型”；近代母岩风化物风化度浅，成土时间短，大多保留原岩的某些特征，多发育成各类岩成土；洪积冲积母质可能受二者影响，多发育成水稻土、冲积土等。目前水库</w:t>
      </w:r>
      <w:r>
        <w:rPr>
          <w:rFonts w:hint="eastAsia"/>
          <w:lang w:val="zh-CN"/>
        </w:rPr>
        <w:t>径流区</w:t>
      </w:r>
      <w:r>
        <w:rPr>
          <w:rFonts w:hint="eastAsia"/>
        </w:rPr>
        <w:t>范围内主要分布有黄红壤、山地黄壤及山地黄棕壤，土壤结构松散～稍密。</w:t>
      </w:r>
    </w:p>
    <w:p>
      <w:pPr>
        <w:pStyle w:val="5"/>
      </w:pPr>
      <w:bookmarkStart w:id="70" w:name="_Toc543"/>
      <w:bookmarkStart w:id="71" w:name="_Toc19691430"/>
      <w:r>
        <w:rPr>
          <w:rFonts w:hint="eastAsia"/>
        </w:rPr>
        <w:t>2</w:t>
      </w:r>
      <w:r>
        <w:t xml:space="preserve">.1.5  </w:t>
      </w:r>
      <w:r>
        <w:rPr>
          <w:rFonts w:hint="eastAsia"/>
        </w:rPr>
        <w:t>植被资源</w:t>
      </w:r>
      <w:bookmarkEnd w:id="70"/>
      <w:bookmarkEnd w:id="71"/>
    </w:p>
    <w:p>
      <w:pPr>
        <w:snapToGrid w:val="0"/>
        <w:ind w:firstLine="480"/>
        <w:jc w:val="left"/>
        <w:rPr>
          <w:rFonts w:cs="Times New Roman"/>
          <w:szCs w:val="24"/>
        </w:rPr>
      </w:pPr>
      <w:r>
        <w:rPr>
          <w:rFonts w:cs="Times New Roman"/>
          <w:bCs/>
          <w:szCs w:val="24"/>
        </w:rPr>
        <w:t>富源县地区属亚热带湿润季风气候，植被类型多为亚热带半湿润常绿阔叶林及暖湿性针叶林，具有较丰富的生物资源，共有45科106种乔木树种资源，全县森林覆盖率达到49.78%。全县有林木用地面积242.76万亩，占总面积的49.78%。林地面积占全县国土面积40.4％，灌木林地占39.5％。自然植被树种以云南松、华山松、楸树等为主，灌木树种有杜鹃、山茶、杨梅、刺柏等，草本植物为黄背草、狗尾草、蕨类、旱茅、白茅、野古草等。植被具有明显的垂直分布性，海拔</w:t>
      </w:r>
      <w:r>
        <w:rPr>
          <w:rFonts w:eastAsia="微软雅黑" w:cs="Times New Roman"/>
          <w:bCs/>
          <w:szCs w:val="24"/>
        </w:rPr>
        <w:t>2000 m</w:t>
      </w:r>
      <w:r>
        <w:rPr>
          <w:rFonts w:cs="Times New Roman"/>
          <w:bCs/>
          <w:szCs w:val="24"/>
        </w:rPr>
        <w:t>以上的以针叶林为主，有云南松、华山松等，海拔2000 m以下的以阔叶林树种为主，有木兰科、山茶科等。</w:t>
      </w:r>
    </w:p>
    <w:p>
      <w:pPr>
        <w:widowControl/>
        <w:adjustRightInd w:val="0"/>
        <w:snapToGrid w:val="0"/>
        <w:ind w:firstLine="480"/>
        <w:rPr>
          <w:rFonts w:cs="Times New Roman"/>
          <w:kern w:val="0"/>
          <w:szCs w:val="24"/>
        </w:rPr>
      </w:pPr>
      <w:r>
        <w:rPr>
          <w:rFonts w:cs="Times New Roman"/>
          <w:szCs w:val="24"/>
          <w:lang w:val="zh-CN"/>
        </w:rPr>
        <w:t>水库径流区</w:t>
      </w:r>
      <w:r>
        <w:rPr>
          <w:rFonts w:cs="Times New Roman"/>
          <w:kern w:val="0"/>
          <w:szCs w:val="24"/>
        </w:rPr>
        <w:t>主要乔木树种有云南松、华山松、油杉、杉木、黄杉、栎类等；主要草种有白剑杆、野古草、金茅、蜈蚣草等；常见的灌木林有火把果、耐冬果、苦刺、杨梅、马桑、小叶鸡脚黄连等数十种。目前，大竹林水库水源地森林覆盖率在60%以上。</w:t>
      </w:r>
    </w:p>
    <w:p>
      <w:pPr>
        <w:pStyle w:val="2"/>
        <w:ind w:firstLine="0" w:firstLineChars="0"/>
        <w:rPr>
          <w:rFonts w:hint="default"/>
        </w:rPr>
      </w:pPr>
    </w:p>
    <w:p>
      <w:pPr>
        <w:widowControl/>
        <w:adjustRightInd w:val="0"/>
        <w:snapToGrid w:val="0"/>
        <w:ind w:firstLine="0" w:firstLineChars="0"/>
        <w:rPr>
          <w:rFonts w:eastAsia="仿宋"/>
          <w:kern w:val="0"/>
          <w:sz w:val="30"/>
          <w:szCs w:val="30"/>
        </w:rPr>
      </w:pPr>
      <w:r>
        <w:drawing>
          <wp:inline distT="0" distB="0" distL="114300" distR="114300">
            <wp:extent cx="5270500" cy="2705100"/>
            <wp:effectExtent l="0" t="0" r="635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4"/>
                    <a:stretch>
                      <a:fillRect/>
                    </a:stretch>
                  </pic:blipFill>
                  <pic:spPr>
                    <a:xfrm>
                      <a:off x="0" y="0"/>
                      <a:ext cx="5270500" cy="2705100"/>
                    </a:xfrm>
                    <a:prstGeom prst="rect">
                      <a:avLst/>
                    </a:prstGeom>
                    <a:noFill/>
                    <a:ln w="9525">
                      <a:noFill/>
                    </a:ln>
                  </pic:spPr>
                </pic:pic>
              </a:graphicData>
            </a:graphic>
          </wp:inline>
        </w:drawing>
      </w:r>
    </w:p>
    <w:p>
      <w:pPr>
        <w:pStyle w:val="42"/>
        <w:spacing w:before="166" w:after="166"/>
        <w:rPr>
          <w:szCs w:val="21"/>
        </w:rPr>
      </w:pPr>
      <w:r>
        <w:t>图</w:t>
      </w:r>
      <w:r>
        <w:rPr>
          <w:rFonts w:hint="eastAsia"/>
        </w:rPr>
        <w:t>2</w:t>
      </w:r>
      <w:r>
        <w:t>-</w:t>
      </w:r>
      <w:r>
        <w:rPr>
          <w:rFonts w:hint="eastAsia"/>
        </w:rPr>
        <w:t>1</w:t>
      </w:r>
      <w:r>
        <w:t xml:space="preserve">  </w:t>
      </w:r>
      <w:r>
        <w:rPr>
          <w:rFonts w:hint="eastAsia"/>
        </w:rPr>
        <w:t>大竹林</w:t>
      </w:r>
      <w:r>
        <w:t>水库植被状况</w:t>
      </w:r>
    </w:p>
    <w:p>
      <w:pPr>
        <w:pStyle w:val="5"/>
      </w:pPr>
      <w:bookmarkStart w:id="72" w:name="_Toc19976"/>
      <w:bookmarkStart w:id="73" w:name="_Toc19691431"/>
      <w:r>
        <w:rPr>
          <w:rFonts w:hint="eastAsia"/>
        </w:rPr>
        <w:t>2</w:t>
      </w:r>
      <w:r>
        <w:t xml:space="preserve">.1.6  </w:t>
      </w:r>
      <w:r>
        <w:rPr>
          <w:rFonts w:hint="eastAsia"/>
        </w:rPr>
        <w:t>水文水系</w:t>
      </w:r>
      <w:bookmarkEnd w:id="72"/>
      <w:bookmarkEnd w:id="73"/>
    </w:p>
    <w:p>
      <w:pPr>
        <w:ind w:firstLine="480"/>
      </w:pPr>
      <w:r>
        <w:rPr>
          <w:rFonts w:hint="eastAsia"/>
        </w:rPr>
        <w:t>大竹林水库位于富源县富村镇干龙潭村委会境内，河源高程1880米，从源头流经1.36公里到达水库坝址，河道平均坡降77.5‰，流域面积0.97平方公里。坝轴河底高程1775m，水库设计正常蓄水位1795m，正常库容28.2万m</w:t>
      </w:r>
      <w:r>
        <w:rPr>
          <w:rFonts w:cs="Times New Roman"/>
          <w:kern w:val="0"/>
          <w:szCs w:val="24"/>
        </w:rPr>
        <w:t>³</w:t>
      </w:r>
      <w:r>
        <w:rPr>
          <w:rFonts w:hint="eastAsia"/>
        </w:rPr>
        <w:t>，校核洪水位1797.1m，相应库容36.2万m</w:t>
      </w:r>
      <w:r>
        <w:rPr>
          <w:rFonts w:cs="Times New Roman"/>
          <w:kern w:val="0"/>
          <w:szCs w:val="24"/>
        </w:rPr>
        <w:t>³</w:t>
      </w:r>
      <w:r>
        <w:rPr>
          <w:rFonts w:hint="eastAsia"/>
        </w:rPr>
        <w:t>，水库现坝顶高程1797.3m，属小（二）型水库规模，为富村镇干龙、小坝、祖德、团山等四个村委会39个自然村17000人提供生活用水。</w:t>
      </w:r>
    </w:p>
    <w:p>
      <w:pPr>
        <w:ind w:firstLine="480"/>
      </w:pPr>
      <w:r>
        <w:rPr>
          <w:rFonts w:hint="eastAsia"/>
        </w:rPr>
        <w:t>大竹林水库是黄泥河上游的一条支流，黄泥河为南盘江一级支流（富源境内段），大竹林水库坝型为均质土坝，坝高22.3m，内坝坡比1:1.78，外坝坡比1:1.64，坝顶宽2.0m。</w:t>
      </w:r>
    </w:p>
    <w:p>
      <w:pPr>
        <w:adjustRightInd w:val="0"/>
        <w:snapToGrid w:val="0"/>
        <w:ind w:firstLine="480"/>
        <w:rPr>
          <w:rFonts w:ascii="宋体" w:hAnsi="宋体"/>
          <w:bCs/>
          <w:szCs w:val="24"/>
          <w:lang w:val="en-IE"/>
        </w:rPr>
      </w:pPr>
      <w:r>
        <w:rPr>
          <w:rFonts w:hint="eastAsia"/>
        </w:rPr>
        <w:t>项目区域水系图见附图2。</w:t>
      </w:r>
      <w:r>
        <w:rPr>
          <w:rFonts w:hint="eastAsia" w:ascii="宋体" w:hAnsi="宋体"/>
          <w:bCs/>
          <w:szCs w:val="24"/>
          <w:lang w:val="en-IE"/>
        </w:rPr>
        <w:t>水源点多年平均来水量和设计年来水量成果详见下表2</w:t>
      </w:r>
      <w:r>
        <w:rPr>
          <w:rFonts w:ascii="宋体" w:hAnsi="宋体"/>
          <w:bCs/>
          <w:szCs w:val="24"/>
          <w:lang w:val="en-IE"/>
        </w:rPr>
        <w:t>-1</w:t>
      </w:r>
      <w:r>
        <w:rPr>
          <w:rFonts w:hint="eastAsia" w:ascii="宋体" w:hAnsi="宋体"/>
          <w:bCs/>
          <w:szCs w:val="24"/>
          <w:lang w:val="en-IE"/>
        </w:rPr>
        <w:t>。</w:t>
      </w:r>
    </w:p>
    <w:p>
      <w:pPr>
        <w:pStyle w:val="2"/>
        <w:ind w:firstLine="420"/>
        <w:rPr>
          <w:rFonts w:hint="default"/>
          <w:lang w:val="en-IE"/>
        </w:rPr>
      </w:pPr>
    </w:p>
    <w:p>
      <w:pPr>
        <w:pStyle w:val="42"/>
        <w:spacing w:before="166" w:after="166"/>
        <w:rPr>
          <w:lang w:val="en-IE"/>
        </w:rPr>
      </w:pPr>
      <w:r>
        <w:rPr>
          <w:rFonts w:hint="eastAsia"/>
          <w:lang w:val="en-IE"/>
        </w:rPr>
        <w:t>表2</w:t>
      </w:r>
      <w:r>
        <w:rPr>
          <w:lang w:val="en-IE"/>
        </w:rPr>
        <w:t xml:space="preserve">-1  </w:t>
      </w:r>
      <w:r>
        <w:rPr>
          <w:rFonts w:hint="eastAsia"/>
          <w:lang w:val="en-IE"/>
        </w:rPr>
        <w:t>大竹林</w:t>
      </w:r>
      <w:r>
        <w:rPr>
          <w:lang w:val="en-IE"/>
        </w:rPr>
        <w:t>水库多年平均来水量和设计年来水量成果表</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936"/>
        <w:gridCol w:w="1256"/>
        <w:gridCol w:w="1257"/>
        <w:gridCol w:w="1256"/>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pStyle w:val="35"/>
              <w:rPr>
                <w:lang w:val="en-IE"/>
              </w:rPr>
            </w:pPr>
            <w:r>
              <w:rPr>
                <w:rFonts w:hint="eastAsia"/>
                <w:lang w:val="en-IE"/>
              </w:rPr>
              <w:t>水源点名称</w:t>
            </w:r>
          </w:p>
        </w:tc>
        <w:tc>
          <w:tcPr>
            <w:tcW w:w="1936" w:type="dxa"/>
          </w:tcPr>
          <w:p>
            <w:pPr>
              <w:pStyle w:val="35"/>
              <w:rPr>
                <w:lang w:val="en-IE"/>
              </w:rPr>
            </w:pPr>
            <w:r>
              <w:rPr>
                <w:rFonts w:hint="eastAsia"/>
                <w:lang w:val="en-IE"/>
              </w:rPr>
              <w:t>备注</w:t>
            </w:r>
          </w:p>
        </w:tc>
        <w:tc>
          <w:tcPr>
            <w:tcW w:w="1256" w:type="dxa"/>
          </w:tcPr>
          <w:p>
            <w:pPr>
              <w:pStyle w:val="35"/>
              <w:rPr>
                <w:lang w:val="en-IE"/>
              </w:rPr>
            </w:pPr>
            <w:r>
              <w:rPr>
                <w:rFonts w:hint="eastAsia"/>
                <w:lang w:val="en-IE"/>
              </w:rPr>
              <w:t>径流面积（km</w:t>
            </w:r>
            <w:r>
              <w:rPr>
                <w:vertAlign w:val="superscript"/>
                <w:lang w:val="en-IE"/>
              </w:rPr>
              <w:t>2</w:t>
            </w:r>
            <w:r>
              <w:rPr>
                <w:rFonts w:hint="eastAsia"/>
                <w:lang w:val="en-IE"/>
              </w:rPr>
              <w:t>）</w:t>
            </w:r>
          </w:p>
        </w:tc>
        <w:tc>
          <w:tcPr>
            <w:tcW w:w="1257" w:type="dxa"/>
          </w:tcPr>
          <w:p>
            <w:pPr>
              <w:pStyle w:val="35"/>
              <w:rPr>
                <w:lang w:val="en-IE"/>
              </w:rPr>
            </w:pPr>
            <w:r>
              <w:rPr>
                <w:rFonts w:hint="eastAsia"/>
                <w:lang w:val="en-IE"/>
              </w:rPr>
              <w:t>年均值</w:t>
            </w:r>
          </w:p>
          <w:p>
            <w:pPr>
              <w:pStyle w:val="35"/>
              <w:rPr>
                <w:lang w:val="en-IE"/>
              </w:rPr>
            </w:pPr>
            <w:r>
              <w:rPr>
                <w:rFonts w:hint="eastAsia"/>
                <w:lang w:val="en-IE"/>
              </w:rPr>
              <w:t>（万m</w:t>
            </w:r>
            <w:r>
              <w:rPr>
                <w:vertAlign w:val="superscript"/>
                <w:lang w:val="en-IE"/>
              </w:rPr>
              <w:t>3</w:t>
            </w:r>
            <w:r>
              <w:rPr>
                <w:rFonts w:hint="eastAsia"/>
                <w:lang w:val="en-IE"/>
              </w:rPr>
              <w:t>）</w:t>
            </w:r>
          </w:p>
        </w:tc>
        <w:tc>
          <w:tcPr>
            <w:tcW w:w="1256" w:type="dxa"/>
          </w:tcPr>
          <w:p>
            <w:pPr>
              <w:pStyle w:val="35"/>
              <w:rPr>
                <w:lang w:val="en-IE"/>
              </w:rPr>
            </w:pPr>
            <w:r>
              <w:rPr>
                <w:rFonts w:hint="eastAsia"/>
                <w:lang w:val="en-IE"/>
              </w:rPr>
              <w:t>P=</w:t>
            </w:r>
            <w:r>
              <w:rPr>
                <w:lang w:val="en-IE"/>
              </w:rPr>
              <w:t>95</w:t>
            </w:r>
            <w:r>
              <w:rPr>
                <w:rFonts w:hint="eastAsia"/>
                <w:lang w:val="en-IE"/>
              </w:rPr>
              <w:t>%</w:t>
            </w:r>
          </w:p>
          <w:p>
            <w:pPr>
              <w:pStyle w:val="35"/>
              <w:rPr>
                <w:lang w:val="en-IE"/>
              </w:rPr>
            </w:pPr>
            <w:r>
              <w:rPr>
                <w:rFonts w:hint="eastAsia"/>
                <w:lang w:val="en-IE"/>
              </w:rPr>
              <w:t>（万m</w:t>
            </w:r>
            <w:r>
              <w:rPr>
                <w:vertAlign w:val="superscript"/>
                <w:lang w:val="en-IE"/>
              </w:rPr>
              <w:t>3</w:t>
            </w:r>
            <w:r>
              <w:rPr>
                <w:rFonts w:hint="eastAsia"/>
                <w:lang w:val="en-IE"/>
              </w:rPr>
              <w:t>）</w:t>
            </w:r>
          </w:p>
        </w:tc>
        <w:tc>
          <w:tcPr>
            <w:tcW w:w="1257" w:type="dxa"/>
          </w:tcPr>
          <w:p>
            <w:pPr>
              <w:pStyle w:val="35"/>
              <w:rPr>
                <w:lang w:val="en-IE"/>
              </w:rPr>
            </w:pPr>
            <w:r>
              <w:rPr>
                <w:rFonts w:hint="eastAsia"/>
                <w:lang w:val="en-IE"/>
              </w:rPr>
              <w:t>总库容</w:t>
            </w:r>
          </w:p>
          <w:p>
            <w:pPr>
              <w:pStyle w:val="35"/>
              <w:rPr>
                <w:lang w:val="en-IE"/>
              </w:rPr>
            </w:pPr>
            <w:r>
              <w:rPr>
                <w:rFonts w:hint="eastAsia"/>
                <w:lang w:val="en-IE"/>
              </w:rPr>
              <w:t>（万m</w:t>
            </w:r>
            <w:r>
              <w:rPr>
                <w:vertAlign w:val="superscript"/>
                <w:lang w:val="en-IE"/>
              </w:rPr>
              <w:t>3</w:t>
            </w:r>
            <w:r>
              <w:rPr>
                <w:rFonts w:hint="eastAsia"/>
                <w:lang w:val="en-I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pStyle w:val="35"/>
              <w:rPr>
                <w:lang w:val="en-IE"/>
              </w:rPr>
            </w:pPr>
            <w:r>
              <w:rPr>
                <w:rFonts w:hint="eastAsia"/>
                <w:lang w:val="en-IE"/>
              </w:rPr>
              <w:t>大竹林水库</w:t>
            </w:r>
          </w:p>
        </w:tc>
        <w:tc>
          <w:tcPr>
            <w:tcW w:w="1936" w:type="dxa"/>
          </w:tcPr>
          <w:p>
            <w:pPr>
              <w:pStyle w:val="35"/>
              <w:rPr>
                <w:lang w:val="en-IE"/>
              </w:rPr>
            </w:pPr>
            <w:r>
              <w:rPr>
                <w:rFonts w:hint="eastAsia"/>
                <w:lang w:val="en-IE"/>
              </w:rPr>
              <w:t>坝址以上控制径流</w:t>
            </w:r>
          </w:p>
        </w:tc>
        <w:tc>
          <w:tcPr>
            <w:tcW w:w="1256" w:type="dxa"/>
          </w:tcPr>
          <w:p>
            <w:pPr>
              <w:pStyle w:val="35"/>
              <w:rPr>
                <w:lang w:val="en-IE"/>
              </w:rPr>
            </w:pPr>
            <w:r>
              <w:t>1.95</w:t>
            </w:r>
          </w:p>
        </w:tc>
        <w:tc>
          <w:tcPr>
            <w:tcW w:w="1257" w:type="dxa"/>
          </w:tcPr>
          <w:p>
            <w:pPr>
              <w:pStyle w:val="35"/>
              <w:rPr>
                <w:lang w:val="en-IE"/>
              </w:rPr>
            </w:pPr>
            <w:r>
              <w:t>88.5</w:t>
            </w:r>
          </w:p>
        </w:tc>
        <w:tc>
          <w:tcPr>
            <w:tcW w:w="1256" w:type="dxa"/>
          </w:tcPr>
          <w:p>
            <w:pPr>
              <w:pStyle w:val="35"/>
              <w:rPr>
                <w:lang w:val="en-IE"/>
              </w:rPr>
            </w:pPr>
            <w:r>
              <w:t>73.04</w:t>
            </w:r>
          </w:p>
        </w:tc>
        <w:tc>
          <w:tcPr>
            <w:tcW w:w="1257" w:type="dxa"/>
          </w:tcPr>
          <w:p>
            <w:pPr>
              <w:pStyle w:val="35"/>
              <w:rPr>
                <w:lang w:val="en-IE"/>
              </w:rPr>
            </w:pPr>
            <w:r>
              <w:t>36.57</w:t>
            </w:r>
          </w:p>
        </w:tc>
      </w:tr>
    </w:tbl>
    <w:p>
      <w:pPr>
        <w:ind w:firstLine="0" w:firstLineChars="0"/>
        <w:rPr>
          <w:rFonts w:ascii="宋体" w:hAnsi="宋体"/>
          <w:bCs/>
          <w:szCs w:val="24"/>
          <w:lang w:val="en-IE"/>
        </w:rPr>
      </w:pPr>
    </w:p>
    <w:p>
      <w:pPr>
        <w:ind w:firstLine="480"/>
        <w:rPr>
          <w:rFonts w:ascii="宋体" w:hAnsi="宋体"/>
          <w:bCs/>
          <w:szCs w:val="24"/>
          <w:lang w:val="en-IE"/>
        </w:rPr>
      </w:pPr>
      <w:r>
        <w:rPr>
          <w:rFonts w:hint="eastAsia" w:ascii="宋体" w:hAnsi="宋体"/>
          <w:bCs/>
          <w:szCs w:val="24"/>
          <w:lang w:val="en-IE"/>
        </w:rPr>
        <w:t>大竹林水库坝年来水量年内分配采用已通过相关部门评审的《富源县大竹林水库除险加固设计报告》水库设计枯水年（P=95%）年径流分配成果，其成果详见下表2</w:t>
      </w:r>
      <w:r>
        <w:rPr>
          <w:rFonts w:ascii="宋体" w:hAnsi="宋体"/>
          <w:bCs/>
          <w:szCs w:val="24"/>
          <w:lang w:val="en-IE"/>
        </w:rPr>
        <w:t>-2</w:t>
      </w:r>
      <w:r>
        <w:rPr>
          <w:rFonts w:hint="eastAsia" w:ascii="宋体" w:hAnsi="宋体"/>
          <w:bCs/>
          <w:szCs w:val="24"/>
          <w:lang w:val="en-IE"/>
        </w:rPr>
        <w:t>。</w:t>
      </w:r>
    </w:p>
    <w:p>
      <w:pPr>
        <w:pStyle w:val="42"/>
        <w:spacing w:before="166" w:after="166"/>
        <w:rPr>
          <w:w w:val="90"/>
        </w:rPr>
      </w:pPr>
      <w:r>
        <w:rPr>
          <w:rFonts w:hint="eastAsia"/>
          <w:w w:val="90"/>
          <w:lang w:val="en-IE"/>
        </w:rPr>
        <w:t>表2</w:t>
      </w:r>
      <w:r>
        <w:rPr>
          <w:w w:val="90"/>
          <w:lang w:val="en-IE"/>
        </w:rPr>
        <w:t xml:space="preserve">-2  </w:t>
      </w:r>
      <w:r>
        <w:rPr>
          <w:rFonts w:hint="eastAsia"/>
          <w:w w:val="90"/>
        </w:rPr>
        <w:t>大竹林水库</w:t>
      </w:r>
      <w:r>
        <w:rPr>
          <w:w w:val="90"/>
        </w:rPr>
        <w:t>设计枯水年年径流分配成果表</w:t>
      </w:r>
    </w:p>
    <w:tbl>
      <w:tblPr>
        <w:tblStyle w:val="26"/>
        <w:tblW w:w="10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719"/>
        <w:gridCol w:w="720"/>
        <w:gridCol w:w="719"/>
        <w:gridCol w:w="720"/>
        <w:gridCol w:w="720"/>
        <w:gridCol w:w="719"/>
        <w:gridCol w:w="720"/>
        <w:gridCol w:w="719"/>
        <w:gridCol w:w="720"/>
        <w:gridCol w:w="720"/>
        <w:gridCol w:w="719"/>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988" w:type="dxa"/>
            <w:vAlign w:val="center"/>
          </w:tcPr>
          <w:p>
            <w:pPr>
              <w:pStyle w:val="35"/>
            </w:pPr>
            <w:r>
              <w:rPr>
                <w:rFonts w:hint="eastAsia"/>
              </w:rPr>
              <w:t>月份</w:t>
            </w:r>
          </w:p>
        </w:tc>
        <w:tc>
          <w:tcPr>
            <w:tcW w:w="719" w:type="dxa"/>
            <w:vMerge w:val="restart"/>
            <w:vAlign w:val="center"/>
          </w:tcPr>
          <w:p>
            <w:pPr>
              <w:pStyle w:val="35"/>
            </w:pPr>
            <w:r>
              <w:rPr>
                <w:rFonts w:hint="eastAsia"/>
              </w:rPr>
              <w:t>1</w:t>
            </w:r>
            <w:r>
              <w:t>0</w:t>
            </w:r>
          </w:p>
        </w:tc>
        <w:tc>
          <w:tcPr>
            <w:tcW w:w="720" w:type="dxa"/>
            <w:vMerge w:val="restart"/>
            <w:vAlign w:val="center"/>
          </w:tcPr>
          <w:p>
            <w:pPr>
              <w:pStyle w:val="35"/>
            </w:pPr>
            <w:r>
              <w:rPr>
                <w:rFonts w:hint="eastAsia"/>
              </w:rPr>
              <w:t>1</w:t>
            </w:r>
            <w:r>
              <w:t>1</w:t>
            </w:r>
          </w:p>
        </w:tc>
        <w:tc>
          <w:tcPr>
            <w:tcW w:w="719" w:type="dxa"/>
            <w:vMerge w:val="restart"/>
            <w:vAlign w:val="center"/>
          </w:tcPr>
          <w:p>
            <w:pPr>
              <w:pStyle w:val="35"/>
            </w:pPr>
            <w:r>
              <w:rPr>
                <w:rFonts w:hint="eastAsia"/>
              </w:rPr>
              <w:t>1</w:t>
            </w:r>
            <w:r>
              <w:t>2</w:t>
            </w:r>
          </w:p>
        </w:tc>
        <w:tc>
          <w:tcPr>
            <w:tcW w:w="720" w:type="dxa"/>
            <w:vMerge w:val="restart"/>
            <w:vAlign w:val="center"/>
          </w:tcPr>
          <w:p>
            <w:pPr>
              <w:pStyle w:val="35"/>
            </w:pPr>
            <w:r>
              <w:rPr>
                <w:rFonts w:hint="eastAsia"/>
              </w:rPr>
              <w:t>1</w:t>
            </w:r>
          </w:p>
        </w:tc>
        <w:tc>
          <w:tcPr>
            <w:tcW w:w="720" w:type="dxa"/>
            <w:vMerge w:val="restart"/>
            <w:vAlign w:val="center"/>
          </w:tcPr>
          <w:p>
            <w:pPr>
              <w:pStyle w:val="35"/>
            </w:pPr>
            <w:r>
              <w:rPr>
                <w:rFonts w:hint="eastAsia"/>
              </w:rPr>
              <w:t>2</w:t>
            </w:r>
          </w:p>
        </w:tc>
        <w:tc>
          <w:tcPr>
            <w:tcW w:w="719" w:type="dxa"/>
            <w:vMerge w:val="restart"/>
            <w:vAlign w:val="center"/>
          </w:tcPr>
          <w:p>
            <w:pPr>
              <w:pStyle w:val="35"/>
            </w:pPr>
            <w:r>
              <w:rPr>
                <w:rFonts w:hint="eastAsia"/>
              </w:rPr>
              <w:t>3</w:t>
            </w:r>
          </w:p>
        </w:tc>
        <w:tc>
          <w:tcPr>
            <w:tcW w:w="720" w:type="dxa"/>
            <w:vMerge w:val="restart"/>
            <w:vAlign w:val="center"/>
          </w:tcPr>
          <w:p>
            <w:pPr>
              <w:pStyle w:val="35"/>
            </w:pPr>
            <w:r>
              <w:rPr>
                <w:rFonts w:hint="eastAsia"/>
              </w:rPr>
              <w:t>4</w:t>
            </w:r>
          </w:p>
        </w:tc>
        <w:tc>
          <w:tcPr>
            <w:tcW w:w="719" w:type="dxa"/>
            <w:vMerge w:val="restart"/>
            <w:vAlign w:val="center"/>
          </w:tcPr>
          <w:p>
            <w:pPr>
              <w:pStyle w:val="35"/>
            </w:pPr>
            <w:r>
              <w:rPr>
                <w:rFonts w:hint="eastAsia"/>
              </w:rPr>
              <w:t>5</w:t>
            </w:r>
          </w:p>
        </w:tc>
        <w:tc>
          <w:tcPr>
            <w:tcW w:w="720" w:type="dxa"/>
            <w:vMerge w:val="restart"/>
            <w:vAlign w:val="center"/>
          </w:tcPr>
          <w:p>
            <w:pPr>
              <w:pStyle w:val="35"/>
            </w:pPr>
            <w:r>
              <w:rPr>
                <w:rFonts w:hint="eastAsia"/>
              </w:rPr>
              <w:t>6</w:t>
            </w:r>
          </w:p>
        </w:tc>
        <w:tc>
          <w:tcPr>
            <w:tcW w:w="720" w:type="dxa"/>
            <w:vMerge w:val="restart"/>
            <w:vAlign w:val="center"/>
          </w:tcPr>
          <w:p>
            <w:pPr>
              <w:pStyle w:val="35"/>
            </w:pPr>
            <w:r>
              <w:rPr>
                <w:rFonts w:hint="eastAsia"/>
              </w:rPr>
              <w:t>7</w:t>
            </w:r>
          </w:p>
        </w:tc>
        <w:tc>
          <w:tcPr>
            <w:tcW w:w="719" w:type="dxa"/>
            <w:vMerge w:val="restart"/>
            <w:vAlign w:val="center"/>
          </w:tcPr>
          <w:p>
            <w:pPr>
              <w:pStyle w:val="35"/>
            </w:pPr>
            <w:r>
              <w:rPr>
                <w:rFonts w:hint="eastAsia"/>
              </w:rPr>
              <w:t>8</w:t>
            </w:r>
          </w:p>
        </w:tc>
        <w:tc>
          <w:tcPr>
            <w:tcW w:w="720" w:type="dxa"/>
            <w:vMerge w:val="restart"/>
            <w:vAlign w:val="center"/>
          </w:tcPr>
          <w:p>
            <w:pPr>
              <w:pStyle w:val="35"/>
            </w:pPr>
            <w:r>
              <w:rPr>
                <w:rFonts w:hint="eastAsia"/>
              </w:rPr>
              <w:t>9</w:t>
            </w:r>
          </w:p>
        </w:tc>
        <w:tc>
          <w:tcPr>
            <w:tcW w:w="720" w:type="dxa"/>
            <w:vMerge w:val="restart"/>
            <w:vAlign w:val="center"/>
          </w:tcPr>
          <w:p>
            <w:pPr>
              <w:pStyle w:val="35"/>
            </w:pPr>
            <w:r>
              <w:rPr>
                <w:rFonts w:hint="eastAsia"/>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Align w:val="center"/>
          </w:tcPr>
          <w:p>
            <w:pPr>
              <w:pStyle w:val="35"/>
            </w:pPr>
            <w:r>
              <w:rPr>
                <w:rFonts w:hint="eastAsia"/>
              </w:rPr>
              <w:t>频率</w:t>
            </w:r>
          </w:p>
        </w:tc>
        <w:tc>
          <w:tcPr>
            <w:tcW w:w="719" w:type="dxa"/>
            <w:vMerge w:val="continue"/>
            <w:vAlign w:val="center"/>
          </w:tcPr>
          <w:p>
            <w:pPr>
              <w:pStyle w:val="35"/>
            </w:pPr>
          </w:p>
        </w:tc>
        <w:tc>
          <w:tcPr>
            <w:tcW w:w="720" w:type="dxa"/>
            <w:vMerge w:val="continue"/>
            <w:vAlign w:val="center"/>
          </w:tcPr>
          <w:p>
            <w:pPr>
              <w:pStyle w:val="35"/>
            </w:pPr>
          </w:p>
        </w:tc>
        <w:tc>
          <w:tcPr>
            <w:tcW w:w="719" w:type="dxa"/>
            <w:vMerge w:val="continue"/>
            <w:vAlign w:val="center"/>
          </w:tcPr>
          <w:p>
            <w:pPr>
              <w:pStyle w:val="35"/>
            </w:pPr>
          </w:p>
        </w:tc>
        <w:tc>
          <w:tcPr>
            <w:tcW w:w="720" w:type="dxa"/>
            <w:vMerge w:val="continue"/>
            <w:vAlign w:val="center"/>
          </w:tcPr>
          <w:p>
            <w:pPr>
              <w:pStyle w:val="35"/>
            </w:pPr>
          </w:p>
        </w:tc>
        <w:tc>
          <w:tcPr>
            <w:tcW w:w="720" w:type="dxa"/>
            <w:vMerge w:val="continue"/>
            <w:vAlign w:val="center"/>
          </w:tcPr>
          <w:p>
            <w:pPr>
              <w:pStyle w:val="35"/>
            </w:pPr>
          </w:p>
        </w:tc>
        <w:tc>
          <w:tcPr>
            <w:tcW w:w="719" w:type="dxa"/>
            <w:vMerge w:val="continue"/>
            <w:vAlign w:val="center"/>
          </w:tcPr>
          <w:p>
            <w:pPr>
              <w:pStyle w:val="35"/>
            </w:pPr>
          </w:p>
        </w:tc>
        <w:tc>
          <w:tcPr>
            <w:tcW w:w="720" w:type="dxa"/>
            <w:vMerge w:val="continue"/>
            <w:vAlign w:val="center"/>
          </w:tcPr>
          <w:p>
            <w:pPr>
              <w:pStyle w:val="35"/>
            </w:pPr>
          </w:p>
        </w:tc>
        <w:tc>
          <w:tcPr>
            <w:tcW w:w="719" w:type="dxa"/>
            <w:vMerge w:val="continue"/>
            <w:vAlign w:val="center"/>
          </w:tcPr>
          <w:p>
            <w:pPr>
              <w:pStyle w:val="35"/>
            </w:pPr>
          </w:p>
        </w:tc>
        <w:tc>
          <w:tcPr>
            <w:tcW w:w="720" w:type="dxa"/>
            <w:vMerge w:val="continue"/>
            <w:vAlign w:val="center"/>
          </w:tcPr>
          <w:p>
            <w:pPr>
              <w:pStyle w:val="35"/>
            </w:pPr>
          </w:p>
        </w:tc>
        <w:tc>
          <w:tcPr>
            <w:tcW w:w="720" w:type="dxa"/>
            <w:vMerge w:val="continue"/>
            <w:vAlign w:val="center"/>
          </w:tcPr>
          <w:p>
            <w:pPr>
              <w:pStyle w:val="35"/>
            </w:pPr>
          </w:p>
        </w:tc>
        <w:tc>
          <w:tcPr>
            <w:tcW w:w="719" w:type="dxa"/>
            <w:vMerge w:val="continue"/>
            <w:vAlign w:val="center"/>
          </w:tcPr>
          <w:p>
            <w:pPr>
              <w:pStyle w:val="35"/>
            </w:pPr>
          </w:p>
        </w:tc>
        <w:tc>
          <w:tcPr>
            <w:tcW w:w="720" w:type="dxa"/>
            <w:vMerge w:val="continue"/>
            <w:vAlign w:val="center"/>
          </w:tcPr>
          <w:p>
            <w:pPr>
              <w:pStyle w:val="35"/>
            </w:pPr>
          </w:p>
        </w:tc>
        <w:tc>
          <w:tcPr>
            <w:tcW w:w="720" w:type="dxa"/>
            <w:vMerge w:val="continue"/>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35"/>
            </w:pPr>
            <w:r>
              <w:rPr>
                <w:rFonts w:hint="eastAsia"/>
              </w:rPr>
              <w:t>P=</w:t>
            </w:r>
            <w:r>
              <w:t>75</w:t>
            </w:r>
            <w:r>
              <w:rPr>
                <w:rFonts w:hint="eastAsia"/>
              </w:rPr>
              <w:t>%</w:t>
            </w:r>
          </w:p>
        </w:tc>
        <w:tc>
          <w:tcPr>
            <w:tcW w:w="719" w:type="dxa"/>
            <w:vAlign w:val="center"/>
          </w:tcPr>
          <w:p>
            <w:pPr>
              <w:pStyle w:val="35"/>
            </w:pPr>
            <w:r>
              <w:rPr>
                <w:rFonts w:hint="eastAsia"/>
              </w:rPr>
              <w:t>8</w:t>
            </w:r>
            <w:r>
              <w:t>.26</w:t>
            </w:r>
          </w:p>
        </w:tc>
        <w:tc>
          <w:tcPr>
            <w:tcW w:w="720" w:type="dxa"/>
            <w:vAlign w:val="center"/>
          </w:tcPr>
          <w:p>
            <w:pPr>
              <w:pStyle w:val="35"/>
            </w:pPr>
            <w:r>
              <w:rPr>
                <w:rFonts w:hint="eastAsia"/>
              </w:rPr>
              <w:t>4</w:t>
            </w:r>
            <w:r>
              <w:t>.96</w:t>
            </w:r>
          </w:p>
        </w:tc>
        <w:tc>
          <w:tcPr>
            <w:tcW w:w="719" w:type="dxa"/>
            <w:vAlign w:val="center"/>
          </w:tcPr>
          <w:p>
            <w:pPr>
              <w:pStyle w:val="35"/>
            </w:pPr>
            <w:r>
              <w:rPr>
                <w:rFonts w:hint="eastAsia"/>
              </w:rPr>
              <w:t>3</w:t>
            </w:r>
            <w:r>
              <w:t>.01</w:t>
            </w:r>
          </w:p>
        </w:tc>
        <w:tc>
          <w:tcPr>
            <w:tcW w:w="720" w:type="dxa"/>
            <w:vAlign w:val="center"/>
          </w:tcPr>
          <w:p>
            <w:pPr>
              <w:pStyle w:val="35"/>
            </w:pPr>
            <w:r>
              <w:rPr>
                <w:rFonts w:hint="eastAsia"/>
              </w:rPr>
              <w:t>2</w:t>
            </w:r>
            <w:r>
              <w:t>.50</w:t>
            </w:r>
          </w:p>
        </w:tc>
        <w:tc>
          <w:tcPr>
            <w:tcW w:w="720" w:type="dxa"/>
            <w:vAlign w:val="center"/>
          </w:tcPr>
          <w:p>
            <w:pPr>
              <w:pStyle w:val="35"/>
            </w:pPr>
            <w:r>
              <w:rPr>
                <w:rFonts w:hint="eastAsia"/>
              </w:rPr>
              <w:t>2</w:t>
            </w:r>
            <w:r>
              <w:t>.18</w:t>
            </w:r>
          </w:p>
        </w:tc>
        <w:tc>
          <w:tcPr>
            <w:tcW w:w="719" w:type="dxa"/>
            <w:vAlign w:val="center"/>
          </w:tcPr>
          <w:p>
            <w:pPr>
              <w:pStyle w:val="35"/>
            </w:pPr>
            <w:r>
              <w:rPr>
                <w:rFonts w:hint="eastAsia"/>
              </w:rPr>
              <w:t>1</w:t>
            </w:r>
            <w:r>
              <w:t>.64</w:t>
            </w:r>
          </w:p>
        </w:tc>
        <w:tc>
          <w:tcPr>
            <w:tcW w:w="720" w:type="dxa"/>
            <w:vAlign w:val="center"/>
          </w:tcPr>
          <w:p>
            <w:pPr>
              <w:pStyle w:val="35"/>
            </w:pPr>
            <w:r>
              <w:rPr>
                <w:rFonts w:hint="eastAsia"/>
              </w:rPr>
              <w:t>1</w:t>
            </w:r>
            <w:r>
              <w:t>.46</w:t>
            </w:r>
          </w:p>
        </w:tc>
        <w:tc>
          <w:tcPr>
            <w:tcW w:w="719" w:type="dxa"/>
            <w:vAlign w:val="center"/>
          </w:tcPr>
          <w:p>
            <w:pPr>
              <w:pStyle w:val="35"/>
            </w:pPr>
            <w:r>
              <w:rPr>
                <w:rFonts w:hint="eastAsia"/>
              </w:rPr>
              <w:t>7</w:t>
            </w:r>
            <w:r>
              <w:t>.49</w:t>
            </w:r>
          </w:p>
        </w:tc>
        <w:tc>
          <w:tcPr>
            <w:tcW w:w="720" w:type="dxa"/>
            <w:vAlign w:val="center"/>
          </w:tcPr>
          <w:p>
            <w:pPr>
              <w:pStyle w:val="35"/>
            </w:pPr>
            <w:r>
              <w:rPr>
                <w:rFonts w:hint="eastAsia"/>
              </w:rPr>
              <w:t>1</w:t>
            </w:r>
            <w:r>
              <w:t>0.20</w:t>
            </w:r>
          </w:p>
        </w:tc>
        <w:tc>
          <w:tcPr>
            <w:tcW w:w="720" w:type="dxa"/>
            <w:vAlign w:val="center"/>
          </w:tcPr>
          <w:p>
            <w:pPr>
              <w:pStyle w:val="35"/>
            </w:pPr>
            <w:r>
              <w:rPr>
                <w:rFonts w:hint="eastAsia"/>
              </w:rPr>
              <w:t>1</w:t>
            </w:r>
            <w:r>
              <w:t>2.72</w:t>
            </w:r>
          </w:p>
        </w:tc>
        <w:tc>
          <w:tcPr>
            <w:tcW w:w="719" w:type="dxa"/>
            <w:vAlign w:val="center"/>
          </w:tcPr>
          <w:p>
            <w:pPr>
              <w:pStyle w:val="35"/>
            </w:pPr>
            <w:r>
              <w:rPr>
                <w:rFonts w:hint="eastAsia"/>
              </w:rPr>
              <w:t>1</w:t>
            </w:r>
            <w:r>
              <w:t>2.96</w:t>
            </w:r>
          </w:p>
        </w:tc>
        <w:tc>
          <w:tcPr>
            <w:tcW w:w="720" w:type="dxa"/>
            <w:vAlign w:val="center"/>
          </w:tcPr>
          <w:p>
            <w:pPr>
              <w:pStyle w:val="35"/>
            </w:pPr>
            <w:r>
              <w:rPr>
                <w:rFonts w:hint="eastAsia"/>
              </w:rPr>
              <w:t>1</w:t>
            </w:r>
            <w:r>
              <w:t>1.03</w:t>
            </w:r>
          </w:p>
        </w:tc>
        <w:tc>
          <w:tcPr>
            <w:tcW w:w="720" w:type="dxa"/>
            <w:vAlign w:val="center"/>
          </w:tcPr>
          <w:p>
            <w:pPr>
              <w:pStyle w:val="35"/>
            </w:pPr>
            <w:r>
              <w:rPr>
                <w:rFonts w:hint="eastAsia"/>
              </w:rPr>
              <w:t>8</w:t>
            </w:r>
            <w: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pPr>
              <w:pStyle w:val="35"/>
            </w:pPr>
            <w:r>
              <w:rPr>
                <w:rFonts w:hint="eastAsia"/>
              </w:rPr>
              <w:t>P=</w:t>
            </w:r>
            <w:r>
              <w:t>95</w:t>
            </w:r>
            <w:r>
              <w:rPr>
                <w:rFonts w:hint="eastAsia"/>
              </w:rPr>
              <w:t>%</w:t>
            </w:r>
          </w:p>
        </w:tc>
        <w:tc>
          <w:tcPr>
            <w:tcW w:w="719" w:type="dxa"/>
            <w:vAlign w:val="center"/>
          </w:tcPr>
          <w:p>
            <w:pPr>
              <w:pStyle w:val="35"/>
            </w:pPr>
            <w:r>
              <w:rPr>
                <w:rFonts w:hint="eastAsia"/>
              </w:rPr>
              <w:t>6</w:t>
            </w:r>
            <w:r>
              <w:t>.88</w:t>
            </w:r>
          </w:p>
        </w:tc>
        <w:tc>
          <w:tcPr>
            <w:tcW w:w="720" w:type="dxa"/>
            <w:vAlign w:val="center"/>
          </w:tcPr>
          <w:p>
            <w:pPr>
              <w:pStyle w:val="35"/>
            </w:pPr>
            <w:r>
              <w:rPr>
                <w:rFonts w:hint="eastAsia"/>
              </w:rPr>
              <w:t>4</w:t>
            </w:r>
            <w:r>
              <w:t>.13</w:t>
            </w:r>
          </w:p>
        </w:tc>
        <w:tc>
          <w:tcPr>
            <w:tcW w:w="719" w:type="dxa"/>
            <w:vAlign w:val="center"/>
          </w:tcPr>
          <w:p>
            <w:pPr>
              <w:pStyle w:val="35"/>
            </w:pPr>
            <w:r>
              <w:rPr>
                <w:rFonts w:hint="eastAsia"/>
              </w:rPr>
              <w:t>2</w:t>
            </w:r>
            <w:r>
              <w:t>.51</w:t>
            </w:r>
          </w:p>
        </w:tc>
        <w:tc>
          <w:tcPr>
            <w:tcW w:w="720" w:type="dxa"/>
            <w:vAlign w:val="center"/>
          </w:tcPr>
          <w:p>
            <w:pPr>
              <w:pStyle w:val="35"/>
            </w:pPr>
            <w:r>
              <w:rPr>
                <w:rFonts w:hint="eastAsia"/>
              </w:rPr>
              <w:t>2</w:t>
            </w:r>
            <w:r>
              <w:t>.08</w:t>
            </w:r>
          </w:p>
        </w:tc>
        <w:tc>
          <w:tcPr>
            <w:tcW w:w="720" w:type="dxa"/>
            <w:vAlign w:val="center"/>
          </w:tcPr>
          <w:p>
            <w:pPr>
              <w:pStyle w:val="35"/>
            </w:pPr>
            <w:r>
              <w:rPr>
                <w:rFonts w:hint="eastAsia"/>
              </w:rPr>
              <w:t>1</w:t>
            </w:r>
            <w:r>
              <w:t>.82</w:t>
            </w:r>
          </w:p>
        </w:tc>
        <w:tc>
          <w:tcPr>
            <w:tcW w:w="719" w:type="dxa"/>
            <w:vAlign w:val="center"/>
          </w:tcPr>
          <w:p>
            <w:pPr>
              <w:pStyle w:val="35"/>
            </w:pPr>
            <w:r>
              <w:rPr>
                <w:rFonts w:hint="eastAsia"/>
              </w:rPr>
              <w:t>1</w:t>
            </w:r>
            <w:r>
              <w:t>.37</w:t>
            </w:r>
          </w:p>
        </w:tc>
        <w:tc>
          <w:tcPr>
            <w:tcW w:w="720" w:type="dxa"/>
            <w:vAlign w:val="center"/>
          </w:tcPr>
          <w:p>
            <w:pPr>
              <w:pStyle w:val="35"/>
            </w:pPr>
            <w:r>
              <w:rPr>
                <w:rFonts w:hint="eastAsia"/>
              </w:rPr>
              <w:t>1</w:t>
            </w:r>
            <w:r>
              <w:t>.22</w:t>
            </w:r>
          </w:p>
        </w:tc>
        <w:tc>
          <w:tcPr>
            <w:tcW w:w="719" w:type="dxa"/>
            <w:vAlign w:val="center"/>
          </w:tcPr>
          <w:p>
            <w:pPr>
              <w:pStyle w:val="35"/>
            </w:pPr>
            <w:r>
              <w:rPr>
                <w:rFonts w:hint="eastAsia"/>
              </w:rPr>
              <w:t>6</w:t>
            </w:r>
            <w:r>
              <w:t>.24</w:t>
            </w:r>
          </w:p>
        </w:tc>
        <w:tc>
          <w:tcPr>
            <w:tcW w:w="720" w:type="dxa"/>
            <w:vAlign w:val="center"/>
          </w:tcPr>
          <w:p>
            <w:pPr>
              <w:pStyle w:val="35"/>
            </w:pPr>
            <w:r>
              <w:rPr>
                <w:rFonts w:hint="eastAsia"/>
              </w:rPr>
              <w:t>8</w:t>
            </w:r>
            <w:r>
              <w:t>.50</w:t>
            </w:r>
          </w:p>
        </w:tc>
        <w:tc>
          <w:tcPr>
            <w:tcW w:w="720" w:type="dxa"/>
            <w:vAlign w:val="center"/>
          </w:tcPr>
          <w:p>
            <w:pPr>
              <w:pStyle w:val="35"/>
            </w:pPr>
            <w:r>
              <w:rPr>
                <w:rFonts w:hint="eastAsia"/>
              </w:rPr>
              <w:t>1</w:t>
            </w:r>
            <w:r>
              <w:t>0.60</w:t>
            </w:r>
          </w:p>
        </w:tc>
        <w:tc>
          <w:tcPr>
            <w:tcW w:w="719" w:type="dxa"/>
            <w:vAlign w:val="center"/>
          </w:tcPr>
          <w:p>
            <w:pPr>
              <w:pStyle w:val="35"/>
            </w:pPr>
            <w:r>
              <w:rPr>
                <w:rFonts w:hint="eastAsia"/>
              </w:rPr>
              <w:t>1</w:t>
            </w:r>
            <w:r>
              <w:t>0.80</w:t>
            </w:r>
          </w:p>
        </w:tc>
        <w:tc>
          <w:tcPr>
            <w:tcW w:w="720" w:type="dxa"/>
            <w:vAlign w:val="center"/>
          </w:tcPr>
          <w:p>
            <w:pPr>
              <w:pStyle w:val="35"/>
            </w:pPr>
            <w:r>
              <w:rPr>
                <w:rFonts w:hint="eastAsia"/>
              </w:rPr>
              <w:t>9</w:t>
            </w:r>
            <w:r>
              <w:t>.19</w:t>
            </w:r>
          </w:p>
        </w:tc>
        <w:tc>
          <w:tcPr>
            <w:tcW w:w="720" w:type="dxa"/>
            <w:vAlign w:val="center"/>
          </w:tcPr>
          <w:p>
            <w:pPr>
              <w:pStyle w:val="35"/>
            </w:pPr>
            <w:r>
              <w:rPr>
                <w:rFonts w:hint="eastAsia"/>
              </w:rPr>
              <w:t>7</w:t>
            </w:r>
            <w:r>
              <w:t>3.04</w:t>
            </w:r>
          </w:p>
        </w:tc>
      </w:tr>
    </w:tbl>
    <w:p>
      <w:pPr>
        <w:pStyle w:val="2"/>
        <w:ind w:firstLine="420"/>
        <w:rPr>
          <w:rFonts w:hint="default"/>
        </w:rPr>
      </w:pPr>
    </w:p>
    <w:p>
      <w:pPr>
        <w:pStyle w:val="4"/>
      </w:pPr>
      <w:bookmarkStart w:id="74" w:name="_Toc20330"/>
      <w:bookmarkStart w:id="75" w:name="_Toc19691432"/>
      <w:r>
        <w:rPr>
          <w:rFonts w:hint="eastAsia"/>
        </w:rPr>
        <w:t>2</w:t>
      </w:r>
      <w:r>
        <w:t xml:space="preserve">.2  </w:t>
      </w:r>
      <w:r>
        <w:rPr>
          <w:rFonts w:hint="eastAsia"/>
        </w:rPr>
        <w:t>社会经济状况</w:t>
      </w:r>
      <w:bookmarkEnd w:id="74"/>
      <w:bookmarkEnd w:id="75"/>
    </w:p>
    <w:p>
      <w:pPr>
        <w:pStyle w:val="5"/>
      </w:pPr>
      <w:bookmarkStart w:id="76" w:name="_Toc26466"/>
      <w:bookmarkStart w:id="77" w:name="_Toc19691433"/>
      <w:r>
        <w:rPr>
          <w:rFonts w:hint="eastAsia"/>
        </w:rPr>
        <w:t>2</w:t>
      </w:r>
      <w:r>
        <w:t xml:space="preserve">.2.1  </w:t>
      </w:r>
      <w:r>
        <w:rPr>
          <w:rFonts w:hint="eastAsia"/>
        </w:rPr>
        <w:t>行政区划</w:t>
      </w:r>
      <w:bookmarkEnd w:id="76"/>
      <w:bookmarkEnd w:id="77"/>
    </w:p>
    <w:p>
      <w:pPr>
        <w:ind w:firstLine="480"/>
      </w:pPr>
      <w:r>
        <w:rPr>
          <w:rFonts w:hint="eastAsia"/>
        </w:rPr>
        <w:t>大竹林水库位于云南省曲靖市富源县富村镇干龙村委会境内，大竹林水库整个流域全部位于干龙村委会境内。</w:t>
      </w:r>
    </w:p>
    <w:p>
      <w:pPr>
        <w:pStyle w:val="5"/>
      </w:pPr>
      <w:bookmarkStart w:id="78" w:name="_Toc10454"/>
      <w:bookmarkStart w:id="79" w:name="_Toc19691434"/>
      <w:r>
        <w:rPr>
          <w:rFonts w:hint="eastAsia"/>
        </w:rPr>
        <w:t>2</w:t>
      </w:r>
      <w:r>
        <w:t xml:space="preserve">.2.2  </w:t>
      </w:r>
      <w:r>
        <w:rPr>
          <w:rFonts w:hint="eastAsia"/>
        </w:rPr>
        <w:t>人口状况</w:t>
      </w:r>
      <w:bookmarkEnd w:id="78"/>
      <w:bookmarkEnd w:id="79"/>
    </w:p>
    <w:p>
      <w:pPr>
        <w:ind w:firstLine="480"/>
      </w:pPr>
      <w:bookmarkStart w:id="80" w:name="_Toc19691435"/>
      <w:r>
        <w:rPr>
          <w:rFonts w:hint="eastAsia"/>
        </w:rPr>
        <w:t>富村镇辖21个村委会，204个自然村，271个村民小组，2</w:t>
      </w:r>
      <w:r>
        <w:t>017</w:t>
      </w:r>
      <w:r>
        <w:rPr>
          <w:rFonts w:hint="eastAsia"/>
        </w:rPr>
        <w:t>年常住人口108846人。</w:t>
      </w:r>
    </w:p>
    <w:p>
      <w:pPr>
        <w:ind w:firstLine="480"/>
      </w:pPr>
      <w:r>
        <w:rPr>
          <w:rFonts w:hint="eastAsia"/>
        </w:rPr>
        <w:t>干龙</w:t>
      </w:r>
      <w:r>
        <w:t>村现有农户530户，共乡村人口1943人，其中男性1011人，女性932人。其中农业人口1920人，劳动力1412人。</w:t>
      </w:r>
    </w:p>
    <w:p>
      <w:pPr>
        <w:ind w:firstLine="480"/>
      </w:pPr>
      <w:r>
        <w:rPr>
          <w:rFonts w:hint="eastAsia"/>
        </w:rPr>
        <w:t>祖德村</w:t>
      </w:r>
      <w:r>
        <w:t>村现有农户1364户，共乡村人口5027人，其中男性2606人，女性2400人。其中农业人口5001人，劳动力2771人。</w:t>
      </w:r>
    </w:p>
    <w:p>
      <w:pPr>
        <w:ind w:firstLine="480"/>
      </w:pPr>
      <w:r>
        <w:rPr>
          <w:rFonts w:hint="eastAsia"/>
        </w:rPr>
        <w:t>团山村</w:t>
      </w:r>
      <w:r>
        <w:t>村现有农户613户，共乡村人口2257人，其中男性1169人，女性1088人。其中农业人口2257人，劳动力1568人。</w:t>
      </w:r>
    </w:p>
    <w:p>
      <w:pPr>
        <w:ind w:firstLine="480"/>
      </w:pPr>
      <w:r>
        <w:rPr>
          <w:rFonts w:hint="eastAsia"/>
        </w:rPr>
        <w:t>小坝村辖5个村民小组，有农户232户，有乡村人口885人，其中农业人口885人，劳动力608人，其中从事第一产业人数351人。</w:t>
      </w:r>
    </w:p>
    <w:p>
      <w:pPr>
        <w:pStyle w:val="5"/>
      </w:pPr>
      <w:bookmarkStart w:id="81" w:name="_Toc28499"/>
      <w:r>
        <w:rPr>
          <w:rFonts w:hint="eastAsia"/>
        </w:rPr>
        <w:t>2</w:t>
      </w:r>
      <w:r>
        <w:t xml:space="preserve">.2.3  </w:t>
      </w:r>
      <w:r>
        <w:rPr>
          <w:rFonts w:hint="eastAsia"/>
        </w:rPr>
        <w:t>经济发展状况</w:t>
      </w:r>
      <w:bookmarkEnd w:id="80"/>
      <w:bookmarkEnd w:id="81"/>
    </w:p>
    <w:p>
      <w:pPr>
        <w:ind w:firstLine="480"/>
      </w:pPr>
      <w:r>
        <w:rPr>
          <w:rFonts w:hint="eastAsia"/>
        </w:rPr>
        <w:t>富村镇2</w:t>
      </w:r>
      <w:r>
        <w:t>017</w:t>
      </w:r>
      <w:r>
        <w:rPr>
          <w:rFonts w:hint="eastAsia"/>
        </w:rPr>
        <w:t>年实现国民生产总值12.25亿元，同比增长10.1%；农村经济总收入完成6.11亿元，同比增长11.1%；工业生产总值完成6.14亿元，同比增长12%；完成财政总收入1.12亿元，同比增28%；完成地方财政收入2668万元，同比增长23.52%，固定资产投资完成3.06亿元，同比增长47.8%；社会消费品零售总额完成2.7亿元，同比增长9.3%；农村信用存、贷款余额2.2亿元、1.6亿元，同比分别增长25.8%、15.99%；农民人均纯收入达4164元，同比增长18%。</w:t>
      </w:r>
    </w:p>
    <w:p>
      <w:pPr>
        <w:pStyle w:val="2"/>
        <w:ind w:firstLine="480"/>
        <w:rPr>
          <w:rFonts w:hint="default" w:ascii="Times New Roman" w:hAnsi="Times New Roman"/>
          <w:sz w:val="24"/>
        </w:rPr>
      </w:pPr>
      <w:r>
        <w:rPr>
          <w:rFonts w:ascii="Times New Roman" w:hAnsi="Times New Roman"/>
          <w:sz w:val="24"/>
        </w:rPr>
        <w:t>毛家村，属于山区。距离村委会0.3公里,距离镇32公里，国土面积0.14平方公里，海拔1860米，年平均气温20.00摄氏度，年降水量1500.00毫米，适宜种植玉米等农作物。有耕地177亩，有林地30亩。全村辖1个村民小组，有农户53户，有乡村人口220人，其中农业人口217人，劳动力120人，其中从事第一产业人数210人。该村2018年农村经济总收入90.2万元，其中：种植业收入11.2万元，畜牧业收入12万元（其中，年内出栏肉猪21头，肉牛7头，肉羊15头）；林业收入0.00万元，第二产业收入0万元、第三产业收入5万元，工资性收入62万元。农民人均纯收入4100元，农民收入以洋芋、蔬菜等为主。该村已通自来水。</w:t>
      </w:r>
    </w:p>
    <w:p>
      <w:pPr>
        <w:pStyle w:val="2"/>
        <w:ind w:firstLine="480"/>
        <w:rPr>
          <w:rFonts w:hint="default" w:ascii="Times New Roman" w:hAnsi="Times New Roman"/>
          <w:sz w:val="24"/>
        </w:rPr>
      </w:pPr>
      <w:r>
        <w:rPr>
          <w:rFonts w:ascii="Times New Roman" w:hAnsi="Times New Roman"/>
          <w:sz w:val="24"/>
        </w:rPr>
        <w:t>周家村，属于山区。距离村委会0.5公里,距离镇32.5公里，国土面积0.3平方公里，海拔1860米，年平均气温20.00摄氏度，年降水量1500.00毫米，适宜种植玉米等农作物。有耕地366亩，有林地84亩。全村辖1个村民小组，有农户114户，有乡村人口436人，其中农业人口432人，劳动力236人，其中从事第一产业人数230人。该村2018年农村经济总收入183.12万元，其中：种植业收入15.12万元，畜牧业收入25万元（其中，年内出栏肉猪60头，肉牛10头，肉羊6头）；林业收入0.00万元，第二产业收入0万元、第三产业收入8万元，工资性收入135万元。农民人均纯收入4200元，农民收入以洋芋、蔬菜等为主。该村已通自来水。</w:t>
      </w:r>
    </w:p>
    <w:p>
      <w:pPr>
        <w:pStyle w:val="2"/>
        <w:ind w:firstLine="480"/>
        <w:rPr>
          <w:rFonts w:hint="default" w:ascii="Times New Roman" w:hAnsi="Times New Roman"/>
          <w:sz w:val="24"/>
        </w:rPr>
      </w:pPr>
      <w:r>
        <w:rPr>
          <w:rFonts w:ascii="Times New Roman" w:hAnsi="Times New Roman"/>
          <w:sz w:val="24"/>
        </w:rPr>
        <w:t>尹家村，属于山区。距离村委会1公里,距离镇33公里，国土面积0.28平方公里，海拔1860米，年平均气温20.00摄氏度，年降水量1500.00毫米，适宜种植玉米等农作物。有耕地270亩，有林地150亩。全村辖1个村民小组，有农户106户，有乡村人口430人，其中农业人口428人，劳动力232人，其中从事第一产业人数230人。该村2018年农村经济总收入174.15万元，其中：种植业收入14.15万元，畜牧业收入18万元（其中，年内出栏肉猪45头，肉牛6头，肉羊0头）；林业收入0.00万元，第二产业收入0万元、第三产业收入8万元，工资性收入134万元。农民人均纯收入4050元，农民收入以洋芋、蔬菜等为主。该村已通自来水。</w:t>
      </w:r>
    </w:p>
    <w:p>
      <w:pPr>
        <w:pStyle w:val="2"/>
        <w:ind w:firstLine="480"/>
        <w:rPr>
          <w:rFonts w:hint="default" w:ascii="Times New Roman" w:hAnsi="Times New Roman"/>
          <w:sz w:val="24"/>
        </w:rPr>
      </w:pPr>
      <w:r>
        <w:rPr>
          <w:rFonts w:ascii="Times New Roman" w:hAnsi="Times New Roman"/>
          <w:sz w:val="24"/>
        </w:rPr>
        <w:t>黄家村，属于山区。距离村委会1.5公里,距离镇34公里，国土面积0.25平方公里，海拔1860米，年平均气温20.00摄氏度，年降水量1500.00毫米，适宜种植玉米等农作物。有耕地302亩，有林地80亩。全村辖1个村民小组，有农户104户，有乡村人口422人，其中农业人口420人，劳动力236人，其中从事第一产业人数231人。该村2018年农村经济总收入179.35万元，其中：种植业收入16万元，畜牧业收入19万元（其中，年内出栏肉猪50头，肉牛10头，肉羊0头）；林业收入0.00万元，第二产业收入0万元、第三产业收入4万元，工资性收入140.35万元。农民人均纯收入4250元，农民收入以洋芋、蔬菜等为主。该村已通自来水。</w:t>
      </w:r>
    </w:p>
    <w:p>
      <w:pPr>
        <w:pStyle w:val="2"/>
        <w:ind w:firstLine="480"/>
        <w:rPr>
          <w:rFonts w:hint="default" w:ascii="Times New Roman" w:hAnsi="Times New Roman"/>
          <w:sz w:val="24"/>
        </w:rPr>
      </w:pPr>
      <w:r>
        <w:rPr>
          <w:rFonts w:ascii="Times New Roman" w:hAnsi="Times New Roman"/>
          <w:sz w:val="24"/>
        </w:rPr>
        <w:t>田家村，属于山区。距离村委会1.2公里,距离镇33公里，国土面积0.13平方公里，海拔1860米，年平均气温20.00摄氏度，年降水量1500.00毫米，适宜种植玉米等农作物。有耕地121亩，有林地60亩。全村辖1个村民小组，有农户26户，有乡村人口125人，其中农业人口124人，劳动力68人，其中从事第一产业人数66人。该村2018年农村经济总收入53.75万元，其中：种植业收入5万元，畜牧业收入4万元（其中，年内出栏肉猪10头，肉牛4头，肉羊0头）；林业收入0.00万元，第二产业收入0万元、第三产业收入1万元，工资性收入43.75万元。农民人均纯收入4300元，农民收入以洋芋、蔬菜等为主。该村已通自来水。</w:t>
      </w:r>
    </w:p>
    <w:p>
      <w:pPr>
        <w:pStyle w:val="2"/>
        <w:ind w:firstLine="480"/>
        <w:rPr>
          <w:rFonts w:hint="default" w:ascii="Times New Roman" w:hAnsi="Times New Roman"/>
          <w:sz w:val="24"/>
        </w:rPr>
      </w:pPr>
      <w:r>
        <w:rPr>
          <w:rFonts w:ascii="Times New Roman" w:hAnsi="Times New Roman"/>
          <w:sz w:val="24"/>
        </w:rPr>
        <w:t>焦家村，属于山区。距离村委会2公里,距离镇34公里，国土面积0.17平方公里，海拔1860米，年平均气温20.00摄氏度，年降水量1500.00毫米，适宜种植玉米等农作物。有耕地180亩，有林地80亩。全村辖1个村民小组，有农户54户，有乡村人口230人，其中农业人口228人，劳动力128人，其中从事第一产业人数126人。该村2018年农村经济总收入94.875万元，其中：种植业收入10万元，畜牧业收入14万元（其中，年内出栏肉猪35头，肉牛7头，肉羊0头）；林业收入0.00万元，第二产业收入0万元、第三产业收入3万元，工资性收入67.875万元。农民人均纯收入4125元，农民收入以洋芋、蔬菜等为主。该村已通自来水。</w:t>
      </w:r>
    </w:p>
    <w:p>
      <w:pPr>
        <w:pStyle w:val="2"/>
        <w:ind w:firstLine="480"/>
        <w:rPr>
          <w:rFonts w:hint="default" w:ascii="Times New Roman" w:hAnsi="Times New Roman"/>
          <w:sz w:val="24"/>
        </w:rPr>
      </w:pPr>
      <w:r>
        <w:rPr>
          <w:rFonts w:ascii="Times New Roman" w:hAnsi="Times New Roman"/>
          <w:sz w:val="24"/>
        </w:rPr>
        <w:t>小白岩，属于山区。距离村委会2公里,距离镇34公里，国土面积0.27平方公里，海拔1860米，年平均气温20.00摄氏度，年降水量1500.00毫米，适宜种植玉米等农作物。有耕地300亩，有林地110亩。全村辖1个村民小组，有农户101户，有乡村人口421人，其中农业人口416人，劳动力232人，其中从事第一产业人数230人。该村2018年农村经济总收入181.03万元，其中：种植业收入16万元，畜牧业收入20万元（其中，年内出栏肉猪50头，肉牛10头，肉羊0头）；林业收入0.00万元，第二产业收入0万元、第三产业收入6万元，工资性收入139.03万元。农民人均纯收入4300元，农民收入以洋芋、蔬菜等为主。该村已通自来水。</w:t>
      </w:r>
    </w:p>
    <w:p>
      <w:pPr>
        <w:pStyle w:val="4"/>
      </w:pPr>
      <w:bookmarkStart w:id="82" w:name="_Toc18048"/>
      <w:bookmarkStart w:id="83" w:name="_Toc19691439"/>
      <w:r>
        <w:rPr>
          <w:rFonts w:hint="eastAsia"/>
        </w:rPr>
        <w:t>2</w:t>
      </w:r>
      <w:r>
        <w:t xml:space="preserve">.3  </w:t>
      </w:r>
      <w:r>
        <w:rPr>
          <w:rFonts w:hint="eastAsia"/>
        </w:rPr>
        <w:t>土地使用现状</w:t>
      </w:r>
      <w:bookmarkEnd w:id="82"/>
      <w:bookmarkEnd w:id="83"/>
    </w:p>
    <w:p>
      <w:pPr>
        <w:ind w:firstLine="480"/>
      </w:pPr>
      <w:bookmarkStart w:id="84" w:name="_Toc19691440"/>
      <w:r>
        <w:rPr>
          <w:rFonts w:hint="eastAsia"/>
        </w:rPr>
        <w:t>按照《土地利用现状分类》（GB</w:t>
      </w:r>
      <w:r>
        <w:t>/</w:t>
      </w:r>
      <w:r>
        <w:rPr>
          <w:rFonts w:hint="eastAsia"/>
        </w:rPr>
        <w:t>T</w:t>
      </w:r>
      <w:r>
        <w:t xml:space="preserve"> 21010-2017</w:t>
      </w:r>
      <w:r>
        <w:rPr>
          <w:rFonts w:hint="eastAsia"/>
        </w:rPr>
        <w:t>）标准进行土地利用现状的调查，在ArcGIS中以谷歌地球影像为底图，参考富源县自然资源和规划局提供的富源县土地利用总体规划图（图幅号为G</w:t>
      </w:r>
      <w:r>
        <w:t>48</w:t>
      </w:r>
      <w:r>
        <w:rPr>
          <w:rFonts w:hint="eastAsia"/>
        </w:rPr>
        <w:t>G</w:t>
      </w:r>
      <w:r>
        <w:t>061041</w:t>
      </w:r>
      <w:r>
        <w:rPr>
          <w:rFonts w:hint="eastAsia"/>
        </w:rPr>
        <w:t>），制作径流范围内土地利用现状图层，并制作土地利用现状图（见附图3），各类型土地利用面积统计见</w:t>
      </w:r>
      <w:bookmarkStart w:id="85" w:name="_Hlk19544842"/>
      <w:r>
        <w:rPr>
          <w:rFonts w:hint="eastAsia"/>
        </w:rPr>
        <w:t>表2</w:t>
      </w:r>
      <w:r>
        <w:t>-3</w:t>
      </w:r>
      <w:r>
        <w:rPr>
          <w:rFonts w:hint="eastAsia"/>
        </w:rPr>
        <w:t>和图</w:t>
      </w:r>
      <w:r>
        <w:t>2</w:t>
      </w:r>
      <w:bookmarkEnd w:id="85"/>
      <w:r>
        <w:t>-2</w:t>
      </w:r>
      <w:r>
        <w:rPr>
          <w:rFonts w:hint="eastAsia"/>
        </w:rPr>
        <w:t>。</w:t>
      </w:r>
    </w:p>
    <w:p>
      <w:pPr>
        <w:ind w:firstLine="480"/>
      </w:pPr>
      <w:r>
        <w:rPr>
          <w:rFonts w:hint="eastAsia"/>
        </w:rPr>
        <w:t>从表2</w:t>
      </w:r>
      <w:r>
        <w:t>-3</w:t>
      </w:r>
      <w:r>
        <w:rPr>
          <w:rFonts w:hint="eastAsia"/>
        </w:rPr>
        <w:t>和图2</w:t>
      </w:r>
      <w:r>
        <w:t>-2</w:t>
      </w:r>
      <w:r>
        <w:rPr>
          <w:rFonts w:hint="eastAsia"/>
        </w:rPr>
        <w:t>可见，在大竹林水库流域范围内，土地利用形式主要以乔木林地和旱地为主，其他土地类别面积都没有超过1</w:t>
      </w:r>
      <w:r>
        <w:t>0</w:t>
      </w:r>
      <w:r>
        <w:rPr>
          <w:rFonts w:hint="eastAsia"/>
        </w:rPr>
        <w:t>%。在大竹林水库大坝北面</w:t>
      </w:r>
      <w:r>
        <w:t xml:space="preserve">20 </w:t>
      </w:r>
      <w:r>
        <w:rPr>
          <w:rFonts w:hint="eastAsia"/>
        </w:rPr>
        <w:t>m处为水库管理库房，该库房西边部分位于流域范围内，划分为公用设施用地；库房周边空地由于没有植被覆盖，是直接裸露的土地，故划分为裸土地。在都格村东面2</w:t>
      </w:r>
      <w:r>
        <w:t xml:space="preserve">50 </w:t>
      </w:r>
      <w:r>
        <w:rPr>
          <w:rFonts w:hint="eastAsia"/>
        </w:rPr>
        <w:t>m处农村道路（此道路为流域分水岭）东侧有新建养殖小区的堆粪场，将此处划分为设施农用地。</w:t>
      </w:r>
    </w:p>
    <w:p>
      <w:pPr>
        <w:ind w:firstLine="480"/>
      </w:pPr>
      <w:r>
        <w:rPr>
          <w:rFonts w:hint="eastAsia"/>
        </w:rPr>
        <w:t>旱地面积</w:t>
      </w:r>
      <w:r>
        <w:t xml:space="preserve">31.96 </w:t>
      </w:r>
      <w:r>
        <w:rPr>
          <w:rFonts w:hint="eastAsia"/>
        </w:rPr>
        <w:t>hm</w:t>
      </w:r>
      <w:r>
        <w:rPr>
          <w:vertAlign w:val="superscript"/>
        </w:rPr>
        <w:t>2</w:t>
      </w:r>
      <w:r>
        <w:rPr>
          <w:rFonts w:hint="eastAsia"/>
        </w:rPr>
        <w:t>，占流域面积的</w:t>
      </w:r>
      <w:r>
        <w:t>32.73</w:t>
      </w:r>
      <w:r>
        <w:rPr>
          <w:rFonts w:hint="eastAsia"/>
        </w:rPr>
        <w:t>%；乔木林地面积</w:t>
      </w:r>
      <w:r>
        <w:t xml:space="preserve">57.15 </w:t>
      </w:r>
      <w:r>
        <w:rPr>
          <w:rFonts w:hint="eastAsia"/>
        </w:rPr>
        <w:t>hm</w:t>
      </w:r>
      <w:r>
        <w:rPr>
          <w:vertAlign w:val="superscript"/>
        </w:rPr>
        <w:t>2</w:t>
      </w:r>
      <w:r>
        <w:rPr>
          <w:rFonts w:hint="eastAsia"/>
        </w:rPr>
        <w:t>，占流域面积的</w:t>
      </w:r>
      <w:r>
        <w:t>58.52</w:t>
      </w:r>
      <w:r>
        <w:rPr>
          <w:rFonts w:hint="eastAsia"/>
        </w:rPr>
        <w:t>%；灌木林地面积</w:t>
      </w:r>
      <w:r>
        <w:t xml:space="preserve">4.46 </w:t>
      </w:r>
      <w:r>
        <w:rPr>
          <w:rFonts w:hint="eastAsia"/>
        </w:rPr>
        <w:t>hm</w:t>
      </w:r>
      <w:r>
        <w:rPr>
          <w:vertAlign w:val="superscript"/>
        </w:rPr>
        <w:t>2</w:t>
      </w:r>
      <w:r>
        <w:rPr>
          <w:rFonts w:hint="eastAsia"/>
        </w:rPr>
        <w:t>，占流域面积的</w:t>
      </w:r>
      <w:r>
        <w:t>4.57</w:t>
      </w:r>
      <w:r>
        <w:rPr>
          <w:rFonts w:hint="eastAsia"/>
        </w:rPr>
        <w:t>%；公用设施用地面积0</w:t>
      </w:r>
      <w:r>
        <w:t xml:space="preserve">.03 </w:t>
      </w:r>
      <w:r>
        <w:rPr>
          <w:rFonts w:hint="eastAsia"/>
        </w:rPr>
        <w:t>hm</w:t>
      </w:r>
      <w:r>
        <w:rPr>
          <w:vertAlign w:val="superscript"/>
        </w:rPr>
        <w:t>2</w:t>
      </w:r>
      <w:r>
        <w:rPr>
          <w:rFonts w:hint="eastAsia"/>
        </w:rPr>
        <w:t>，占流域面积的0</w:t>
      </w:r>
      <w:r>
        <w:t>.03</w:t>
      </w:r>
      <w:r>
        <w:rPr>
          <w:rFonts w:hint="eastAsia"/>
        </w:rPr>
        <w:t>%；农村道路面积0</w:t>
      </w:r>
      <w:r>
        <w:t xml:space="preserve">.18 </w:t>
      </w:r>
      <w:r>
        <w:rPr>
          <w:rFonts w:hint="eastAsia"/>
        </w:rPr>
        <w:t>hm</w:t>
      </w:r>
      <w:r>
        <w:rPr>
          <w:vertAlign w:val="superscript"/>
        </w:rPr>
        <w:t>2</w:t>
      </w:r>
      <w:r>
        <w:rPr>
          <w:rFonts w:hint="eastAsia"/>
        </w:rPr>
        <w:t>，占流域面积的0</w:t>
      </w:r>
      <w:r>
        <w:t>.18</w:t>
      </w:r>
      <w:r>
        <w:rPr>
          <w:rFonts w:hint="eastAsia"/>
        </w:rPr>
        <w:t>%；水库水面面积3</w:t>
      </w:r>
      <w:r>
        <w:t xml:space="preserve">.37 </w:t>
      </w:r>
      <w:bookmarkStart w:id="86" w:name="_Hlk23066028"/>
      <w:r>
        <w:rPr>
          <w:rFonts w:hint="eastAsia"/>
        </w:rPr>
        <w:t>hm</w:t>
      </w:r>
      <w:r>
        <w:rPr>
          <w:vertAlign w:val="superscript"/>
        </w:rPr>
        <w:t>2</w:t>
      </w:r>
      <w:bookmarkEnd w:id="86"/>
      <w:r>
        <w:rPr>
          <w:rFonts w:hint="eastAsia"/>
        </w:rPr>
        <w:t>，占流域面积的3</w:t>
      </w:r>
      <w:r>
        <w:t>.45</w:t>
      </w:r>
      <w:r>
        <w:rPr>
          <w:rFonts w:hint="eastAsia"/>
        </w:rPr>
        <w:t>%；水工建筑用地面积0</w:t>
      </w:r>
      <w:r>
        <w:t xml:space="preserve">.08 </w:t>
      </w:r>
      <w:r>
        <w:rPr>
          <w:rFonts w:hint="eastAsia"/>
        </w:rPr>
        <w:t>hm</w:t>
      </w:r>
      <w:r>
        <w:rPr>
          <w:vertAlign w:val="superscript"/>
        </w:rPr>
        <w:t>2</w:t>
      </w:r>
      <w:r>
        <w:rPr>
          <w:rFonts w:hint="eastAsia"/>
        </w:rPr>
        <w:t>，占流域面积的0</w:t>
      </w:r>
      <w:r>
        <w:t>.08</w:t>
      </w:r>
      <w:r>
        <w:rPr>
          <w:rFonts w:hint="eastAsia"/>
        </w:rPr>
        <w:t>%；设施农用地面积0.</w:t>
      </w:r>
      <w:r>
        <w:t xml:space="preserve">14 </w:t>
      </w:r>
      <w:r>
        <w:rPr>
          <w:rFonts w:hint="eastAsia"/>
        </w:rPr>
        <w:t>hm</w:t>
      </w:r>
      <w:r>
        <w:rPr>
          <w:vertAlign w:val="superscript"/>
        </w:rPr>
        <w:t>2</w:t>
      </w:r>
      <w:r>
        <w:rPr>
          <w:rFonts w:hint="eastAsia"/>
        </w:rPr>
        <w:t>，占流域面积的0</w:t>
      </w:r>
      <w:r>
        <w:t>.14</w:t>
      </w:r>
      <w:r>
        <w:rPr>
          <w:rFonts w:hint="eastAsia"/>
        </w:rPr>
        <w:t>%；裸土地面积0</w:t>
      </w:r>
      <w:r>
        <w:t xml:space="preserve">.29 </w:t>
      </w:r>
      <w:r>
        <w:rPr>
          <w:rFonts w:hint="eastAsia"/>
        </w:rPr>
        <w:t>hm</w:t>
      </w:r>
      <w:r>
        <w:rPr>
          <w:vertAlign w:val="superscript"/>
        </w:rPr>
        <w:t>2</w:t>
      </w:r>
      <w:r>
        <w:rPr>
          <w:rFonts w:hint="eastAsia"/>
        </w:rPr>
        <w:t>，占流域面积的0</w:t>
      </w:r>
      <w:r>
        <w:t>.30</w:t>
      </w:r>
      <w:r>
        <w:rPr>
          <w:rFonts w:hint="eastAsia"/>
        </w:rPr>
        <w:t>%。</w:t>
      </w:r>
    </w:p>
    <w:p>
      <w:pPr>
        <w:pStyle w:val="42"/>
        <w:spacing w:before="166" w:after="166"/>
      </w:pPr>
      <w:r>
        <w:rPr>
          <w:rFonts w:hint="eastAsia"/>
        </w:rPr>
        <w:t>表2</w:t>
      </w:r>
      <w:r>
        <w:t xml:space="preserve">-3  </w:t>
      </w:r>
      <w:r>
        <w:rPr>
          <w:rFonts w:hint="eastAsia"/>
        </w:rPr>
        <w:t>土地利用现状面积统计表</w:t>
      </w:r>
    </w:p>
    <w:p>
      <w:pPr>
        <w:pStyle w:val="35"/>
        <w:jc w:val="right"/>
      </w:pPr>
      <w:r>
        <w:rPr>
          <w:rFonts w:hint="eastAsia"/>
        </w:rPr>
        <w:t>单位：hm</w:t>
      </w:r>
      <w:r>
        <w:rPr>
          <w:vertAlign w:val="superscript"/>
        </w:rPr>
        <w:t>2</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1629"/>
        <w:gridCol w:w="1629"/>
        <w:gridCol w:w="1629"/>
        <w:gridCol w:w="850"/>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gridSpan w:val="2"/>
            <w:vAlign w:val="center"/>
          </w:tcPr>
          <w:p>
            <w:pPr>
              <w:pStyle w:val="35"/>
            </w:pPr>
            <w:r>
              <w:rPr>
                <w:rFonts w:hint="eastAsia"/>
              </w:rPr>
              <w:t>一级类</w:t>
            </w:r>
          </w:p>
        </w:tc>
        <w:tc>
          <w:tcPr>
            <w:tcW w:w="3258" w:type="dxa"/>
            <w:gridSpan w:val="2"/>
            <w:vAlign w:val="center"/>
          </w:tcPr>
          <w:p>
            <w:pPr>
              <w:pStyle w:val="35"/>
            </w:pPr>
            <w:r>
              <w:rPr>
                <w:rFonts w:hint="eastAsia"/>
              </w:rPr>
              <w:t>二级类</w:t>
            </w:r>
          </w:p>
        </w:tc>
        <w:tc>
          <w:tcPr>
            <w:tcW w:w="850" w:type="dxa"/>
            <w:vMerge w:val="restart"/>
            <w:vAlign w:val="center"/>
          </w:tcPr>
          <w:p>
            <w:pPr>
              <w:pStyle w:val="35"/>
            </w:pPr>
            <w:r>
              <w:rPr>
                <w:rFonts w:hint="eastAsia"/>
              </w:rPr>
              <w:t>一级类</w:t>
            </w:r>
          </w:p>
          <w:p>
            <w:pPr>
              <w:pStyle w:val="35"/>
            </w:pPr>
            <w:r>
              <w:rPr>
                <w:rFonts w:hint="eastAsia"/>
              </w:rPr>
              <w:t>面积</w:t>
            </w:r>
          </w:p>
        </w:tc>
        <w:tc>
          <w:tcPr>
            <w:tcW w:w="930" w:type="dxa"/>
            <w:vMerge w:val="restart"/>
            <w:vAlign w:val="center"/>
          </w:tcPr>
          <w:p>
            <w:pPr>
              <w:pStyle w:val="35"/>
            </w:pPr>
            <w:r>
              <w:rPr>
                <w:rFonts w:hint="eastAsia"/>
              </w:rPr>
              <w:t>二级类</w:t>
            </w:r>
          </w:p>
          <w:p>
            <w:pPr>
              <w:pStyle w:val="35"/>
            </w:pPr>
            <w:r>
              <w:rPr>
                <w:rFonts w:hint="eastAsia"/>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vAlign w:val="center"/>
          </w:tcPr>
          <w:p>
            <w:pPr>
              <w:pStyle w:val="35"/>
            </w:pPr>
            <w:r>
              <w:rPr>
                <w:rFonts w:hint="eastAsia"/>
              </w:rPr>
              <w:t>编码</w:t>
            </w:r>
          </w:p>
        </w:tc>
        <w:tc>
          <w:tcPr>
            <w:tcW w:w="1629" w:type="dxa"/>
            <w:vAlign w:val="center"/>
          </w:tcPr>
          <w:p>
            <w:pPr>
              <w:pStyle w:val="35"/>
            </w:pPr>
            <w:r>
              <w:rPr>
                <w:rFonts w:hint="eastAsia"/>
              </w:rPr>
              <w:t>名称</w:t>
            </w:r>
          </w:p>
        </w:tc>
        <w:tc>
          <w:tcPr>
            <w:tcW w:w="1629" w:type="dxa"/>
            <w:vAlign w:val="center"/>
          </w:tcPr>
          <w:p>
            <w:pPr>
              <w:pStyle w:val="35"/>
            </w:pPr>
            <w:r>
              <w:rPr>
                <w:rFonts w:hint="eastAsia"/>
              </w:rPr>
              <w:t>编码</w:t>
            </w:r>
          </w:p>
        </w:tc>
        <w:tc>
          <w:tcPr>
            <w:tcW w:w="1629" w:type="dxa"/>
            <w:vAlign w:val="center"/>
          </w:tcPr>
          <w:p>
            <w:pPr>
              <w:pStyle w:val="35"/>
            </w:pPr>
            <w:r>
              <w:rPr>
                <w:rFonts w:hint="eastAsia"/>
              </w:rPr>
              <w:t>名称</w:t>
            </w:r>
          </w:p>
        </w:tc>
        <w:tc>
          <w:tcPr>
            <w:tcW w:w="850" w:type="dxa"/>
            <w:vMerge w:val="continue"/>
            <w:vAlign w:val="center"/>
          </w:tcPr>
          <w:p>
            <w:pPr>
              <w:pStyle w:val="35"/>
            </w:pPr>
          </w:p>
        </w:tc>
        <w:tc>
          <w:tcPr>
            <w:tcW w:w="930" w:type="dxa"/>
            <w:vMerge w:val="continue"/>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vAlign w:val="center"/>
          </w:tcPr>
          <w:p>
            <w:pPr>
              <w:pStyle w:val="35"/>
            </w:pPr>
            <w:r>
              <w:rPr>
                <w:rFonts w:hint="eastAsia"/>
              </w:rPr>
              <w:t>0</w:t>
            </w:r>
            <w:r>
              <w:t>1</w:t>
            </w:r>
          </w:p>
        </w:tc>
        <w:tc>
          <w:tcPr>
            <w:tcW w:w="1629" w:type="dxa"/>
            <w:vAlign w:val="center"/>
          </w:tcPr>
          <w:p>
            <w:pPr>
              <w:pStyle w:val="35"/>
            </w:pPr>
            <w:r>
              <w:rPr>
                <w:rFonts w:hint="eastAsia"/>
              </w:rPr>
              <w:t>耕地</w:t>
            </w:r>
          </w:p>
        </w:tc>
        <w:tc>
          <w:tcPr>
            <w:tcW w:w="1629" w:type="dxa"/>
            <w:vAlign w:val="center"/>
          </w:tcPr>
          <w:p>
            <w:pPr>
              <w:pStyle w:val="35"/>
            </w:pPr>
            <w:r>
              <w:rPr>
                <w:rFonts w:hint="eastAsia"/>
              </w:rPr>
              <w:t>0</w:t>
            </w:r>
            <w:r>
              <w:t>103</w:t>
            </w:r>
          </w:p>
        </w:tc>
        <w:tc>
          <w:tcPr>
            <w:tcW w:w="1629" w:type="dxa"/>
            <w:vAlign w:val="center"/>
          </w:tcPr>
          <w:p>
            <w:pPr>
              <w:pStyle w:val="35"/>
            </w:pPr>
            <w:r>
              <w:rPr>
                <w:rFonts w:hint="eastAsia"/>
              </w:rPr>
              <w:t>旱地</w:t>
            </w:r>
          </w:p>
        </w:tc>
        <w:tc>
          <w:tcPr>
            <w:tcW w:w="850" w:type="dxa"/>
            <w:vAlign w:val="center"/>
          </w:tcPr>
          <w:p>
            <w:pPr>
              <w:pStyle w:val="35"/>
            </w:pPr>
            <w:r>
              <w:t>31.96</w:t>
            </w:r>
          </w:p>
        </w:tc>
        <w:tc>
          <w:tcPr>
            <w:tcW w:w="930" w:type="dxa"/>
            <w:vAlign w:val="center"/>
          </w:tcPr>
          <w:p>
            <w:pPr>
              <w:pStyle w:val="35"/>
            </w:pPr>
            <w:r>
              <w:t>31.96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9" w:type="dxa"/>
            <w:vMerge w:val="restart"/>
            <w:vAlign w:val="center"/>
          </w:tcPr>
          <w:p>
            <w:pPr>
              <w:pStyle w:val="35"/>
            </w:pPr>
            <w:r>
              <w:rPr>
                <w:rFonts w:hint="eastAsia"/>
              </w:rPr>
              <w:t>0</w:t>
            </w:r>
            <w:r>
              <w:t>3</w:t>
            </w:r>
          </w:p>
        </w:tc>
        <w:tc>
          <w:tcPr>
            <w:tcW w:w="1629" w:type="dxa"/>
            <w:vMerge w:val="restart"/>
            <w:vAlign w:val="center"/>
          </w:tcPr>
          <w:p>
            <w:pPr>
              <w:pStyle w:val="35"/>
            </w:pPr>
            <w:r>
              <w:rPr>
                <w:rFonts w:hint="eastAsia"/>
              </w:rPr>
              <w:t>林地</w:t>
            </w:r>
          </w:p>
        </w:tc>
        <w:tc>
          <w:tcPr>
            <w:tcW w:w="1629" w:type="dxa"/>
            <w:vAlign w:val="center"/>
          </w:tcPr>
          <w:p>
            <w:pPr>
              <w:pStyle w:val="35"/>
            </w:pPr>
            <w:r>
              <w:rPr>
                <w:rFonts w:hint="eastAsia"/>
              </w:rPr>
              <w:t>0</w:t>
            </w:r>
            <w:r>
              <w:t>301</w:t>
            </w:r>
          </w:p>
        </w:tc>
        <w:tc>
          <w:tcPr>
            <w:tcW w:w="1629" w:type="dxa"/>
            <w:vAlign w:val="center"/>
          </w:tcPr>
          <w:p>
            <w:pPr>
              <w:pStyle w:val="35"/>
            </w:pPr>
            <w:r>
              <w:rPr>
                <w:rFonts w:hint="eastAsia"/>
              </w:rPr>
              <w:t>乔木林地</w:t>
            </w:r>
          </w:p>
        </w:tc>
        <w:tc>
          <w:tcPr>
            <w:tcW w:w="850" w:type="dxa"/>
            <w:vMerge w:val="restart"/>
            <w:vAlign w:val="center"/>
          </w:tcPr>
          <w:p>
            <w:pPr>
              <w:pStyle w:val="35"/>
            </w:pPr>
            <w:r>
              <w:rPr>
                <w:rFonts w:hint="eastAsia"/>
              </w:rPr>
              <w:t>6</w:t>
            </w:r>
            <w:r>
              <w:t>1.61</w:t>
            </w:r>
          </w:p>
        </w:tc>
        <w:tc>
          <w:tcPr>
            <w:tcW w:w="930" w:type="dxa"/>
            <w:vAlign w:val="center"/>
          </w:tcPr>
          <w:p>
            <w:pPr>
              <w:pStyle w:val="35"/>
            </w:pPr>
            <w:r>
              <w:t>57.15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vMerge w:val="continue"/>
            <w:vAlign w:val="center"/>
          </w:tcPr>
          <w:p>
            <w:pPr>
              <w:pStyle w:val="35"/>
            </w:pPr>
          </w:p>
        </w:tc>
        <w:tc>
          <w:tcPr>
            <w:tcW w:w="1629" w:type="dxa"/>
            <w:vMerge w:val="continue"/>
            <w:vAlign w:val="center"/>
          </w:tcPr>
          <w:p>
            <w:pPr>
              <w:pStyle w:val="35"/>
            </w:pPr>
          </w:p>
        </w:tc>
        <w:tc>
          <w:tcPr>
            <w:tcW w:w="1629" w:type="dxa"/>
            <w:vAlign w:val="center"/>
          </w:tcPr>
          <w:p>
            <w:pPr>
              <w:pStyle w:val="35"/>
            </w:pPr>
            <w:r>
              <w:rPr>
                <w:rFonts w:hint="eastAsia"/>
              </w:rPr>
              <w:t>0</w:t>
            </w:r>
            <w:r>
              <w:t>305</w:t>
            </w:r>
          </w:p>
        </w:tc>
        <w:tc>
          <w:tcPr>
            <w:tcW w:w="1629" w:type="dxa"/>
            <w:vAlign w:val="center"/>
          </w:tcPr>
          <w:p>
            <w:pPr>
              <w:pStyle w:val="35"/>
            </w:pPr>
            <w:r>
              <w:rPr>
                <w:rFonts w:hint="eastAsia"/>
              </w:rPr>
              <w:t>灌木林地</w:t>
            </w:r>
          </w:p>
        </w:tc>
        <w:tc>
          <w:tcPr>
            <w:tcW w:w="850" w:type="dxa"/>
            <w:vMerge w:val="continue"/>
            <w:vAlign w:val="center"/>
          </w:tcPr>
          <w:p>
            <w:pPr>
              <w:pStyle w:val="35"/>
            </w:pPr>
          </w:p>
        </w:tc>
        <w:tc>
          <w:tcPr>
            <w:tcW w:w="930" w:type="dxa"/>
            <w:vAlign w:val="center"/>
          </w:tcPr>
          <w:p>
            <w:pPr>
              <w:pStyle w:val="35"/>
            </w:pPr>
            <w: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vAlign w:val="center"/>
          </w:tcPr>
          <w:p>
            <w:pPr>
              <w:pStyle w:val="35"/>
            </w:pPr>
            <w:r>
              <w:rPr>
                <w:rFonts w:hint="eastAsia"/>
              </w:rPr>
              <w:t>0</w:t>
            </w:r>
            <w:r>
              <w:t>8</w:t>
            </w:r>
          </w:p>
        </w:tc>
        <w:tc>
          <w:tcPr>
            <w:tcW w:w="1629" w:type="dxa"/>
            <w:vAlign w:val="center"/>
          </w:tcPr>
          <w:p>
            <w:pPr>
              <w:pStyle w:val="35"/>
            </w:pPr>
            <w:r>
              <w:rPr>
                <w:rFonts w:hint="eastAsia"/>
              </w:rPr>
              <w:t>公共管理与公共服务用地</w:t>
            </w:r>
          </w:p>
        </w:tc>
        <w:tc>
          <w:tcPr>
            <w:tcW w:w="1629" w:type="dxa"/>
            <w:vAlign w:val="center"/>
          </w:tcPr>
          <w:p>
            <w:pPr>
              <w:pStyle w:val="35"/>
            </w:pPr>
            <w:r>
              <w:t>0809</w:t>
            </w:r>
          </w:p>
        </w:tc>
        <w:tc>
          <w:tcPr>
            <w:tcW w:w="1629" w:type="dxa"/>
            <w:vAlign w:val="center"/>
          </w:tcPr>
          <w:p>
            <w:pPr>
              <w:pStyle w:val="35"/>
            </w:pPr>
            <w:r>
              <w:rPr>
                <w:rFonts w:hint="eastAsia"/>
              </w:rPr>
              <w:t>公用设施用地</w:t>
            </w:r>
          </w:p>
        </w:tc>
        <w:tc>
          <w:tcPr>
            <w:tcW w:w="850" w:type="dxa"/>
            <w:vAlign w:val="center"/>
          </w:tcPr>
          <w:p>
            <w:pPr>
              <w:pStyle w:val="35"/>
            </w:pPr>
            <w:r>
              <w:rPr>
                <w:rFonts w:hint="eastAsia"/>
              </w:rPr>
              <w:t>0</w:t>
            </w:r>
            <w:r>
              <w:t>.03</w:t>
            </w:r>
          </w:p>
        </w:tc>
        <w:tc>
          <w:tcPr>
            <w:tcW w:w="930" w:type="dxa"/>
            <w:vAlign w:val="center"/>
          </w:tcPr>
          <w:p>
            <w:pPr>
              <w:pStyle w:val="35"/>
            </w:pPr>
            <w:r>
              <w:rPr>
                <w:rFonts w:hint="eastAsia"/>
              </w:rPr>
              <w:t>0</w:t>
            </w:r>
            <w: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vAlign w:val="center"/>
          </w:tcPr>
          <w:p>
            <w:pPr>
              <w:pStyle w:val="35"/>
            </w:pPr>
            <w:r>
              <w:rPr>
                <w:rFonts w:hint="eastAsia"/>
              </w:rPr>
              <w:t>1</w:t>
            </w:r>
            <w:r>
              <w:t>0</w:t>
            </w:r>
          </w:p>
        </w:tc>
        <w:tc>
          <w:tcPr>
            <w:tcW w:w="1629" w:type="dxa"/>
            <w:vAlign w:val="center"/>
          </w:tcPr>
          <w:p>
            <w:pPr>
              <w:pStyle w:val="35"/>
            </w:pPr>
            <w:r>
              <w:rPr>
                <w:rFonts w:hint="eastAsia"/>
              </w:rPr>
              <w:t>交通运输用地</w:t>
            </w:r>
          </w:p>
        </w:tc>
        <w:tc>
          <w:tcPr>
            <w:tcW w:w="1629" w:type="dxa"/>
            <w:vAlign w:val="center"/>
          </w:tcPr>
          <w:p>
            <w:pPr>
              <w:pStyle w:val="35"/>
            </w:pPr>
            <w:r>
              <w:rPr>
                <w:rFonts w:hint="eastAsia"/>
              </w:rPr>
              <w:t>1</w:t>
            </w:r>
            <w:r>
              <w:t>006</w:t>
            </w:r>
          </w:p>
        </w:tc>
        <w:tc>
          <w:tcPr>
            <w:tcW w:w="1629" w:type="dxa"/>
            <w:vAlign w:val="center"/>
          </w:tcPr>
          <w:p>
            <w:pPr>
              <w:pStyle w:val="35"/>
            </w:pPr>
            <w:r>
              <w:rPr>
                <w:rFonts w:hint="eastAsia"/>
              </w:rPr>
              <w:t>农村道路</w:t>
            </w:r>
          </w:p>
        </w:tc>
        <w:tc>
          <w:tcPr>
            <w:tcW w:w="850" w:type="dxa"/>
            <w:vAlign w:val="center"/>
          </w:tcPr>
          <w:p>
            <w:pPr>
              <w:pStyle w:val="35"/>
            </w:pPr>
            <w:r>
              <w:rPr>
                <w:rFonts w:hint="eastAsia"/>
              </w:rPr>
              <w:t>0</w:t>
            </w:r>
            <w:r>
              <w:t>.18</w:t>
            </w:r>
          </w:p>
        </w:tc>
        <w:tc>
          <w:tcPr>
            <w:tcW w:w="930" w:type="dxa"/>
            <w:vAlign w:val="center"/>
          </w:tcPr>
          <w:p>
            <w:pPr>
              <w:pStyle w:val="35"/>
            </w:pPr>
            <w:r>
              <w:rPr>
                <w:rFonts w:hint="eastAsia"/>
              </w:rPr>
              <w:t>0</w:t>
            </w:r>
            <w: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9" w:type="dxa"/>
            <w:vMerge w:val="restart"/>
            <w:vAlign w:val="center"/>
          </w:tcPr>
          <w:p>
            <w:pPr>
              <w:pStyle w:val="35"/>
            </w:pPr>
            <w:r>
              <w:rPr>
                <w:rFonts w:hint="eastAsia"/>
              </w:rPr>
              <w:t>1</w:t>
            </w:r>
            <w:r>
              <w:t>1</w:t>
            </w:r>
          </w:p>
        </w:tc>
        <w:tc>
          <w:tcPr>
            <w:tcW w:w="1629" w:type="dxa"/>
            <w:vMerge w:val="restart"/>
            <w:vAlign w:val="center"/>
          </w:tcPr>
          <w:p>
            <w:pPr>
              <w:pStyle w:val="35"/>
            </w:pPr>
            <w:r>
              <w:rPr>
                <w:rFonts w:hint="eastAsia"/>
              </w:rPr>
              <w:t>水域及水利设施用地</w:t>
            </w:r>
          </w:p>
        </w:tc>
        <w:tc>
          <w:tcPr>
            <w:tcW w:w="1629" w:type="dxa"/>
            <w:vAlign w:val="center"/>
          </w:tcPr>
          <w:p>
            <w:pPr>
              <w:pStyle w:val="35"/>
            </w:pPr>
            <w:r>
              <w:rPr>
                <w:rFonts w:hint="eastAsia"/>
              </w:rPr>
              <w:t>1</w:t>
            </w:r>
            <w:r>
              <w:t>103</w:t>
            </w:r>
          </w:p>
        </w:tc>
        <w:tc>
          <w:tcPr>
            <w:tcW w:w="1629" w:type="dxa"/>
            <w:vAlign w:val="center"/>
          </w:tcPr>
          <w:p>
            <w:pPr>
              <w:pStyle w:val="35"/>
            </w:pPr>
            <w:r>
              <w:rPr>
                <w:rFonts w:hint="eastAsia"/>
              </w:rPr>
              <w:t>水库水面</w:t>
            </w:r>
          </w:p>
        </w:tc>
        <w:tc>
          <w:tcPr>
            <w:tcW w:w="850" w:type="dxa"/>
            <w:vMerge w:val="restart"/>
            <w:vAlign w:val="center"/>
          </w:tcPr>
          <w:p>
            <w:pPr>
              <w:pStyle w:val="35"/>
            </w:pPr>
            <w:r>
              <w:rPr>
                <w:rFonts w:hint="eastAsia"/>
              </w:rPr>
              <w:t>3</w:t>
            </w:r>
            <w:r>
              <w:t>.45</w:t>
            </w:r>
          </w:p>
        </w:tc>
        <w:tc>
          <w:tcPr>
            <w:tcW w:w="930" w:type="dxa"/>
            <w:vAlign w:val="center"/>
          </w:tcPr>
          <w:p>
            <w:pPr>
              <w:pStyle w:val="35"/>
            </w:pPr>
            <w:r>
              <w:rPr>
                <w:rFonts w:hint="eastAsia"/>
              </w:rPr>
              <w:t>3</w:t>
            </w:r>
            <w: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vMerge w:val="continue"/>
            <w:vAlign w:val="center"/>
          </w:tcPr>
          <w:p>
            <w:pPr>
              <w:pStyle w:val="35"/>
            </w:pPr>
          </w:p>
        </w:tc>
        <w:tc>
          <w:tcPr>
            <w:tcW w:w="1629" w:type="dxa"/>
            <w:vMerge w:val="continue"/>
            <w:vAlign w:val="center"/>
          </w:tcPr>
          <w:p>
            <w:pPr>
              <w:pStyle w:val="35"/>
            </w:pPr>
          </w:p>
        </w:tc>
        <w:tc>
          <w:tcPr>
            <w:tcW w:w="1629" w:type="dxa"/>
            <w:vAlign w:val="center"/>
          </w:tcPr>
          <w:p>
            <w:pPr>
              <w:pStyle w:val="35"/>
            </w:pPr>
            <w:r>
              <w:rPr>
                <w:rFonts w:hint="eastAsia"/>
              </w:rPr>
              <w:t>1</w:t>
            </w:r>
            <w:r>
              <w:t>109</w:t>
            </w:r>
          </w:p>
        </w:tc>
        <w:tc>
          <w:tcPr>
            <w:tcW w:w="1629" w:type="dxa"/>
            <w:vAlign w:val="center"/>
          </w:tcPr>
          <w:p>
            <w:pPr>
              <w:pStyle w:val="35"/>
            </w:pPr>
            <w:r>
              <w:rPr>
                <w:rFonts w:hint="eastAsia"/>
              </w:rPr>
              <w:t>水工建筑用地</w:t>
            </w:r>
          </w:p>
        </w:tc>
        <w:tc>
          <w:tcPr>
            <w:tcW w:w="850" w:type="dxa"/>
            <w:vMerge w:val="continue"/>
            <w:vAlign w:val="center"/>
          </w:tcPr>
          <w:p>
            <w:pPr>
              <w:pStyle w:val="35"/>
            </w:pPr>
          </w:p>
        </w:tc>
        <w:tc>
          <w:tcPr>
            <w:tcW w:w="930" w:type="dxa"/>
            <w:vAlign w:val="center"/>
          </w:tcPr>
          <w:p>
            <w:pPr>
              <w:pStyle w:val="35"/>
            </w:pPr>
            <w:r>
              <w:rPr>
                <w:rFonts w:hint="eastAsia"/>
              </w:rPr>
              <w:t>0</w:t>
            </w:r>
            <w: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vMerge w:val="restart"/>
            <w:vAlign w:val="center"/>
          </w:tcPr>
          <w:p>
            <w:pPr>
              <w:pStyle w:val="35"/>
            </w:pPr>
            <w:r>
              <w:rPr>
                <w:rFonts w:hint="eastAsia"/>
              </w:rPr>
              <w:t>1</w:t>
            </w:r>
            <w:r>
              <w:t>2</w:t>
            </w:r>
          </w:p>
        </w:tc>
        <w:tc>
          <w:tcPr>
            <w:tcW w:w="1629" w:type="dxa"/>
            <w:vMerge w:val="restart"/>
            <w:vAlign w:val="center"/>
          </w:tcPr>
          <w:p>
            <w:pPr>
              <w:pStyle w:val="35"/>
            </w:pPr>
            <w:r>
              <w:rPr>
                <w:rFonts w:hint="eastAsia"/>
              </w:rPr>
              <w:t>其他土地</w:t>
            </w:r>
          </w:p>
        </w:tc>
        <w:tc>
          <w:tcPr>
            <w:tcW w:w="1629" w:type="dxa"/>
            <w:vAlign w:val="center"/>
          </w:tcPr>
          <w:p>
            <w:pPr>
              <w:pStyle w:val="35"/>
            </w:pPr>
            <w:r>
              <w:rPr>
                <w:rFonts w:hint="eastAsia"/>
              </w:rPr>
              <w:t>1</w:t>
            </w:r>
            <w:r>
              <w:t>203</w:t>
            </w:r>
          </w:p>
        </w:tc>
        <w:tc>
          <w:tcPr>
            <w:tcW w:w="1629" w:type="dxa"/>
            <w:vAlign w:val="center"/>
          </w:tcPr>
          <w:p>
            <w:pPr>
              <w:pStyle w:val="35"/>
            </w:pPr>
            <w:r>
              <w:rPr>
                <w:rFonts w:hint="eastAsia"/>
              </w:rPr>
              <w:t>设施农用地</w:t>
            </w:r>
          </w:p>
        </w:tc>
        <w:tc>
          <w:tcPr>
            <w:tcW w:w="850" w:type="dxa"/>
            <w:vMerge w:val="restart"/>
            <w:vAlign w:val="center"/>
          </w:tcPr>
          <w:p>
            <w:pPr>
              <w:pStyle w:val="35"/>
            </w:pPr>
            <w:r>
              <w:rPr>
                <w:rFonts w:hint="eastAsia"/>
              </w:rPr>
              <w:t>0</w:t>
            </w:r>
            <w:r>
              <w:t>.43</w:t>
            </w:r>
          </w:p>
        </w:tc>
        <w:tc>
          <w:tcPr>
            <w:tcW w:w="930" w:type="dxa"/>
            <w:vAlign w:val="center"/>
          </w:tcPr>
          <w:p>
            <w:pPr>
              <w:pStyle w:val="35"/>
            </w:pPr>
            <w:r>
              <w:rPr>
                <w:rFonts w:hint="eastAsia"/>
              </w:rPr>
              <w:t>0</w:t>
            </w:r>
            <w: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vMerge w:val="continue"/>
            <w:vAlign w:val="center"/>
          </w:tcPr>
          <w:p>
            <w:pPr>
              <w:pStyle w:val="35"/>
            </w:pPr>
          </w:p>
        </w:tc>
        <w:tc>
          <w:tcPr>
            <w:tcW w:w="1629" w:type="dxa"/>
            <w:vMerge w:val="continue"/>
            <w:vAlign w:val="center"/>
          </w:tcPr>
          <w:p>
            <w:pPr>
              <w:pStyle w:val="35"/>
            </w:pPr>
          </w:p>
        </w:tc>
        <w:tc>
          <w:tcPr>
            <w:tcW w:w="1629" w:type="dxa"/>
            <w:vAlign w:val="center"/>
          </w:tcPr>
          <w:p>
            <w:pPr>
              <w:pStyle w:val="35"/>
            </w:pPr>
            <w:r>
              <w:rPr>
                <w:rFonts w:hint="eastAsia"/>
              </w:rPr>
              <w:t>1</w:t>
            </w:r>
            <w:r>
              <w:t>206</w:t>
            </w:r>
          </w:p>
        </w:tc>
        <w:tc>
          <w:tcPr>
            <w:tcW w:w="1629" w:type="dxa"/>
            <w:vAlign w:val="center"/>
          </w:tcPr>
          <w:p>
            <w:pPr>
              <w:pStyle w:val="35"/>
            </w:pPr>
            <w:r>
              <w:rPr>
                <w:rFonts w:hint="eastAsia"/>
              </w:rPr>
              <w:t>裸土地</w:t>
            </w:r>
          </w:p>
        </w:tc>
        <w:tc>
          <w:tcPr>
            <w:tcW w:w="850" w:type="dxa"/>
            <w:vMerge w:val="continue"/>
            <w:vAlign w:val="center"/>
          </w:tcPr>
          <w:p>
            <w:pPr>
              <w:pStyle w:val="35"/>
            </w:pPr>
          </w:p>
        </w:tc>
        <w:tc>
          <w:tcPr>
            <w:tcW w:w="930" w:type="dxa"/>
            <w:vAlign w:val="center"/>
          </w:tcPr>
          <w:p>
            <w:pPr>
              <w:pStyle w:val="35"/>
            </w:pPr>
            <w:r>
              <w:rPr>
                <w:rFonts w:hint="eastAsia"/>
              </w:rPr>
              <w:t>0</w:t>
            </w:r>
            <w: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16" w:type="dxa"/>
            <w:gridSpan w:val="4"/>
            <w:vAlign w:val="center"/>
          </w:tcPr>
          <w:p>
            <w:pPr>
              <w:pStyle w:val="35"/>
            </w:pPr>
            <w:r>
              <w:rPr>
                <w:rFonts w:hint="eastAsia"/>
              </w:rPr>
              <w:t>合计</w:t>
            </w:r>
          </w:p>
        </w:tc>
        <w:tc>
          <w:tcPr>
            <w:tcW w:w="1780" w:type="dxa"/>
            <w:gridSpan w:val="2"/>
            <w:vAlign w:val="center"/>
          </w:tcPr>
          <w:p>
            <w:pPr>
              <w:pStyle w:val="35"/>
            </w:pPr>
            <w:r>
              <w:rPr>
                <w:rFonts w:hint="eastAsia"/>
              </w:rPr>
              <w:t>9</w:t>
            </w:r>
            <w:r>
              <w:t>7.66</w:t>
            </w:r>
          </w:p>
        </w:tc>
      </w:tr>
    </w:tbl>
    <w:p>
      <w:pPr>
        <w:ind w:firstLine="0" w:firstLineChars="0"/>
      </w:pPr>
    </w:p>
    <w:p>
      <w:pPr>
        <w:ind w:firstLine="0" w:firstLineChars="0"/>
      </w:pPr>
      <w:r>
        <w:drawing>
          <wp:inline distT="0" distB="0" distL="0" distR="0">
            <wp:extent cx="5274310" cy="3076575"/>
            <wp:effectExtent l="5080" t="4445" r="16510" b="508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42"/>
        <w:spacing w:before="166" w:after="166"/>
      </w:pPr>
      <w:r>
        <w:rPr>
          <w:rFonts w:hint="eastAsia"/>
        </w:rPr>
        <w:t>图2</w:t>
      </w:r>
      <w:r>
        <w:t xml:space="preserve">-2  </w:t>
      </w:r>
      <w:r>
        <w:rPr>
          <w:rFonts w:hint="eastAsia"/>
        </w:rPr>
        <w:t>二级类土地利用在流域中占比图</w:t>
      </w:r>
    </w:p>
    <w:p>
      <w:pPr>
        <w:pStyle w:val="4"/>
      </w:pPr>
      <w:bookmarkStart w:id="87" w:name="_Toc8059"/>
      <w:r>
        <w:rPr>
          <w:rFonts w:hint="eastAsia"/>
        </w:rPr>
        <w:t>2</w:t>
      </w:r>
      <w:r>
        <w:t xml:space="preserve">.4  </w:t>
      </w:r>
      <w:r>
        <w:rPr>
          <w:rFonts w:hint="eastAsia"/>
        </w:rPr>
        <w:t>规划现状</w:t>
      </w:r>
      <w:bookmarkEnd w:id="84"/>
      <w:bookmarkEnd w:id="87"/>
    </w:p>
    <w:p>
      <w:pPr>
        <w:ind w:firstLine="480"/>
        <w:rPr>
          <w:shd w:val="clear" w:color="auto" w:fill="FFFFFF"/>
        </w:rPr>
      </w:pPr>
      <w:r>
        <w:rPr>
          <w:rFonts w:hint="eastAsia"/>
        </w:rPr>
        <w:t>根据</w:t>
      </w:r>
      <w:r>
        <w:rPr>
          <w:rFonts w:hint="eastAsia"/>
          <w:shd w:val="clear" w:color="auto" w:fill="FFFFFF"/>
        </w:rPr>
        <w:t>《</w:t>
      </w:r>
      <w:r>
        <w:rPr>
          <w:rFonts w:hint="eastAsia"/>
        </w:rPr>
        <w:t>云南省地表水水环境功能区划</w:t>
      </w:r>
      <w:r>
        <w:rPr>
          <w:rFonts w:hint="eastAsia"/>
          <w:shd w:val="clear" w:color="auto" w:fill="FFFFFF"/>
        </w:rPr>
        <w:t>》(2010—2020年)，</w:t>
      </w:r>
      <w:r>
        <w:rPr>
          <w:rFonts w:hint="eastAsia"/>
        </w:rPr>
        <w:t>大竹林水库属于工业用水、农业用水、饮用二级，Ⅲ类水体，不属于自然保护区和市饮用水源保护区内。根据富源县</w:t>
      </w:r>
      <w:r>
        <w:rPr>
          <w:rFonts w:hint="eastAsia" w:cs="Times New Roman"/>
          <w:szCs w:val="24"/>
        </w:rPr>
        <w:t>自然资源局</w:t>
      </w:r>
      <w:r>
        <w:rPr>
          <w:rFonts w:hint="eastAsia"/>
        </w:rPr>
        <w:t>查找到的资料，一级保护区</w:t>
      </w:r>
      <w:r>
        <w:t>涉及基本农田面积5.35</w:t>
      </w:r>
      <w:r>
        <w:rPr>
          <w:rFonts w:hint="eastAsia"/>
        </w:rPr>
        <w:t xml:space="preserve"> hm</w:t>
      </w:r>
      <w:r>
        <w:rPr>
          <w:vertAlign w:val="superscript"/>
        </w:rPr>
        <w:t>2</w:t>
      </w:r>
      <w:r>
        <w:rPr>
          <w:rFonts w:hint="eastAsia"/>
        </w:rPr>
        <w:t>，二级保护区中涉及基本农田</w:t>
      </w:r>
      <w:r>
        <w:t>17.10</w:t>
      </w:r>
      <w:r>
        <w:rPr>
          <w:rFonts w:hint="eastAsia"/>
        </w:rPr>
        <w:t xml:space="preserve"> hm</w:t>
      </w:r>
      <w:r>
        <w:rPr>
          <w:vertAlign w:val="superscript"/>
        </w:rPr>
        <w:t>2</w:t>
      </w:r>
      <w:r>
        <w:rPr>
          <w:rFonts w:hint="eastAsia"/>
        </w:rPr>
        <w:t>，大竹林水库径流区与云南省富源县石坝子金多金属矿详查勘查项目存在重叠，重叠面积：17</w:t>
      </w:r>
      <w:r>
        <w:t>.</w:t>
      </w:r>
      <w:r>
        <w:rPr>
          <w:rFonts w:hint="eastAsia"/>
        </w:rPr>
        <w:t>82 hm</w:t>
      </w:r>
      <w:r>
        <w:rPr>
          <w:vertAlign w:val="superscript"/>
        </w:rPr>
        <w:t>2</w:t>
      </w:r>
      <w:r>
        <w:rPr>
          <w:rFonts w:hint="eastAsia"/>
        </w:rPr>
        <w:t>。</w:t>
      </w:r>
    </w:p>
    <w:p>
      <w:pPr>
        <w:pStyle w:val="3"/>
      </w:pPr>
      <w:bookmarkStart w:id="88" w:name="_Toc19691441"/>
      <w:bookmarkStart w:id="89" w:name="_Toc22690_WPSOffice_Level1"/>
      <w:bookmarkStart w:id="90" w:name="_Toc15129_WPSOffice_Level1"/>
      <w:bookmarkStart w:id="91" w:name="_Toc7607"/>
      <w:r>
        <w:rPr>
          <w:rFonts w:hint="eastAsia"/>
        </w:rPr>
        <w:t xml:space="preserve">第三章 </w:t>
      </w:r>
      <w:r>
        <w:t xml:space="preserve"> </w:t>
      </w:r>
      <w:r>
        <w:rPr>
          <w:rFonts w:hint="eastAsia"/>
        </w:rPr>
        <w:t>水源地基础环境质量</w:t>
      </w:r>
      <w:bookmarkEnd w:id="88"/>
      <w:bookmarkEnd w:id="89"/>
      <w:bookmarkEnd w:id="90"/>
      <w:bookmarkEnd w:id="91"/>
    </w:p>
    <w:p>
      <w:pPr>
        <w:pStyle w:val="4"/>
      </w:pPr>
      <w:bookmarkStart w:id="92" w:name="_Toc19691442"/>
      <w:bookmarkStart w:id="93" w:name="_Toc22895"/>
      <w:r>
        <w:rPr>
          <w:rFonts w:hint="eastAsia"/>
        </w:rPr>
        <w:t>3</w:t>
      </w:r>
      <w:r>
        <w:t xml:space="preserve">.1  </w:t>
      </w:r>
      <w:r>
        <w:rPr>
          <w:rFonts w:hint="eastAsia"/>
        </w:rPr>
        <w:t>饮用水源地现状</w:t>
      </w:r>
      <w:bookmarkEnd w:id="92"/>
      <w:bookmarkEnd w:id="93"/>
    </w:p>
    <w:p>
      <w:pPr>
        <w:ind w:firstLine="480"/>
        <w:rPr>
          <w:rFonts w:ascii="宋体" w:hAnsi="宋体" w:cs="宋体"/>
          <w:szCs w:val="24"/>
        </w:rPr>
      </w:pPr>
      <w:r>
        <w:rPr>
          <w:rFonts w:hint="eastAsia" w:ascii="宋体" w:hAnsi="宋体" w:cs="宋体"/>
          <w:szCs w:val="24"/>
        </w:rPr>
        <w:t>2019年11月，</w:t>
      </w:r>
      <w:r>
        <w:rPr>
          <w:rFonts w:hint="eastAsia" w:ascii="宋体" w:hAnsi="宋体"/>
        </w:rPr>
        <w:t>云南蓝硕环境信息咨询有限公司</w:t>
      </w:r>
      <w:r>
        <w:rPr>
          <w:rFonts w:hint="eastAsia" w:ascii="宋体" w:hAnsi="宋体" w:cs="宋体"/>
          <w:szCs w:val="24"/>
        </w:rPr>
        <w:t>对大竹林水库水质进行检测测，检测结果见表3-1。</w:t>
      </w:r>
    </w:p>
    <w:p>
      <w:pPr>
        <w:pStyle w:val="42"/>
        <w:spacing w:before="166" w:after="166"/>
      </w:pPr>
      <w:r>
        <w:t>表3-1  检测结果</w:t>
      </w:r>
    </w:p>
    <w:tbl>
      <w:tblPr>
        <w:tblStyle w:val="25"/>
        <w:tblpPr w:leftFromText="180" w:rightFromText="180" w:vertAnchor="text" w:horzAnchor="page" w:tblpXSpec="center" w:tblpY="68"/>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2"/>
        <w:gridCol w:w="1751"/>
        <w:gridCol w:w="904"/>
        <w:gridCol w:w="1965"/>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项目</w:t>
            </w:r>
          </w:p>
        </w:tc>
        <w:tc>
          <w:tcPr>
            <w:tcW w:w="1751" w:type="dxa"/>
            <w:vAlign w:val="center"/>
          </w:tcPr>
          <w:p>
            <w:pPr>
              <w:spacing w:line="280" w:lineRule="exact"/>
              <w:ind w:firstLine="420"/>
              <w:jc w:val="center"/>
              <w:rPr>
                <w:rFonts w:ascii="宋体" w:hAnsi="宋体"/>
                <w:sz w:val="21"/>
                <w:szCs w:val="21"/>
              </w:rPr>
            </w:pPr>
            <w:r>
              <w:rPr>
                <w:rFonts w:hint="eastAsia" w:ascii="宋体" w:hAnsi="宋体"/>
                <w:sz w:val="21"/>
                <w:szCs w:val="21"/>
              </w:rPr>
              <w:t>检测结果</w:t>
            </w:r>
          </w:p>
        </w:tc>
        <w:tc>
          <w:tcPr>
            <w:tcW w:w="904" w:type="dxa"/>
            <w:vAlign w:val="center"/>
          </w:tcPr>
          <w:p>
            <w:pPr>
              <w:spacing w:line="280" w:lineRule="exact"/>
              <w:ind w:firstLine="0" w:firstLineChars="0"/>
              <w:rPr>
                <w:rFonts w:ascii="宋体" w:hAnsi="宋体"/>
                <w:sz w:val="21"/>
                <w:szCs w:val="21"/>
              </w:rPr>
            </w:pPr>
            <w:r>
              <w:rPr>
                <w:rFonts w:hint="eastAsia" w:ascii="宋体" w:hAnsi="宋体"/>
                <w:sz w:val="21"/>
                <w:szCs w:val="21"/>
              </w:rPr>
              <w:t>指标水质类别</w:t>
            </w:r>
          </w:p>
        </w:tc>
        <w:tc>
          <w:tcPr>
            <w:tcW w:w="1965" w:type="dxa"/>
            <w:vAlign w:val="center"/>
          </w:tcPr>
          <w:p>
            <w:pPr>
              <w:spacing w:line="280" w:lineRule="exact"/>
              <w:ind w:firstLine="0" w:firstLineChars="0"/>
              <w:rPr>
                <w:rFonts w:ascii="宋体" w:hAnsi="宋体"/>
                <w:sz w:val="21"/>
                <w:szCs w:val="21"/>
              </w:rPr>
            </w:pPr>
            <w:r>
              <w:rPr>
                <w:rFonts w:hint="eastAsia" w:ascii="宋体" w:hAnsi="宋体" w:cs="宋体"/>
                <w:sz w:val="21"/>
                <w:szCs w:val="21"/>
              </w:rPr>
              <w:t>地表水Ⅲ类标准限值GB3838-2002</w:t>
            </w:r>
          </w:p>
        </w:tc>
        <w:tc>
          <w:tcPr>
            <w:tcW w:w="1434" w:type="dxa"/>
            <w:vAlign w:val="center"/>
          </w:tcPr>
          <w:p>
            <w:pPr>
              <w:spacing w:line="280" w:lineRule="exact"/>
              <w:ind w:firstLine="420"/>
              <w:jc w:val="center"/>
              <w:rPr>
                <w:rFonts w:ascii="宋体" w:hAnsi="宋体"/>
                <w:sz w:val="21"/>
                <w:szCs w:val="21"/>
              </w:rPr>
            </w:pPr>
            <w:r>
              <w:rPr>
                <w:rFonts w:hint="eastAsia" w:ascii="宋体" w:hAnsi="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气温</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19.4</w:t>
            </w:r>
          </w:p>
        </w:tc>
        <w:tc>
          <w:tcPr>
            <w:tcW w:w="904" w:type="dxa"/>
            <w:vAlign w:val="center"/>
          </w:tcPr>
          <w:p>
            <w:pPr>
              <w:spacing w:line="280" w:lineRule="exact"/>
              <w:ind w:firstLine="420"/>
              <w:jc w:val="center"/>
              <w:rPr>
                <w:rFonts w:ascii="宋体" w:hAnsi="宋体"/>
                <w:sz w:val="21"/>
                <w:szCs w:val="21"/>
              </w:rPr>
            </w:pPr>
            <w:r>
              <w:rPr>
                <w:rFonts w:hint="eastAsia" w:ascii="宋体" w:hAnsi="宋体" w:cs="宋体"/>
                <w:kern w:val="0"/>
                <w:sz w:val="21"/>
                <w:szCs w:val="21"/>
              </w:rPr>
              <w:t>/</w:t>
            </w:r>
          </w:p>
        </w:tc>
        <w:tc>
          <w:tcPr>
            <w:tcW w:w="1965" w:type="dxa"/>
            <w:vAlign w:val="center"/>
          </w:tcPr>
          <w:p>
            <w:pPr>
              <w:spacing w:line="240" w:lineRule="auto"/>
              <w:ind w:firstLine="420"/>
              <w:jc w:val="center"/>
              <w:rPr>
                <w:rFonts w:ascii="宋体" w:hAnsi="宋体" w:cs="宋体"/>
                <w:kern w:val="0"/>
                <w:sz w:val="21"/>
                <w:szCs w:val="21"/>
              </w:rPr>
            </w:pPr>
            <w:r>
              <w:rPr>
                <w:rFonts w:hint="eastAsia" w:ascii="宋体" w:hAnsi="宋体" w:cs="宋体"/>
                <w:kern w:val="0"/>
                <w:sz w:val="21"/>
                <w:szCs w:val="21"/>
              </w:rPr>
              <w:t>/</w:t>
            </w:r>
          </w:p>
        </w:tc>
        <w:tc>
          <w:tcPr>
            <w:tcW w:w="1434" w:type="dxa"/>
            <w:vMerge w:val="restart"/>
            <w:vAlign w:val="center"/>
          </w:tcPr>
          <w:p>
            <w:pPr>
              <w:spacing w:line="280" w:lineRule="exact"/>
              <w:ind w:firstLine="420"/>
              <w:jc w:val="left"/>
              <w:rPr>
                <w:rFonts w:ascii="宋体" w:hAnsi="宋体"/>
                <w:sz w:val="21"/>
                <w:szCs w:val="21"/>
              </w:rPr>
            </w:pPr>
            <w:r>
              <w:rPr>
                <w:rFonts w:hint="eastAsia"/>
                <w:sz w:val="21"/>
                <w:szCs w:val="21"/>
              </w:rPr>
              <w:t>（</w:t>
            </w:r>
            <w:r>
              <w:rPr>
                <w:rFonts w:hint="eastAsia" w:ascii="宋体" w:hAnsi="宋体"/>
                <w:sz w:val="21"/>
                <w:szCs w:val="21"/>
              </w:rPr>
              <w:t>1）气温、水温单位为℃；气压hpa,pH为无量纲；粪大肠菌群单位为MPN/L；电导率单位为</w:t>
            </w:r>
          </w:p>
          <w:p>
            <w:pPr>
              <w:spacing w:line="280" w:lineRule="exact"/>
              <w:ind w:firstLine="420"/>
              <w:jc w:val="left"/>
              <w:rPr>
                <w:sz w:val="21"/>
                <w:szCs w:val="21"/>
              </w:rPr>
            </w:pPr>
            <w:r>
              <w:rPr>
                <w:rFonts w:hint="eastAsia" w:ascii="宋体" w:hAnsi="宋体"/>
                <w:sz w:val="21"/>
                <w:szCs w:val="21"/>
              </w:rPr>
              <w:t>μs/cm</w:t>
            </w:r>
            <w:r>
              <w:rPr>
                <w:rFonts w:hint="eastAsia" w:ascii="宋体" w:hAnsi="宋体"/>
                <w:sz w:val="21"/>
                <w:szCs w:val="21"/>
                <w:vertAlign w:val="superscript"/>
              </w:rPr>
              <w:t xml:space="preserve"> </w:t>
            </w:r>
            <w:r>
              <w:rPr>
                <w:rFonts w:hint="eastAsia" w:ascii="宋体" w:hAnsi="宋体"/>
                <w:sz w:val="21"/>
                <w:szCs w:val="21"/>
              </w:rPr>
              <w:t>；其它单位为mg/L。</w:t>
            </w:r>
          </w:p>
          <w:p>
            <w:pPr>
              <w:spacing w:line="280" w:lineRule="exact"/>
              <w:ind w:firstLine="0" w:firstLineChars="0"/>
              <w:rPr>
                <w:rFonts w:ascii="宋体" w:hAnsi="宋体" w:cs="宋体"/>
                <w:kern w:val="0"/>
                <w:sz w:val="21"/>
                <w:szCs w:val="21"/>
              </w:rPr>
            </w:pPr>
            <w:r>
              <w:rPr>
                <w:rFonts w:hint="eastAsia" w:ascii="宋体" w:hAnsi="宋体" w:cs="宋体"/>
                <w:kern w:val="0"/>
                <w:sz w:val="21"/>
                <w:szCs w:val="21"/>
              </w:rPr>
              <w:t>（2）低于方法最低检出限的，用“检出限+L”表示。</w:t>
            </w:r>
          </w:p>
          <w:p>
            <w:pPr>
              <w:spacing w:line="280" w:lineRule="exact"/>
              <w:ind w:firstLine="0" w:firstLineChars="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气压</w:t>
            </w:r>
          </w:p>
        </w:tc>
        <w:tc>
          <w:tcPr>
            <w:tcW w:w="1751" w:type="dxa"/>
            <w:vAlign w:val="center"/>
          </w:tcPr>
          <w:p>
            <w:pPr>
              <w:spacing w:line="260" w:lineRule="exact"/>
              <w:ind w:firstLine="420"/>
              <w:jc w:val="center"/>
              <w:rPr>
                <w:rFonts w:ascii="宋体" w:hAnsi="宋体"/>
                <w:sz w:val="21"/>
                <w:szCs w:val="21"/>
              </w:rPr>
            </w:pPr>
            <w:r>
              <w:rPr>
                <w:rFonts w:ascii="宋体" w:hAnsi="宋体"/>
                <w:sz w:val="21"/>
                <w:szCs w:val="21"/>
              </w:rPr>
              <w:t>801</w:t>
            </w:r>
          </w:p>
        </w:tc>
        <w:tc>
          <w:tcPr>
            <w:tcW w:w="904" w:type="dxa"/>
            <w:vAlign w:val="center"/>
          </w:tcPr>
          <w:p>
            <w:pPr>
              <w:spacing w:line="280" w:lineRule="exact"/>
              <w:ind w:firstLine="420"/>
              <w:jc w:val="center"/>
              <w:rPr>
                <w:rFonts w:ascii="宋体" w:hAnsi="宋体"/>
                <w:sz w:val="21"/>
                <w:szCs w:val="21"/>
              </w:rPr>
            </w:pPr>
            <w:r>
              <w:rPr>
                <w:rFonts w:hint="eastAsia" w:ascii="宋体" w:hAnsi="宋体" w:cs="宋体"/>
                <w:kern w:val="0"/>
                <w:sz w:val="21"/>
                <w:szCs w:val="21"/>
              </w:rPr>
              <w:t>/</w:t>
            </w:r>
          </w:p>
        </w:tc>
        <w:tc>
          <w:tcPr>
            <w:tcW w:w="1965" w:type="dxa"/>
            <w:vAlign w:val="center"/>
          </w:tcPr>
          <w:p>
            <w:pPr>
              <w:spacing w:line="240" w:lineRule="auto"/>
              <w:ind w:firstLine="420"/>
              <w:jc w:val="center"/>
              <w:rPr>
                <w:rFonts w:ascii="宋体" w:hAnsi="宋体"/>
                <w:sz w:val="21"/>
                <w:szCs w:val="21"/>
              </w:rPr>
            </w:pPr>
            <w:r>
              <w:rPr>
                <w:rFonts w:hint="eastAsia" w:ascii="宋体" w:hAnsi="宋体" w:cs="宋体"/>
                <w:kern w:val="0"/>
                <w:sz w:val="21"/>
                <w:szCs w:val="21"/>
              </w:rPr>
              <w:t>/</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电导率</w:t>
            </w:r>
          </w:p>
        </w:tc>
        <w:tc>
          <w:tcPr>
            <w:tcW w:w="1751" w:type="dxa"/>
            <w:vAlign w:val="center"/>
          </w:tcPr>
          <w:p>
            <w:pPr>
              <w:spacing w:line="260" w:lineRule="exact"/>
              <w:ind w:firstLine="420"/>
              <w:jc w:val="center"/>
              <w:rPr>
                <w:rFonts w:ascii="宋体" w:hAnsi="宋体"/>
                <w:sz w:val="21"/>
                <w:szCs w:val="21"/>
              </w:rPr>
            </w:pPr>
            <w:r>
              <w:rPr>
                <w:rFonts w:ascii="宋体" w:hAnsi="宋体"/>
                <w:sz w:val="21"/>
                <w:szCs w:val="21"/>
              </w:rPr>
              <w:t>69</w:t>
            </w:r>
          </w:p>
        </w:tc>
        <w:tc>
          <w:tcPr>
            <w:tcW w:w="904" w:type="dxa"/>
            <w:vAlign w:val="center"/>
          </w:tcPr>
          <w:p>
            <w:pPr>
              <w:spacing w:line="280" w:lineRule="exact"/>
              <w:ind w:firstLine="420"/>
              <w:jc w:val="center"/>
              <w:rPr>
                <w:rFonts w:ascii="宋体" w:hAnsi="宋体"/>
                <w:sz w:val="21"/>
                <w:szCs w:val="21"/>
              </w:rPr>
            </w:pPr>
            <w:r>
              <w:rPr>
                <w:rFonts w:hint="eastAsia" w:ascii="宋体" w:hAnsi="宋体" w:cs="宋体"/>
                <w:kern w:val="0"/>
                <w:sz w:val="21"/>
                <w:szCs w:val="21"/>
              </w:rPr>
              <w:t>/</w:t>
            </w:r>
          </w:p>
        </w:tc>
        <w:tc>
          <w:tcPr>
            <w:tcW w:w="1965" w:type="dxa"/>
            <w:vAlign w:val="center"/>
          </w:tcPr>
          <w:p>
            <w:pPr>
              <w:spacing w:line="240" w:lineRule="auto"/>
              <w:ind w:firstLine="420"/>
              <w:jc w:val="center"/>
              <w:rPr>
                <w:rFonts w:ascii="宋体" w:hAnsi="宋体"/>
                <w:sz w:val="21"/>
                <w:szCs w:val="21"/>
              </w:rPr>
            </w:pPr>
            <w:r>
              <w:rPr>
                <w:rFonts w:hint="eastAsia" w:ascii="宋体" w:hAnsi="宋体" w:cs="宋体"/>
                <w:kern w:val="0"/>
                <w:sz w:val="21"/>
                <w:szCs w:val="21"/>
              </w:rPr>
              <w:t>/</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水温</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16.1</w:t>
            </w:r>
          </w:p>
        </w:tc>
        <w:tc>
          <w:tcPr>
            <w:tcW w:w="904" w:type="dxa"/>
            <w:vAlign w:val="center"/>
          </w:tcPr>
          <w:p>
            <w:pPr>
              <w:spacing w:line="280" w:lineRule="exact"/>
              <w:ind w:firstLine="420"/>
              <w:jc w:val="center"/>
              <w:rPr>
                <w:rFonts w:ascii="宋体" w:hAnsi="宋体"/>
                <w:sz w:val="21"/>
                <w:szCs w:val="21"/>
              </w:rPr>
            </w:pPr>
            <w:r>
              <w:rPr>
                <w:rFonts w:hint="eastAsia" w:ascii="宋体" w:hAnsi="宋体" w:cs="宋体"/>
                <w:kern w:val="0"/>
                <w:sz w:val="21"/>
                <w:szCs w:val="21"/>
              </w:rPr>
              <w:t>/</w:t>
            </w:r>
          </w:p>
        </w:tc>
        <w:tc>
          <w:tcPr>
            <w:tcW w:w="1965" w:type="dxa"/>
            <w:vAlign w:val="center"/>
          </w:tcPr>
          <w:p>
            <w:pPr>
              <w:spacing w:line="280" w:lineRule="exact"/>
              <w:ind w:firstLine="420"/>
              <w:jc w:val="center"/>
              <w:rPr>
                <w:rFonts w:ascii="宋体" w:hAnsi="宋体"/>
                <w:sz w:val="21"/>
                <w:szCs w:val="21"/>
              </w:rPr>
            </w:pPr>
            <w:r>
              <w:rPr>
                <w:rFonts w:hint="eastAsia" w:ascii="宋体" w:hAnsi="宋体" w:cs="宋体"/>
                <w:kern w:val="0"/>
                <w:sz w:val="21"/>
                <w:szCs w:val="21"/>
              </w:rPr>
              <w:t>/</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ascii="宋体" w:hAnsi="宋体"/>
                <w:sz w:val="21"/>
                <w:szCs w:val="21"/>
              </w:rPr>
              <w:t>pH</w:t>
            </w:r>
          </w:p>
        </w:tc>
        <w:tc>
          <w:tcPr>
            <w:tcW w:w="1751" w:type="dxa"/>
            <w:vAlign w:val="center"/>
          </w:tcPr>
          <w:p>
            <w:pPr>
              <w:spacing w:line="260" w:lineRule="exact"/>
              <w:ind w:firstLine="420"/>
              <w:jc w:val="center"/>
              <w:rPr>
                <w:rFonts w:ascii="宋体" w:hAnsi="宋体"/>
                <w:sz w:val="21"/>
                <w:szCs w:val="21"/>
              </w:rPr>
            </w:pPr>
            <w:r>
              <w:rPr>
                <w:rFonts w:ascii="宋体" w:hAnsi="宋体"/>
                <w:sz w:val="21"/>
                <w:szCs w:val="21"/>
              </w:rPr>
              <w:t>8.32</w:t>
            </w:r>
          </w:p>
        </w:tc>
        <w:tc>
          <w:tcPr>
            <w:tcW w:w="904" w:type="dxa"/>
            <w:vAlign w:val="center"/>
          </w:tcPr>
          <w:p>
            <w:pPr>
              <w:spacing w:line="280" w:lineRule="exact"/>
              <w:ind w:firstLine="420"/>
              <w:jc w:val="center"/>
              <w:rPr>
                <w:rFonts w:ascii="宋体" w:hAnsi="宋体"/>
                <w:sz w:val="21"/>
                <w:szCs w:val="21"/>
              </w:rPr>
            </w:pPr>
            <w:r>
              <w:rPr>
                <w:rFonts w:hint="eastAsia" w:ascii="宋体" w:hAnsi="宋体" w:cs="宋体"/>
                <w:kern w:val="0"/>
                <w:sz w:val="21"/>
                <w:szCs w:val="21"/>
              </w:rPr>
              <w:t>/</w:t>
            </w:r>
          </w:p>
        </w:tc>
        <w:tc>
          <w:tcPr>
            <w:tcW w:w="1965" w:type="dxa"/>
            <w:vAlign w:val="center"/>
          </w:tcPr>
          <w:p>
            <w:pPr>
              <w:spacing w:line="240" w:lineRule="auto"/>
              <w:ind w:firstLine="420"/>
              <w:jc w:val="center"/>
              <w:rPr>
                <w:rFonts w:ascii="宋体" w:hAnsi="宋体"/>
                <w:sz w:val="21"/>
                <w:szCs w:val="21"/>
              </w:rPr>
            </w:pPr>
            <w:r>
              <w:rPr>
                <w:rFonts w:hint="eastAsia" w:ascii="宋体" w:hAnsi="宋体"/>
                <w:sz w:val="21"/>
                <w:szCs w:val="21"/>
              </w:rPr>
              <w:t>6-9</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ascii="宋体" w:hAnsi="宋体"/>
                <w:sz w:val="21"/>
                <w:szCs w:val="21"/>
              </w:rPr>
              <w:t>溶解氧</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5</w:t>
            </w:r>
            <w:r>
              <w:rPr>
                <w:rFonts w:ascii="宋体" w:hAnsi="宋体"/>
                <w:sz w:val="21"/>
                <w:szCs w:val="21"/>
              </w:rPr>
              <w:t>.20</w:t>
            </w:r>
          </w:p>
        </w:tc>
        <w:tc>
          <w:tcPr>
            <w:tcW w:w="904" w:type="dxa"/>
            <w:vAlign w:val="center"/>
          </w:tcPr>
          <w:p>
            <w:pPr>
              <w:spacing w:line="280" w:lineRule="exact"/>
              <w:ind w:firstLine="420"/>
              <w:jc w:val="center"/>
              <w:rPr>
                <w:rFonts w:ascii="宋体" w:hAnsi="宋体"/>
                <w:sz w:val="21"/>
                <w:szCs w:val="21"/>
              </w:rPr>
            </w:pPr>
            <w:r>
              <w:rPr>
                <w:rFonts w:hint="eastAsia" w:ascii="宋体" w:hAnsi="宋体" w:cs="宋体"/>
                <w:sz w:val="21"/>
                <w:szCs w:val="21"/>
              </w:rPr>
              <w:t>Ⅲ</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≥5</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2462" w:type="dxa"/>
            <w:vAlign w:val="center"/>
          </w:tcPr>
          <w:p>
            <w:pPr>
              <w:spacing w:line="280" w:lineRule="exact"/>
              <w:ind w:firstLine="420"/>
              <w:jc w:val="center"/>
              <w:rPr>
                <w:rFonts w:ascii="宋体" w:hAnsi="宋体"/>
                <w:sz w:val="21"/>
                <w:szCs w:val="21"/>
              </w:rPr>
            </w:pPr>
            <w:r>
              <w:rPr>
                <w:rFonts w:ascii="宋体" w:hAnsi="宋体"/>
                <w:sz w:val="21"/>
                <w:szCs w:val="21"/>
              </w:rPr>
              <w:t>高锰酸盐指数</w:t>
            </w:r>
          </w:p>
        </w:tc>
        <w:tc>
          <w:tcPr>
            <w:tcW w:w="1751" w:type="dxa"/>
            <w:vAlign w:val="center"/>
          </w:tcPr>
          <w:p>
            <w:pPr>
              <w:spacing w:line="260" w:lineRule="exact"/>
              <w:ind w:firstLine="420"/>
              <w:jc w:val="center"/>
              <w:rPr>
                <w:rFonts w:ascii="宋体" w:hAnsi="宋体"/>
                <w:sz w:val="21"/>
                <w:szCs w:val="21"/>
              </w:rPr>
            </w:pPr>
            <w:r>
              <w:rPr>
                <w:rFonts w:ascii="宋体" w:hAnsi="宋体"/>
                <w:sz w:val="21"/>
                <w:szCs w:val="21"/>
              </w:rPr>
              <w:t>1.7</w:t>
            </w:r>
          </w:p>
        </w:tc>
        <w:tc>
          <w:tcPr>
            <w:tcW w:w="904" w:type="dxa"/>
            <w:vAlign w:val="center"/>
          </w:tcPr>
          <w:p>
            <w:pPr>
              <w:spacing w:line="280" w:lineRule="exact"/>
              <w:ind w:firstLine="420"/>
              <w:jc w:val="center"/>
              <w:rPr>
                <w:rFonts w:ascii="宋体" w:hAnsi="宋体"/>
                <w:sz w:val="21"/>
                <w:szCs w:val="21"/>
              </w:rPr>
            </w:pPr>
            <w:r>
              <w:rPr>
                <w:rFonts w:hint="eastAsia" w:ascii="宋体" w:hAnsi="宋体" w:cs="宋体"/>
                <w:sz w:val="21"/>
                <w:szCs w:val="21"/>
              </w:rPr>
              <w:t>Ⅰ</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≤6</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化学需氧量</w:t>
            </w:r>
          </w:p>
        </w:tc>
        <w:tc>
          <w:tcPr>
            <w:tcW w:w="1751" w:type="dxa"/>
            <w:vAlign w:val="center"/>
          </w:tcPr>
          <w:p>
            <w:pPr>
              <w:spacing w:line="260" w:lineRule="exact"/>
              <w:ind w:firstLine="420"/>
              <w:jc w:val="center"/>
              <w:rPr>
                <w:rFonts w:ascii="宋体" w:hAnsi="宋体"/>
                <w:sz w:val="21"/>
                <w:szCs w:val="21"/>
              </w:rPr>
            </w:pPr>
            <w:r>
              <w:rPr>
                <w:rFonts w:ascii="宋体" w:hAnsi="宋体"/>
                <w:sz w:val="21"/>
                <w:szCs w:val="21"/>
              </w:rPr>
              <w:t>5</w:t>
            </w:r>
          </w:p>
        </w:tc>
        <w:tc>
          <w:tcPr>
            <w:tcW w:w="904" w:type="dxa"/>
            <w:vAlign w:val="center"/>
          </w:tcPr>
          <w:p>
            <w:pPr>
              <w:spacing w:line="280" w:lineRule="exact"/>
              <w:ind w:firstLine="420"/>
              <w:jc w:val="center"/>
              <w:rPr>
                <w:rFonts w:ascii="宋体" w:hAnsi="宋体"/>
                <w:sz w:val="21"/>
                <w:szCs w:val="21"/>
              </w:rPr>
            </w:pPr>
            <w:r>
              <w:rPr>
                <w:rFonts w:hint="eastAsia" w:ascii="宋体" w:hAnsi="宋体" w:cs="宋体"/>
                <w:sz w:val="21"/>
                <w:szCs w:val="21"/>
              </w:rPr>
              <w:t>Ⅰ</w:t>
            </w:r>
          </w:p>
        </w:tc>
        <w:tc>
          <w:tcPr>
            <w:tcW w:w="1965" w:type="dxa"/>
            <w:vAlign w:val="center"/>
          </w:tcPr>
          <w:p>
            <w:pPr>
              <w:spacing w:line="280" w:lineRule="exact"/>
              <w:ind w:firstLine="420"/>
              <w:jc w:val="center"/>
              <w:rPr>
                <w:rFonts w:ascii="宋体" w:hAnsi="宋体" w:cs="宋体"/>
                <w:sz w:val="21"/>
                <w:szCs w:val="21"/>
              </w:rPr>
            </w:pPr>
            <w:r>
              <w:rPr>
                <w:rFonts w:hint="eastAsia" w:ascii="宋体" w:hAnsi="宋体" w:cs="宋体"/>
                <w:sz w:val="21"/>
                <w:szCs w:val="21"/>
              </w:rPr>
              <w:t>≤20</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ascii="宋体" w:hAnsi="宋体"/>
                <w:sz w:val="21"/>
                <w:szCs w:val="21"/>
              </w:rPr>
              <w:t>五日生化需氧量</w:t>
            </w:r>
          </w:p>
        </w:tc>
        <w:tc>
          <w:tcPr>
            <w:tcW w:w="1751" w:type="dxa"/>
            <w:vAlign w:val="center"/>
          </w:tcPr>
          <w:p>
            <w:pPr>
              <w:spacing w:line="260" w:lineRule="exact"/>
              <w:ind w:firstLine="420"/>
              <w:jc w:val="center"/>
              <w:rPr>
                <w:rFonts w:ascii="宋体" w:hAnsi="宋体"/>
                <w:sz w:val="21"/>
                <w:szCs w:val="21"/>
              </w:rPr>
            </w:pPr>
            <w:r>
              <w:rPr>
                <w:rFonts w:ascii="宋体" w:hAnsi="宋体"/>
                <w:sz w:val="21"/>
                <w:szCs w:val="21"/>
              </w:rPr>
              <w:t>1.3</w:t>
            </w:r>
          </w:p>
        </w:tc>
        <w:tc>
          <w:tcPr>
            <w:tcW w:w="904" w:type="dxa"/>
            <w:vAlign w:val="center"/>
          </w:tcPr>
          <w:p>
            <w:pPr>
              <w:spacing w:line="260" w:lineRule="exact"/>
              <w:ind w:firstLine="420"/>
              <w:jc w:val="center"/>
              <w:rPr>
                <w:rFonts w:ascii="宋体" w:hAnsi="宋体"/>
                <w:sz w:val="21"/>
                <w:szCs w:val="21"/>
              </w:rPr>
            </w:pPr>
            <w:r>
              <w:rPr>
                <w:rFonts w:hint="eastAsia" w:ascii="宋体" w:hAnsi="宋体" w:cs="宋体"/>
                <w:sz w:val="21"/>
                <w:szCs w:val="21"/>
              </w:rPr>
              <w:t>Ⅰ</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≤4</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ascii="宋体" w:hAnsi="宋体"/>
                <w:sz w:val="21"/>
                <w:szCs w:val="21"/>
              </w:rPr>
              <w:t>氨氮</w:t>
            </w:r>
          </w:p>
        </w:tc>
        <w:tc>
          <w:tcPr>
            <w:tcW w:w="1751" w:type="dxa"/>
            <w:vAlign w:val="center"/>
          </w:tcPr>
          <w:p>
            <w:pPr>
              <w:spacing w:line="260" w:lineRule="exact"/>
              <w:ind w:firstLine="420"/>
              <w:jc w:val="center"/>
              <w:rPr>
                <w:rFonts w:ascii="宋体" w:hAnsi="宋体"/>
                <w:sz w:val="21"/>
                <w:szCs w:val="21"/>
              </w:rPr>
            </w:pPr>
            <w:r>
              <w:rPr>
                <w:rFonts w:ascii="宋体" w:hAnsi="宋体"/>
                <w:sz w:val="21"/>
                <w:szCs w:val="21"/>
              </w:rPr>
              <w:t>0.160</w:t>
            </w:r>
          </w:p>
        </w:tc>
        <w:tc>
          <w:tcPr>
            <w:tcW w:w="904" w:type="dxa"/>
            <w:vAlign w:val="center"/>
          </w:tcPr>
          <w:p>
            <w:pPr>
              <w:spacing w:line="260" w:lineRule="exact"/>
              <w:ind w:firstLine="420"/>
              <w:jc w:val="center"/>
              <w:rPr>
                <w:rFonts w:ascii="宋体" w:hAnsi="宋体"/>
                <w:sz w:val="21"/>
                <w:szCs w:val="21"/>
              </w:rPr>
            </w:pPr>
            <w:r>
              <w:rPr>
                <w:rFonts w:hint="eastAsia" w:ascii="宋体" w:hAnsi="宋体" w:cs="宋体"/>
                <w:sz w:val="21"/>
                <w:szCs w:val="21"/>
              </w:rPr>
              <w:t>Ⅱ</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≤1.0</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ascii="宋体" w:hAnsi="宋体"/>
                <w:sz w:val="21"/>
                <w:szCs w:val="21"/>
              </w:rPr>
              <w:t>总磷</w:t>
            </w:r>
          </w:p>
        </w:tc>
        <w:tc>
          <w:tcPr>
            <w:tcW w:w="1751" w:type="dxa"/>
            <w:vAlign w:val="center"/>
          </w:tcPr>
          <w:p>
            <w:pPr>
              <w:spacing w:line="260" w:lineRule="exact"/>
              <w:ind w:firstLine="420"/>
              <w:jc w:val="center"/>
              <w:rPr>
                <w:rFonts w:ascii="宋体" w:hAnsi="宋体"/>
                <w:sz w:val="21"/>
                <w:szCs w:val="21"/>
              </w:rPr>
            </w:pPr>
            <w:r>
              <w:rPr>
                <w:rFonts w:ascii="宋体" w:hAnsi="宋体"/>
                <w:sz w:val="21"/>
                <w:szCs w:val="21"/>
              </w:rPr>
              <w:t>0.019</w:t>
            </w:r>
          </w:p>
        </w:tc>
        <w:tc>
          <w:tcPr>
            <w:tcW w:w="904" w:type="dxa"/>
            <w:vAlign w:val="center"/>
          </w:tcPr>
          <w:p>
            <w:pPr>
              <w:spacing w:line="260" w:lineRule="exact"/>
              <w:ind w:firstLine="420"/>
              <w:jc w:val="center"/>
              <w:rPr>
                <w:rFonts w:ascii="宋体" w:hAnsi="宋体"/>
                <w:sz w:val="21"/>
                <w:szCs w:val="21"/>
              </w:rPr>
            </w:pPr>
            <w:r>
              <w:rPr>
                <w:rFonts w:hint="eastAsia" w:ascii="宋体" w:hAnsi="宋体" w:cs="宋体"/>
                <w:sz w:val="21"/>
                <w:szCs w:val="21"/>
              </w:rPr>
              <w:t>Ⅱ</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≤0.</w:t>
            </w:r>
            <w:r>
              <w:rPr>
                <w:rFonts w:ascii="宋体" w:hAnsi="宋体" w:cs="宋体"/>
                <w:sz w:val="21"/>
                <w:szCs w:val="21"/>
              </w:rPr>
              <w:t>0</w:t>
            </w:r>
            <w:r>
              <w:rPr>
                <w:rFonts w:hint="eastAsia" w:ascii="宋体" w:hAnsi="宋体" w:cs="宋体"/>
                <w:sz w:val="21"/>
                <w:szCs w:val="21"/>
              </w:rPr>
              <w:t>5</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总氮</w:t>
            </w:r>
          </w:p>
        </w:tc>
        <w:tc>
          <w:tcPr>
            <w:tcW w:w="1751" w:type="dxa"/>
            <w:vAlign w:val="center"/>
          </w:tcPr>
          <w:p>
            <w:pPr>
              <w:spacing w:line="260" w:lineRule="exact"/>
              <w:ind w:firstLine="420"/>
              <w:jc w:val="center"/>
              <w:rPr>
                <w:rFonts w:ascii="宋体" w:hAnsi="宋体"/>
                <w:sz w:val="21"/>
                <w:szCs w:val="21"/>
              </w:rPr>
            </w:pPr>
            <w:r>
              <w:rPr>
                <w:rFonts w:ascii="宋体" w:hAnsi="宋体"/>
                <w:sz w:val="21"/>
                <w:szCs w:val="21"/>
              </w:rPr>
              <w:t>0.</w:t>
            </w:r>
            <w:r>
              <w:rPr>
                <w:rFonts w:hint="eastAsia" w:ascii="宋体" w:hAnsi="宋体"/>
                <w:sz w:val="21"/>
                <w:szCs w:val="21"/>
              </w:rPr>
              <w:t>8</w:t>
            </w:r>
            <w:r>
              <w:rPr>
                <w:rFonts w:ascii="宋体" w:hAnsi="宋体"/>
                <w:sz w:val="21"/>
                <w:szCs w:val="21"/>
              </w:rPr>
              <w:t>59</w:t>
            </w:r>
          </w:p>
        </w:tc>
        <w:tc>
          <w:tcPr>
            <w:tcW w:w="904" w:type="dxa"/>
            <w:vAlign w:val="center"/>
          </w:tcPr>
          <w:p>
            <w:pPr>
              <w:spacing w:line="260" w:lineRule="exact"/>
              <w:ind w:firstLine="420"/>
              <w:jc w:val="center"/>
              <w:rPr>
                <w:rFonts w:ascii="宋体" w:hAnsi="宋体"/>
                <w:sz w:val="21"/>
                <w:szCs w:val="21"/>
              </w:rPr>
            </w:pPr>
            <w:r>
              <w:rPr>
                <w:rFonts w:hint="eastAsia" w:ascii="宋体" w:hAnsi="宋体" w:cs="宋体"/>
                <w:sz w:val="21"/>
                <w:szCs w:val="21"/>
              </w:rPr>
              <w:t>Ⅲ</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≤1.0</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ascii="宋体" w:hAnsi="宋体"/>
                <w:sz w:val="21"/>
                <w:szCs w:val="21"/>
              </w:rPr>
              <w:t>铜</w:t>
            </w:r>
          </w:p>
        </w:tc>
        <w:tc>
          <w:tcPr>
            <w:tcW w:w="1751" w:type="dxa"/>
            <w:tcBorders>
              <w:bottom w:val="single" w:color="000000" w:sz="4" w:space="0"/>
            </w:tcBorders>
            <w:vAlign w:val="center"/>
          </w:tcPr>
          <w:p>
            <w:pPr>
              <w:spacing w:line="260" w:lineRule="exact"/>
              <w:ind w:firstLine="420"/>
              <w:jc w:val="center"/>
              <w:rPr>
                <w:rFonts w:ascii="宋体" w:hAnsi="宋体"/>
                <w:sz w:val="21"/>
                <w:szCs w:val="21"/>
              </w:rPr>
            </w:pPr>
            <w:r>
              <w:rPr>
                <w:rFonts w:hint="eastAsia" w:ascii="宋体" w:hAnsi="宋体"/>
                <w:sz w:val="21"/>
                <w:szCs w:val="21"/>
              </w:rPr>
              <w:t>0.001L</w:t>
            </w:r>
          </w:p>
        </w:tc>
        <w:tc>
          <w:tcPr>
            <w:tcW w:w="904" w:type="dxa"/>
            <w:vAlign w:val="center"/>
          </w:tcPr>
          <w:p>
            <w:pPr>
              <w:spacing w:line="260" w:lineRule="exact"/>
              <w:ind w:firstLine="420"/>
              <w:jc w:val="center"/>
              <w:rPr>
                <w:rFonts w:ascii="宋体" w:hAnsi="宋体"/>
                <w:sz w:val="21"/>
                <w:szCs w:val="21"/>
              </w:rPr>
            </w:pPr>
            <w:r>
              <w:rPr>
                <w:rFonts w:hint="eastAsia" w:ascii="宋体" w:hAnsi="宋体" w:cs="宋体"/>
                <w:sz w:val="21"/>
                <w:szCs w:val="21"/>
              </w:rPr>
              <w:t>Ⅰ</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≤1.0</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ascii="宋体" w:hAnsi="宋体"/>
                <w:sz w:val="21"/>
                <w:szCs w:val="21"/>
              </w:rPr>
              <w:t>锌</w:t>
            </w:r>
          </w:p>
        </w:tc>
        <w:tc>
          <w:tcPr>
            <w:tcW w:w="1751" w:type="dxa"/>
            <w:tcBorders>
              <w:top w:val="single" w:color="000000" w:sz="4" w:space="0"/>
            </w:tcBorders>
            <w:vAlign w:val="center"/>
          </w:tcPr>
          <w:p>
            <w:pPr>
              <w:spacing w:line="260" w:lineRule="exact"/>
              <w:ind w:firstLine="420"/>
              <w:jc w:val="center"/>
              <w:rPr>
                <w:rFonts w:ascii="宋体" w:hAnsi="宋体"/>
                <w:sz w:val="21"/>
                <w:szCs w:val="21"/>
              </w:rPr>
            </w:pPr>
            <w:r>
              <w:rPr>
                <w:rFonts w:hint="eastAsia" w:ascii="宋体" w:hAnsi="宋体"/>
                <w:sz w:val="21"/>
                <w:szCs w:val="21"/>
              </w:rPr>
              <w:t>0.05L</w:t>
            </w:r>
          </w:p>
        </w:tc>
        <w:tc>
          <w:tcPr>
            <w:tcW w:w="904" w:type="dxa"/>
            <w:vAlign w:val="center"/>
          </w:tcPr>
          <w:p>
            <w:pPr>
              <w:spacing w:line="260" w:lineRule="exact"/>
              <w:ind w:firstLine="420"/>
              <w:jc w:val="center"/>
              <w:rPr>
                <w:rFonts w:ascii="宋体" w:hAnsi="宋体"/>
                <w:sz w:val="21"/>
                <w:szCs w:val="21"/>
              </w:rPr>
            </w:pPr>
            <w:r>
              <w:rPr>
                <w:rFonts w:hint="eastAsia" w:ascii="宋体" w:hAnsi="宋体" w:cs="宋体"/>
                <w:sz w:val="21"/>
                <w:szCs w:val="21"/>
              </w:rPr>
              <w:t>Ⅰ</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≤1.0</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462" w:type="dxa"/>
            <w:vAlign w:val="center"/>
          </w:tcPr>
          <w:p>
            <w:pPr>
              <w:spacing w:line="280" w:lineRule="exact"/>
              <w:ind w:firstLine="420"/>
              <w:jc w:val="center"/>
              <w:rPr>
                <w:rFonts w:ascii="宋体" w:hAnsi="宋体"/>
                <w:sz w:val="21"/>
                <w:szCs w:val="21"/>
              </w:rPr>
            </w:pPr>
            <w:r>
              <w:rPr>
                <w:rFonts w:ascii="宋体" w:hAnsi="宋体"/>
                <w:sz w:val="21"/>
                <w:szCs w:val="21"/>
              </w:rPr>
              <w:t>氟化物</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0.</w:t>
            </w:r>
            <w:r>
              <w:rPr>
                <w:rFonts w:ascii="宋体" w:hAnsi="宋体"/>
                <w:sz w:val="21"/>
                <w:szCs w:val="21"/>
              </w:rPr>
              <w:t>09</w:t>
            </w:r>
          </w:p>
        </w:tc>
        <w:tc>
          <w:tcPr>
            <w:tcW w:w="904" w:type="dxa"/>
            <w:vAlign w:val="center"/>
          </w:tcPr>
          <w:p>
            <w:pPr>
              <w:spacing w:line="260" w:lineRule="exact"/>
              <w:ind w:firstLine="420"/>
              <w:jc w:val="center"/>
              <w:rPr>
                <w:rFonts w:ascii="宋体" w:hAnsi="宋体"/>
                <w:sz w:val="21"/>
                <w:szCs w:val="21"/>
              </w:rPr>
            </w:pPr>
            <w:r>
              <w:rPr>
                <w:rFonts w:hint="eastAsia" w:ascii="宋体" w:hAnsi="宋体" w:cs="宋体"/>
                <w:sz w:val="21"/>
                <w:szCs w:val="21"/>
              </w:rPr>
              <w:t>Ⅰ</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≤1.0</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硒</w:t>
            </w:r>
          </w:p>
        </w:tc>
        <w:tc>
          <w:tcPr>
            <w:tcW w:w="1751" w:type="dxa"/>
            <w:vAlign w:val="center"/>
          </w:tcPr>
          <w:p>
            <w:pPr>
              <w:spacing w:line="320" w:lineRule="exact"/>
              <w:ind w:firstLine="420"/>
              <w:jc w:val="center"/>
              <w:rPr>
                <w:rFonts w:ascii="宋体" w:hAnsi="宋体"/>
                <w:sz w:val="21"/>
                <w:szCs w:val="21"/>
              </w:rPr>
            </w:pPr>
            <w:r>
              <w:rPr>
                <w:rFonts w:hint="eastAsia" w:ascii="宋体" w:hAnsi="宋体"/>
                <w:sz w:val="21"/>
                <w:szCs w:val="21"/>
              </w:rPr>
              <w:t>0.0004L</w:t>
            </w:r>
          </w:p>
        </w:tc>
        <w:tc>
          <w:tcPr>
            <w:tcW w:w="904" w:type="dxa"/>
            <w:vAlign w:val="center"/>
          </w:tcPr>
          <w:p>
            <w:pPr>
              <w:spacing w:line="320" w:lineRule="exact"/>
              <w:ind w:firstLine="420"/>
              <w:jc w:val="center"/>
              <w:rPr>
                <w:rFonts w:ascii="宋体" w:hAnsi="宋体"/>
                <w:sz w:val="21"/>
                <w:szCs w:val="21"/>
              </w:rPr>
            </w:pPr>
            <w:r>
              <w:rPr>
                <w:rFonts w:hint="eastAsia" w:ascii="宋体" w:hAnsi="宋体" w:cs="宋体"/>
                <w:sz w:val="21"/>
                <w:szCs w:val="21"/>
              </w:rPr>
              <w:t>Ⅰ</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≤0.01</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1" w:hRule="atLeast"/>
          <w:jc w:val="center"/>
        </w:trPr>
        <w:tc>
          <w:tcPr>
            <w:tcW w:w="2462" w:type="dxa"/>
            <w:vAlign w:val="center"/>
          </w:tcPr>
          <w:p>
            <w:pPr>
              <w:spacing w:line="280" w:lineRule="exact"/>
              <w:ind w:firstLine="420"/>
              <w:jc w:val="center"/>
              <w:rPr>
                <w:rFonts w:ascii="宋体" w:hAnsi="宋体"/>
                <w:sz w:val="21"/>
                <w:szCs w:val="21"/>
              </w:rPr>
            </w:pPr>
            <w:r>
              <w:rPr>
                <w:rFonts w:ascii="宋体" w:hAnsi="宋体"/>
                <w:sz w:val="21"/>
                <w:szCs w:val="21"/>
              </w:rPr>
              <w:t>砷</w:t>
            </w:r>
          </w:p>
        </w:tc>
        <w:tc>
          <w:tcPr>
            <w:tcW w:w="1751" w:type="dxa"/>
            <w:vAlign w:val="center"/>
          </w:tcPr>
          <w:p>
            <w:pPr>
              <w:spacing w:line="320" w:lineRule="exact"/>
              <w:ind w:firstLine="420"/>
              <w:jc w:val="center"/>
              <w:rPr>
                <w:rFonts w:ascii="宋体" w:hAnsi="宋体"/>
                <w:sz w:val="21"/>
                <w:szCs w:val="21"/>
              </w:rPr>
            </w:pPr>
            <w:r>
              <w:rPr>
                <w:rFonts w:hint="eastAsia" w:ascii="宋体" w:hAnsi="宋体"/>
                <w:sz w:val="21"/>
                <w:szCs w:val="21"/>
              </w:rPr>
              <w:t>0.000</w:t>
            </w:r>
            <w:r>
              <w:rPr>
                <w:rFonts w:ascii="宋体" w:hAnsi="宋体"/>
                <w:sz w:val="21"/>
                <w:szCs w:val="21"/>
              </w:rPr>
              <w:t>3L</w:t>
            </w:r>
          </w:p>
        </w:tc>
        <w:tc>
          <w:tcPr>
            <w:tcW w:w="904" w:type="dxa"/>
            <w:vAlign w:val="center"/>
          </w:tcPr>
          <w:p>
            <w:pPr>
              <w:spacing w:line="320" w:lineRule="exact"/>
              <w:ind w:firstLine="420"/>
              <w:jc w:val="center"/>
              <w:rPr>
                <w:rFonts w:ascii="宋体" w:hAnsi="宋体"/>
                <w:sz w:val="21"/>
                <w:szCs w:val="21"/>
              </w:rPr>
            </w:pPr>
            <w:r>
              <w:rPr>
                <w:rFonts w:hint="eastAsia" w:ascii="宋体" w:hAnsi="宋体" w:cs="宋体"/>
                <w:sz w:val="21"/>
                <w:szCs w:val="21"/>
              </w:rPr>
              <w:t>Ⅰ</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≤0.05</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汞</w:t>
            </w:r>
          </w:p>
        </w:tc>
        <w:tc>
          <w:tcPr>
            <w:tcW w:w="1751" w:type="dxa"/>
            <w:vAlign w:val="center"/>
          </w:tcPr>
          <w:p>
            <w:pPr>
              <w:spacing w:line="320" w:lineRule="exact"/>
              <w:ind w:firstLine="420"/>
              <w:jc w:val="center"/>
              <w:rPr>
                <w:rFonts w:ascii="宋体" w:hAnsi="宋体"/>
                <w:sz w:val="21"/>
                <w:szCs w:val="21"/>
              </w:rPr>
            </w:pPr>
            <w:r>
              <w:rPr>
                <w:rFonts w:hint="eastAsia" w:ascii="宋体" w:hAnsi="宋体"/>
                <w:sz w:val="21"/>
                <w:szCs w:val="21"/>
              </w:rPr>
              <w:t>0.00004L</w:t>
            </w:r>
          </w:p>
        </w:tc>
        <w:tc>
          <w:tcPr>
            <w:tcW w:w="904" w:type="dxa"/>
            <w:vAlign w:val="center"/>
          </w:tcPr>
          <w:p>
            <w:pPr>
              <w:spacing w:line="320" w:lineRule="exact"/>
              <w:ind w:firstLine="420"/>
              <w:jc w:val="center"/>
              <w:rPr>
                <w:rFonts w:ascii="宋体" w:hAnsi="宋体"/>
                <w:sz w:val="21"/>
                <w:szCs w:val="21"/>
              </w:rPr>
            </w:pPr>
            <w:r>
              <w:rPr>
                <w:rFonts w:hint="eastAsia" w:ascii="宋体" w:hAnsi="宋体" w:cs="宋体"/>
                <w:sz w:val="21"/>
                <w:szCs w:val="21"/>
              </w:rPr>
              <w:t>Ⅰ</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≤0.0001</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ascii="宋体" w:hAnsi="宋体"/>
                <w:sz w:val="21"/>
                <w:szCs w:val="21"/>
              </w:rPr>
              <w:t>镉</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0.001L</w:t>
            </w:r>
          </w:p>
        </w:tc>
        <w:tc>
          <w:tcPr>
            <w:tcW w:w="904" w:type="dxa"/>
            <w:vAlign w:val="center"/>
          </w:tcPr>
          <w:p>
            <w:pPr>
              <w:spacing w:line="260" w:lineRule="exact"/>
              <w:ind w:firstLine="420"/>
              <w:jc w:val="center"/>
              <w:rPr>
                <w:rFonts w:ascii="宋体" w:hAnsi="宋体"/>
                <w:sz w:val="21"/>
                <w:szCs w:val="21"/>
              </w:rPr>
            </w:pPr>
            <w:r>
              <w:rPr>
                <w:rFonts w:hint="eastAsia" w:ascii="宋体" w:hAnsi="宋体" w:cs="宋体"/>
                <w:sz w:val="21"/>
                <w:szCs w:val="21"/>
              </w:rPr>
              <w:t>Ⅰ</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≤0.005</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ascii="宋体" w:hAnsi="宋体"/>
                <w:sz w:val="21"/>
                <w:szCs w:val="21"/>
              </w:rPr>
              <w:t>六价铬</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0.004L</w:t>
            </w:r>
          </w:p>
        </w:tc>
        <w:tc>
          <w:tcPr>
            <w:tcW w:w="904" w:type="dxa"/>
            <w:vAlign w:val="center"/>
          </w:tcPr>
          <w:p>
            <w:pPr>
              <w:spacing w:line="260" w:lineRule="exact"/>
              <w:ind w:firstLine="420"/>
              <w:jc w:val="center"/>
              <w:rPr>
                <w:rFonts w:ascii="宋体" w:hAnsi="宋体"/>
                <w:sz w:val="21"/>
                <w:szCs w:val="21"/>
              </w:rPr>
            </w:pPr>
            <w:r>
              <w:rPr>
                <w:rFonts w:hint="eastAsia" w:ascii="宋体" w:hAnsi="宋体" w:cs="宋体"/>
                <w:sz w:val="21"/>
                <w:szCs w:val="21"/>
              </w:rPr>
              <w:t>Ⅰ</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≤0.05</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ascii="宋体" w:hAnsi="宋体"/>
                <w:sz w:val="21"/>
                <w:szCs w:val="21"/>
              </w:rPr>
              <w:t>铅</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0.01L</w:t>
            </w:r>
          </w:p>
        </w:tc>
        <w:tc>
          <w:tcPr>
            <w:tcW w:w="904" w:type="dxa"/>
            <w:vAlign w:val="center"/>
          </w:tcPr>
          <w:p>
            <w:pPr>
              <w:spacing w:line="260" w:lineRule="exact"/>
              <w:ind w:firstLine="420"/>
              <w:jc w:val="center"/>
              <w:rPr>
                <w:rFonts w:ascii="宋体" w:hAnsi="宋体"/>
                <w:sz w:val="21"/>
                <w:szCs w:val="21"/>
              </w:rPr>
            </w:pPr>
            <w:r>
              <w:rPr>
                <w:rFonts w:hint="eastAsia" w:ascii="宋体" w:hAnsi="宋体" w:cs="宋体"/>
                <w:sz w:val="21"/>
                <w:szCs w:val="21"/>
              </w:rPr>
              <w:t>Ⅰ</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≤0.05</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氰化物</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0.004L</w:t>
            </w:r>
          </w:p>
        </w:tc>
        <w:tc>
          <w:tcPr>
            <w:tcW w:w="904" w:type="dxa"/>
            <w:vAlign w:val="center"/>
          </w:tcPr>
          <w:p>
            <w:pPr>
              <w:spacing w:line="260" w:lineRule="exact"/>
              <w:ind w:firstLine="420"/>
              <w:jc w:val="center"/>
              <w:rPr>
                <w:rFonts w:ascii="宋体" w:hAnsi="宋体"/>
                <w:sz w:val="21"/>
                <w:szCs w:val="21"/>
              </w:rPr>
            </w:pPr>
            <w:r>
              <w:rPr>
                <w:rFonts w:hint="eastAsia" w:ascii="宋体" w:hAnsi="宋体" w:cs="宋体"/>
                <w:sz w:val="21"/>
                <w:szCs w:val="21"/>
              </w:rPr>
              <w:t>Ⅰ</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≤0.2</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挥发酚</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0.00</w:t>
            </w:r>
            <w:r>
              <w:rPr>
                <w:rFonts w:ascii="宋体" w:hAnsi="宋体"/>
                <w:sz w:val="21"/>
                <w:szCs w:val="21"/>
              </w:rPr>
              <w:t>03L</w:t>
            </w:r>
          </w:p>
        </w:tc>
        <w:tc>
          <w:tcPr>
            <w:tcW w:w="904" w:type="dxa"/>
            <w:vAlign w:val="center"/>
          </w:tcPr>
          <w:p>
            <w:pPr>
              <w:spacing w:line="260" w:lineRule="exact"/>
              <w:ind w:firstLine="420"/>
              <w:jc w:val="center"/>
              <w:rPr>
                <w:rFonts w:ascii="宋体" w:hAnsi="宋体"/>
                <w:sz w:val="21"/>
                <w:szCs w:val="21"/>
              </w:rPr>
            </w:pPr>
            <w:r>
              <w:rPr>
                <w:rFonts w:hint="eastAsia" w:ascii="宋体" w:hAnsi="宋体" w:cs="宋体"/>
                <w:sz w:val="21"/>
                <w:szCs w:val="21"/>
              </w:rPr>
              <w:t>Ⅰ</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≤0.005</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石油类</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0.0</w:t>
            </w:r>
            <w:r>
              <w:rPr>
                <w:rFonts w:ascii="宋体" w:hAnsi="宋体"/>
                <w:sz w:val="21"/>
                <w:szCs w:val="21"/>
              </w:rPr>
              <w:t>2</w:t>
            </w:r>
          </w:p>
        </w:tc>
        <w:tc>
          <w:tcPr>
            <w:tcW w:w="904" w:type="dxa"/>
            <w:vAlign w:val="center"/>
          </w:tcPr>
          <w:p>
            <w:pPr>
              <w:spacing w:line="260" w:lineRule="exact"/>
              <w:ind w:firstLine="420"/>
              <w:jc w:val="center"/>
              <w:rPr>
                <w:rFonts w:ascii="宋体" w:hAnsi="宋体"/>
                <w:sz w:val="21"/>
                <w:szCs w:val="21"/>
              </w:rPr>
            </w:pPr>
            <w:r>
              <w:rPr>
                <w:rFonts w:hint="eastAsia" w:ascii="宋体" w:hAnsi="宋体" w:cs="宋体"/>
                <w:sz w:val="21"/>
                <w:szCs w:val="21"/>
              </w:rPr>
              <w:t>Ⅰ</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≤0.05</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阴离子表面活性剂</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0.05L</w:t>
            </w:r>
          </w:p>
        </w:tc>
        <w:tc>
          <w:tcPr>
            <w:tcW w:w="904" w:type="dxa"/>
            <w:vAlign w:val="center"/>
          </w:tcPr>
          <w:p>
            <w:pPr>
              <w:spacing w:line="260" w:lineRule="exact"/>
              <w:ind w:firstLine="420"/>
              <w:jc w:val="center"/>
              <w:rPr>
                <w:rFonts w:ascii="宋体" w:hAnsi="宋体"/>
                <w:sz w:val="21"/>
                <w:szCs w:val="21"/>
              </w:rPr>
            </w:pPr>
            <w:r>
              <w:rPr>
                <w:rFonts w:hint="eastAsia" w:ascii="宋体" w:hAnsi="宋体" w:cs="宋体"/>
                <w:sz w:val="21"/>
                <w:szCs w:val="21"/>
              </w:rPr>
              <w:t>Ⅰ</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≤0.2</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硫化物</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0.005L</w:t>
            </w:r>
          </w:p>
        </w:tc>
        <w:tc>
          <w:tcPr>
            <w:tcW w:w="904" w:type="dxa"/>
            <w:vAlign w:val="center"/>
          </w:tcPr>
          <w:p>
            <w:pPr>
              <w:spacing w:line="260" w:lineRule="exact"/>
              <w:ind w:firstLine="420"/>
              <w:jc w:val="center"/>
              <w:rPr>
                <w:rFonts w:ascii="宋体" w:hAnsi="宋体"/>
                <w:sz w:val="21"/>
                <w:szCs w:val="21"/>
              </w:rPr>
            </w:pPr>
            <w:r>
              <w:rPr>
                <w:rFonts w:hint="eastAsia" w:ascii="宋体" w:hAnsi="宋体" w:cs="宋体"/>
                <w:sz w:val="21"/>
                <w:szCs w:val="21"/>
              </w:rPr>
              <w:t>Ⅰ</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≤0.2</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粪大肠菌群</w:t>
            </w:r>
          </w:p>
        </w:tc>
        <w:tc>
          <w:tcPr>
            <w:tcW w:w="1751" w:type="dxa"/>
            <w:vAlign w:val="center"/>
          </w:tcPr>
          <w:p>
            <w:pPr>
              <w:spacing w:line="260" w:lineRule="exact"/>
              <w:ind w:firstLine="420"/>
              <w:jc w:val="center"/>
              <w:rPr>
                <w:rFonts w:ascii="宋体" w:hAnsi="宋体"/>
                <w:sz w:val="21"/>
                <w:szCs w:val="21"/>
              </w:rPr>
            </w:pPr>
            <w:r>
              <w:rPr>
                <w:rFonts w:ascii="宋体" w:hAnsi="宋体"/>
                <w:sz w:val="21"/>
                <w:szCs w:val="21"/>
              </w:rPr>
              <w:t>958</w:t>
            </w:r>
          </w:p>
        </w:tc>
        <w:tc>
          <w:tcPr>
            <w:tcW w:w="904" w:type="dxa"/>
            <w:vAlign w:val="center"/>
          </w:tcPr>
          <w:p>
            <w:pPr>
              <w:spacing w:line="260" w:lineRule="exact"/>
              <w:ind w:firstLine="420"/>
              <w:jc w:val="center"/>
              <w:rPr>
                <w:rFonts w:ascii="宋体" w:hAnsi="宋体"/>
                <w:sz w:val="21"/>
                <w:szCs w:val="21"/>
              </w:rPr>
            </w:pPr>
            <w:r>
              <w:rPr>
                <w:rFonts w:hint="eastAsia" w:ascii="宋体" w:hAnsi="宋体" w:cs="宋体"/>
                <w:sz w:val="21"/>
                <w:szCs w:val="21"/>
              </w:rPr>
              <w:t>Ⅱ</w:t>
            </w:r>
          </w:p>
        </w:tc>
        <w:tc>
          <w:tcPr>
            <w:tcW w:w="1965" w:type="dxa"/>
            <w:vAlign w:val="center"/>
          </w:tcPr>
          <w:p>
            <w:pPr>
              <w:spacing w:line="240" w:lineRule="auto"/>
              <w:ind w:firstLine="420"/>
              <w:jc w:val="center"/>
              <w:rPr>
                <w:rFonts w:ascii="宋体" w:hAnsi="宋体" w:cs="宋体"/>
                <w:sz w:val="21"/>
                <w:szCs w:val="21"/>
              </w:rPr>
            </w:pPr>
            <w:r>
              <w:rPr>
                <w:rFonts w:hint="eastAsia" w:ascii="宋体" w:hAnsi="宋体" w:cs="宋体"/>
                <w:sz w:val="21"/>
                <w:szCs w:val="21"/>
              </w:rPr>
              <w:t>≤10000</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硫酸盐</w:t>
            </w:r>
          </w:p>
        </w:tc>
        <w:tc>
          <w:tcPr>
            <w:tcW w:w="1751" w:type="dxa"/>
            <w:vAlign w:val="center"/>
          </w:tcPr>
          <w:p>
            <w:pPr>
              <w:spacing w:line="260" w:lineRule="exact"/>
              <w:ind w:firstLine="420"/>
              <w:jc w:val="center"/>
              <w:rPr>
                <w:rFonts w:ascii="宋体" w:hAnsi="宋体"/>
                <w:sz w:val="21"/>
                <w:szCs w:val="21"/>
              </w:rPr>
            </w:pPr>
            <w:r>
              <w:rPr>
                <w:rFonts w:ascii="宋体" w:hAnsi="宋体"/>
                <w:sz w:val="21"/>
                <w:szCs w:val="21"/>
              </w:rPr>
              <w:t>8L</w:t>
            </w:r>
          </w:p>
        </w:tc>
        <w:tc>
          <w:tcPr>
            <w:tcW w:w="904" w:type="dxa"/>
            <w:vAlign w:val="center"/>
          </w:tcPr>
          <w:p>
            <w:pPr>
              <w:spacing w:line="240" w:lineRule="auto"/>
              <w:ind w:firstLine="420"/>
              <w:jc w:val="center"/>
              <w:rPr>
                <w:rFonts w:ascii="宋体" w:hAnsi="宋体"/>
                <w:sz w:val="21"/>
                <w:szCs w:val="21"/>
              </w:rPr>
            </w:pPr>
            <w:r>
              <w:rPr>
                <w:rFonts w:hint="eastAsia" w:ascii="宋体" w:hAnsi="宋体" w:cs="宋体"/>
                <w:kern w:val="0"/>
                <w:sz w:val="21"/>
                <w:szCs w:val="21"/>
              </w:rPr>
              <w:t>/</w:t>
            </w:r>
          </w:p>
        </w:tc>
        <w:tc>
          <w:tcPr>
            <w:tcW w:w="1965" w:type="dxa"/>
            <w:vAlign w:val="center"/>
          </w:tcPr>
          <w:p>
            <w:pPr>
              <w:spacing w:line="280" w:lineRule="exact"/>
              <w:ind w:firstLine="420"/>
              <w:jc w:val="center"/>
              <w:rPr>
                <w:rFonts w:ascii="宋体" w:hAnsi="宋体" w:cs="宋体"/>
                <w:sz w:val="21"/>
                <w:szCs w:val="21"/>
              </w:rPr>
            </w:pPr>
            <w:r>
              <w:rPr>
                <w:rFonts w:hint="eastAsia" w:ascii="宋体" w:hAnsi="宋体" w:cs="宋体"/>
                <w:sz w:val="21"/>
                <w:szCs w:val="21"/>
              </w:rPr>
              <w:t>≤250</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氯化物</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10L</w:t>
            </w:r>
          </w:p>
        </w:tc>
        <w:tc>
          <w:tcPr>
            <w:tcW w:w="904" w:type="dxa"/>
            <w:vAlign w:val="center"/>
          </w:tcPr>
          <w:p>
            <w:pPr>
              <w:spacing w:line="240" w:lineRule="auto"/>
              <w:ind w:firstLine="420"/>
              <w:jc w:val="center"/>
              <w:rPr>
                <w:rFonts w:ascii="宋体" w:hAnsi="宋体"/>
                <w:sz w:val="21"/>
                <w:szCs w:val="21"/>
              </w:rPr>
            </w:pPr>
            <w:r>
              <w:rPr>
                <w:rFonts w:hint="eastAsia" w:ascii="宋体" w:hAnsi="宋体" w:cs="宋体"/>
                <w:kern w:val="0"/>
                <w:sz w:val="21"/>
                <w:szCs w:val="21"/>
              </w:rPr>
              <w:t>/</w:t>
            </w:r>
          </w:p>
        </w:tc>
        <w:tc>
          <w:tcPr>
            <w:tcW w:w="1965" w:type="dxa"/>
            <w:vAlign w:val="center"/>
          </w:tcPr>
          <w:p>
            <w:pPr>
              <w:spacing w:line="280" w:lineRule="exact"/>
              <w:ind w:firstLine="420"/>
              <w:jc w:val="center"/>
              <w:rPr>
                <w:rFonts w:ascii="宋体" w:hAnsi="宋体" w:cs="宋体"/>
                <w:sz w:val="21"/>
                <w:szCs w:val="21"/>
              </w:rPr>
            </w:pPr>
            <w:r>
              <w:rPr>
                <w:rFonts w:hint="eastAsia" w:ascii="宋体" w:hAnsi="宋体" w:cs="宋体"/>
                <w:sz w:val="21"/>
                <w:szCs w:val="21"/>
              </w:rPr>
              <w:t>≤250</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硝酸盐氮</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0.0</w:t>
            </w:r>
            <w:r>
              <w:rPr>
                <w:rFonts w:ascii="宋体" w:hAnsi="宋体"/>
                <w:sz w:val="21"/>
                <w:szCs w:val="21"/>
              </w:rPr>
              <w:t>2</w:t>
            </w:r>
          </w:p>
        </w:tc>
        <w:tc>
          <w:tcPr>
            <w:tcW w:w="904" w:type="dxa"/>
            <w:vAlign w:val="center"/>
          </w:tcPr>
          <w:p>
            <w:pPr>
              <w:spacing w:line="240" w:lineRule="auto"/>
              <w:ind w:firstLine="420"/>
              <w:jc w:val="center"/>
              <w:rPr>
                <w:rFonts w:ascii="宋体" w:hAnsi="宋体"/>
                <w:sz w:val="21"/>
                <w:szCs w:val="21"/>
              </w:rPr>
            </w:pPr>
            <w:r>
              <w:rPr>
                <w:rFonts w:hint="eastAsia" w:ascii="宋体" w:hAnsi="宋体" w:cs="宋体"/>
                <w:kern w:val="0"/>
                <w:sz w:val="21"/>
                <w:szCs w:val="21"/>
              </w:rPr>
              <w:t>/</w:t>
            </w:r>
          </w:p>
        </w:tc>
        <w:tc>
          <w:tcPr>
            <w:tcW w:w="1965" w:type="dxa"/>
            <w:vAlign w:val="center"/>
          </w:tcPr>
          <w:p>
            <w:pPr>
              <w:spacing w:line="280" w:lineRule="exact"/>
              <w:ind w:firstLine="420"/>
              <w:jc w:val="center"/>
              <w:rPr>
                <w:rFonts w:ascii="宋体" w:hAnsi="宋体" w:cs="宋体"/>
                <w:sz w:val="21"/>
                <w:szCs w:val="21"/>
              </w:rPr>
            </w:pPr>
            <w:r>
              <w:rPr>
                <w:rFonts w:hint="eastAsia" w:ascii="宋体" w:hAnsi="宋体" w:cs="宋体"/>
                <w:sz w:val="21"/>
                <w:szCs w:val="21"/>
              </w:rPr>
              <w:t>≤10</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铁</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0.03L</w:t>
            </w:r>
          </w:p>
        </w:tc>
        <w:tc>
          <w:tcPr>
            <w:tcW w:w="904" w:type="dxa"/>
            <w:vAlign w:val="center"/>
          </w:tcPr>
          <w:p>
            <w:pPr>
              <w:spacing w:line="280" w:lineRule="exact"/>
              <w:ind w:firstLine="420"/>
              <w:jc w:val="center"/>
              <w:rPr>
                <w:rFonts w:ascii="宋体" w:hAnsi="宋体"/>
                <w:sz w:val="21"/>
                <w:szCs w:val="21"/>
              </w:rPr>
            </w:pPr>
            <w:r>
              <w:rPr>
                <w:rFonts w:hint="eastAsia" w:ascii="宋体" w:hAnsi="宋体" w:cs="宋体"/>
                <w:kern w:val="0"/>
                <w:sz w:val="21"/>
                <w:szCs w:val="21"/>
              </w:rPr>
              <w:t>/</w:t>
            </w:r>
          </w:p>
        </w:tc>
        <w:tc>
          <w:tcPr>
            <w:tcW w:w="1965" w:type="dxa"/>
            <w:vAlign w:val="center"/>
          </w:tcPr>
          <w:p>
            <w:pPr>
              <w:spacing w:line="280" w:lineRule="exact"/>
              <w:ind w:firstLine="420"/>
              <w:jc w:val="center"/>
              <w:rPr>
                <w:rFonts w:ascii="宋体" w:hAnsi="宋体" w:cs="宋体"/>
                <w:sz w:val="21"/>
                <w:szCs w:val="21"/>
              </w:rPr>
            </w:pPr>
            <w:r>
              <w:rPr>
                <w:rFonts w:hint="eastAsia" w:ascii="宋体" w:hAnsi="宋体" w:cs="宋体"/>
                <w:sz w:val="21"/>
                <w:szCs w:val="21"/>
              </w:rPr>
              <w:t>≤0.3</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锰</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0.0</w:t>
            </w:r>
            <w:r>
              <w:rPr>
                <w:rFonts w:ascii="宋体" w:hAnsi="宋体"/>
                <w:sz w:val="21"/>
                <w:szCs w:val="21"/>
              </w:rPr>
              <w:t>8</w:t>
            </w:r>
          </w:p>
        </w:tc>
        <w:tc>
          <w:tcPr>
            <w:tcW w:w="904" w:type="dxa"/>
            <w:vAlign w:val="center"/>
          </w:tcPr>
          <w:p>
            <w:pPr>
              <w:spacing w:line="260" w:lineRule="exact"/>
              <w:ind w:firstLine="420"/>
              <w:jc w:val="center"/>
              <w:rPr>
                <w:rFonts w:ascii="宋体" w:hAnsi="宋体"/>
                <w:sz w:val="21"/>
                <w:szCs w:val="21"/>
              </w:rPr>
            </w:pPr>
            <w:r>
              <w:rPr>
                <w:rFonts w:hint="eastAsia" w:ascii="宋体" w:hAnsi="宋体" w:cs="宋体"/>
                <w:kern w:val="0"/>
                <w:sz w:val="21"/>
                <w:szCs w:val="21"/>
              </w:rPr>
              <w:t>/</w:t>
            </w:r>
          </w:p>
        </w:tc>
        <w:tc>
          <w:tcPr>
            <w:tcW w:w="1965" w:type="dxa"/>
            <w:vAlign w:val="center"/>
          </w:tcPr>
          <w:p>
            <w:pPr>
              <w:spacing w:line="280" w:lineRule="exact"/>
              <w:ind w:firstLine="420"/>
              <w:jc w:val="center"/>
              <w:rPr>
                <w:rFonts w:ascii="宋体" w:hAnsi="宋体" w:cs="宋体"/>
                <w:sz w:val="21"/>
                <w:szCs w:val="21"/>
              </w:rPr>
            </w:pPr>
            <w:r>
              <w:rPr>
                <w:rFonts w:hint="eastAsia" w:ascii="宋体" w:hAnsi="宋体" w:cs="宋体"/>
                <w:sz w:val="21"/>
                <w:szCs w:val="21"/>
              </w:rPr>
              <w:t>≤0.1</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叶绿素a</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0.002L</w:t>
            </w:r>
          </w:p>
        </w:tc>
        <w:tc>
          <w:tcPr>
            <w:tcW w:w="904" w:type="dxa"/>
            <w:vAlign w:val="center"/>
          </w:tcPr>
          <w:p>
            <w:pPr>
              <w:spacing w:line="260" w:lineRule="exact"/>
              <w:ind w:firstLine="420"/>
              <w:jc w:val="center"/>
              <w:rPr>
                <w:rFonts w:ascii="宋体" w:hAnsi="宋体" w:cs="宋体"/>
                <w:kern w:val="0"/>
                <w:sz w:val="21"/>
                <w:szCs w:val="21"/>
              </w:rPr>
            </w:pPr>
            <w:r>
              <w:rPr>
                <w:rFonts w:hint="eastAsia" w:ascii="宋体" w:hAnsi="宋体" w:cs="宋体"/>
                <w:kern w:val="0"/>
                <w:sz w:val="21"/>
                <w:szCs w:val="21"/>
              </w:rPr>
              <w:t>/</w:t>
            </w:r>
          </w:p>
        </w:tc>
        <w:tc>
          <w:tcPr>
            <w:tcW w:w="1965" w:type="dxa"/>
            <w:vAlign w:val="center"/>
          </w:tcPr>
          <w:p>
            <w:pPr>
              <w:spacing w:line="280" w:lineRule="exact"/>
              <w:ind w:firstLine="420"/>
              <w:jc w:val="center"/>
              <w:rPr>
                <w:rFonts w:ascii="宋体" w:hAnsi="宋体" w:cs="宋体"/>
                <w:sz w:val="21"/>
                <w:szCs w:val="21"/>
              </w:rPr>
            </w:pPr>
            <w:r>
              <w:rPr>
                <w:rFonts w:hint="eastAsia" w:ascii="宋体" w:hAnsi="宋体" w:cs="宋体"/>
                <w:sz w:val="21"/>
                <w:szCs w:val="21"/>
              </w:rPr>
              <w:t>/</w:t>
            </w:r>
          </w:p>
        </w:tc>
        <w:tc>
          <w:tcPr>
            <w:tcW w:w="1434" w:type="dxa"/>
            <w:vMerge w:val="continue"/>
            <w:vAlign w:val="center"/>
          </w:tcPr>
          <w:p>
            <w:pPr>
              <w:spacing w:line="280" w:lineRule="exact"/>
              <w:ind w:firstLine="420"/>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462" w:type="dxa"/>
            <w:vAlign w:val="center"/>
          </w:tcPr>
          <w:p>
            <w:pPr>
              <w:spacing w:line="280" w:lineRule="exact"/>
              <w:ind w:firstLine="420"/>
              <w:jc w:val="center"/>
              <w:rPr>
                <w:rFonts w:ascii="宋体" w:hAnsi="宋体"/>
                <w:sz w:val="21"/>
                <w:szCs w:val="21"/>
              </w:rPr>
            </w:pPr>
            <w:r>
              <w:rPr>
                <w:rFonts w:hint="eastAsia" w:ascii="宋体" w:hAnsi="宋体"/>
                <w:sz w:val="21"/>
                <w:szCs w:val="21"/>
              </w:rPr>
              <w:t>透明度</w:t>
            </w:r>
          </w:p>
        </w:tc>
        <w:tc>
          <w:tcPr>
            <w:tcW w:w="1751" w:type="dxa"/>
            <w:vAlign w:val="center"/>
          </w:tcPr>
          <w:p>
            <w:pPr>
              <w:spacing w:line="260" w:lineRule="exact"/>
              <w:ind w:firstLine="420"/>
              <w:jc w:val="center"/>
              <w:rPr>
                <w:rFonts w:ascii="宋体" w:hAnsi="宋体"/>
                <w:sz w:val="21"/>
                <w:szCs w:val="21"/>
              </w:rPr>
            </w:pPr>
            <w:r>
              <w:rPr>
                <w:rFonts w:hint="eastAsia" w:ascii="宋体" w:hAnsi="宋体"/>
                <w:sz w:val="21"/>
                <w:szCs w:val="21"/>
              </w:rPr>
              <w:t>130cm</w:t>
            </w:r>
          </w:p>
        </w:tc>
        <w:tc>
          <w:tcPr>
            <w:tcW w:w="904" w:type="dxa"/>
            <w:vAlign w:val="center"/>
          </w:tcPr>
          <w:p>
            <w:pPr>
              <w:spacing w:line="260" w:lineRule="exact"/>
              <w:ind w:firstLine="420"/>
              <w:jc w:val="center"/>
              <w:rPr>
                <w:rFonts w:ascii="宋体" w:hAnsi="宋体" w:cs="宋体"/>
                <w:kern w:val="0"/>
                <w:sz w:val="21"/>
                <w:szCs w:val="21"/>
              </w:rPr>
            </w:pPr>
            <w:r>
              <w:rPr>
                <w:rFonts w:hint="eastAsia" w:ascii="宋体" w:hAnsi="宋体" w:cs="宋体"/>
                <w:kern w:val="0"/>
                <w:sz w:val="21"/>
                <w:szCs w:val="21"/>
              </w:rPr>
              <w:t>/</w:t>
            </w:r>
          </w:p>
        </w:tc>
        <w:tc>
          <w:tcPr>
            <w:tcW w:w="1965" w:type="dxa"/>
            <w:vAlign w:val="center"/>
          </w:tcPr>
          <w:p>
            <w:pPr>
              <w:spacing w:line="280" w:lineRule="exact"/>
              <w:ind w:firstLine="420"/>
              <w:jc w:val="center"/>
              <w:rPr>
                <w:rFonts w:ascii="宋体" w:hAnsi="宋体" w:cs="宋体"/>
                <w:sz w:val="21"/>
                <w:szCs w:val="21"/>
              </w:rPr>
            </w:pPr>
            <w:r>
              <w:rPr>
                <w:rFonts w:hint="eastAsia" w:ascii="宋体" w:hAnsi="宋体" w:cs="宋体"/>
                <w:sz w:val="21"/>
                <w:szCs w:val="21"/>
              </w:rPr>
              <w:t>/</w:t>
            </w:r>
          </w:p>
        </w:tc>
        <w:tc>
          <w:tcPr>
            <w:tcW w:w="1434" w:type="dxa"/>
            <w:vMerge w:val="continue"/>
            <w:vAlign w:val="center"/>
          </w:tcPr>
          <w:p>
            <w:pPr>
              <w:spacing w:line="280" w:lineRule="exact"/>
              <w:ind w:firstLine="420"/>
              <w:jc w:val="center"/>
              <w:rPr>
                <w:rFonts w:ascii="宋体" w:hAnsi="宋体"/>
                <w:sz w:val="21"/>
                <w:szCs w:val="21"/>
              </w:rPr>
            </w:pPr>
          </w:p>
        </w:tc>
      </w:tr>
    </w:tbl>
    <w:p>
      <w:pPr>
        <w:pStyle w:val="4"/>
      </w:pPr>
      <w:bookmarkStart w:id="94" w:name="_Toc19691443"/>
      <w:bookmarkStart w:id="95" w:name="_Toc19760"/>
      <w:r>
        <w:rPr>
          <w:rFonts w:hint="eastAsia"/>
        </w:rPr>
        <w:t>3</w:t>
      </w:r>
      <w:r>
        <w:t xml:space="preserve">.2  </w:t>
      </w:r>
      <w:r>
        <w:rPr>
          <w:rFonts w:hint="eastAsia"/>
        </w:rPr>
        <w:t>饮用水源地水质评价</w:t>
      </w:r>
      <w:bookmarkEnd w:id="94"/>
      <w:bookmarkEnd w:id="95"/>
    </w:p>
    <w:p>
      <w:pPr>
        <w:ind w:firstLine="480"/>
        <w:rPr>
          <w:rFonts w:ascii="宋体" w:hAnsi="宋体" w:cs="宋体"/>
          <w:szCs w:val="24"/>
        </w:rPr>
      </w:pPr>
      <w:r>
        <w:rPr>
          <w:rFonts w:hint="eastAsia" w:ascii="宋体" w:hAnsi="宋体" w:cs="宋体"/>
          <w:szCs w:val="24"/>
        </w:rPr>
        <w:t>本次水源地保护区环境现状调查工作数据来源于2019年11月</w:t>
      </w:r>
      <w:r>
        <w:rPr>
          <w:rFonts w:hint="eastAsia" w:ascii="宋体" w:hAnsi="宋体"/>
        </w:rPr>
        <w:t>云南蓝硕环境信息咨询有限公司</w:t>
      </w:r>
      <w:r>
        <w:rPr>
          <w:rFonts w:hint="eastAsia" w:ascii="宋体" w:hAnsi="宋体" w:cs="宋体"/>
          <w:szCs w:val="24"/>
        </w:rPr>
        <w:t>对大竹林水库的水质检测报告，监测项目共计34项指标，涵盖了《地表水环境质量标准》（GB3838-2002）湖库型饮用水源地所列指标。</w:t>
      </w:r>
    </w:p>
    <w:p>
      <w:pPr>
        <w:ind w:firstLine="600" w:firstLineChars="0"/>
        <w:rPr>
          <w:rFonts w:cs="Times New Roman"/>
          <w:szCs w:val="24"/>
        </w:rPr>
      </w:pPr>
      <w:r>
        <w:rPr>
          <w:rFonts w:hint="eastAsia" w:ascii="宋体" w:hAnsi="宋体" w:cs="宋体"/>
          <w:szCs w:val="24"/>
        </w:rPr>
        <w:t>根据《云南省地表水水环境功能区划（2010～2020年）》可知，大竹林水库主要具有饮用一级、工业用水、农业用水等用水功能，选取《地表水环境质量标准》（GB3838-2002）中水质标准进行评价。</w:t>
      </w:r>
      <w:r>
        <w:rPr>
          <w:rFonts w:cs="Times New Roman"/>
          <w:szCs w:val="24"/>
        </w:rPr>
        <w:t>由表3-</w:t>
      </w:r>
      <w:r>
        <w:rPr>
          <w:rFonts w:hint="eastAsia" w:cs="Times New Roman"/>
          <w:szCs w:val="24"/>
        </w:rPr>
        <w:t>1</w:t>
      </w:r>
      <w:r>
        <w:rPr>
          <w:rFonts w:cs="Times New Roman"/>
          <w:szCs w:val="24"/>
        </w:rPr>
        <w:t>可以看出，大竹林水库饮用水源地水质地表水指标均达到《地表水环境质量标准》（GB3838-2002）Ⅲ类水质标准要求</w:t>
      </w:r>
      <w:r>
        <w:rPr>
          <w:rFonts w:hint="eastAsia" w:cs="Times New Roman"/>
          <w:szCs w:val="24"/>
        </w:rPr>
        <w:t>。</w:t>
      </w:r>
    </w:p>
    <w:p>
      <w:pPr>
        <w:ind w:firstLine="600" w:firstLineChars="0"/>
        <w:rPr>
          <w:rFonts w:cs="Times New Roman"/>
          <w:szCs w:val="24"/>
        </w:rPr>
      </w:pPr>
      <w:r>
        <w:rPr>
          <w:rFonts w:cs="Times New Roman"/>
          <w:szCs w:val="24"/>
        </w:rPr>
        <w:t>综上所述，大竹林水库饮用水源地水质总体良好，均达到饮用水源地水质要求的水质标准。</w:t>
      </w:r>
    </w:p>
    <w:p>
      <w:pPr>
        <w:pStyle w:val="4"/>
      </w:pPr>
      <w:bookmarkStart w:id="96" w:name="_Toc24223"/>
      <w:bookmarkStart w:id="97" w:name="_Toc19691444"/>
      <w:r>
        <w:rPr>
          <w:rFonts w:hint="eastAsia"/>
        </w:rPr>
        <w:t>3</w:t>
      </w:r>
      <w:r>
        <w:t xml:space="preserve">.3  </w:t>
      </w:r>
      <w:r>
        <w:rPr>
          <w:rFonts w:hint="eastAsia"/>
        </w:rPr>
        <w:t>饮用水源地周边及上游污染源调查</w:t>
      </w:r>
      <w:bookmarkEnd w:id="96"/>
      <w:bookmarkEnd w:id="97"/>
    </w:p>
    <w:p>
      <w:pPr>
        <w:ind w:firstLine="480"/>
      </w:pPr>
      <w:r>
        <w:t>为调查大竹林水库饮用水水源保护区内污染状况，明确各污染物来源，摸清污染家底，以及对水库水质的影响，编制组在2019年9月对大竹林水库开展生态环境及污染源调查。</w:t>
      </w:r>
      <w:r>
        <w:rPr>
          <w:rFonts w:hint="eastAsia"/>
        </w:rPr>
        <w:t>富源县大竹林水库污染现状见附图4。</w:t>
      </w:r>
    </w:p>
    <w:p>
      <w:pPr>
        <w:ind w:firstLine="480"/>
        <w:rPr>
          <w:rFonts w:cs="Times New Roman"/>
          <w:szCs w:val="24"/>
        </w:rPr>
      </w:pPr>
      <w:r>
        <w:t>目前，</w:t>
      </w:r>
      <w:r>
        <w:rPr>
          <w:rFonts w:hint="eastAsia"/>
        </w:rPr>
        <w:t>养殖小区的一处堆粪场位于道路东侧，已经处于大竹林水库径流区内，</w:t>
      </w:r>
      <w:r>
        <w:t>但养殖</w:t>
      </w:r>
      <w:r>
        <w:rPr>
          <w:rFonts w:hint="eastAsia"/>
        </w:rPr>
        <w:t>小区</w:t>
      </w:r>
      <w:r>
        <w:t>还未开始运行，尚不造成水环境污染，保护区内污染源主要是农业农村面源污染，面源污染主要是农田固废、农田化肥流失污染等。</w:t>
      </w:r>
      <w:r>
        <w:rPr>
          <w:rFonts w:cs="Times New Roman"/>
          <w:szCs w:val="24"/>
        </w:rPr>
        <w:t>保护区内污染源主要是农业农村面源污染，面源污染主要是农田固废、农田化肥流失污染等。</w:t>
      </w:r>
    </w:p>
    <w:p>
      <w:pPr>
        <w:ind w:firstLine="480"/>
        <w:rPr>
          <w:rFonts w:cs="Times New Roman"/>
          <w:szCs w:val="24"/>
        </w:rPr>
      </w:pPr>
      <w:r>
        <w:t>大竹林水库</w:t>
      </w:r>
      <w:r>
        <w:rPr>
          <w:rFonts w:cs="Times New Roman"/>
          <w:szCs w:val="24"/>
          <w:lang w:val="zh-TW" w:eastAsia="zh-TW"/>
        </w:rPr>
        <w:t>水源地周边耕地主要用于种植玉米。取每亩化肥施用量</w:t>
      </w:r>
      <w:r>
        <w:rPr>
          <w:rFonts w:cs="Times New Roman"/>
          <w:szCs w:val="24"/>
        </w:rPr>
        <w:t>38.39 kg。</w:t>
      </w:r>
      <w:r>
        <w:rPr>
          <w:rFonts w:cs="Times New Roman"/>
          <w:szCs w:val="24"/>
          <w:lang w:val="zh-TW" w:eastAsia="zh-TW"/>
        </w:rPr>
        <w:t>按照《全国水环境容量核定技术指南》中推荐，标准农田源强系数为：</w:t>
      </w:r>
      <w:r>
        <w:rPr>
          <w:rFonts w:cs="Times New Roman"/>
          <w:szCs w:val="24"/>
        </w:rPr>
        <w:t xml:space="preserve">COD </w:t>
      </w:r>
      <w:r>
        <w:rPr>
          <w:rFonts w:cs="Times New Roman"/>
          <w:szCs w:val="24"/>
          <w:lang w:val="zh-TW" w:eastAsia="zh-TW"/>
        </w:rPr>
        <w:t xml:space="preserve">10 </w:t>
      </w:r>
      <w:r>
        <w:rPr>
          <w:rFonts w:cs="Times New Roman"/>
          <w:szCs w:val="24"/>
        </w:rPr>
        <w:t>kg/</w:t>
      </w:r>
      <w:r>
        <w:rPr>
          <w:rFonts w:cs="Times New Roman"/>
          <w:szCs w:val="24"/>
          <w:lang w:val="zh-TW" w:eastAsia="zh-TW"/>
        </w:rPr>
        <w:t xml:space="preserve">亩•年，氨氮2 </w:t>
      </w:r>
      <w:r>
        <w:rPr>
          <w:rFonts w:cs="Times New Roman"/>
          <w:szCs w:val="24"/>
        </w:rPr>
        <w:t>kg/</w:t>
      </w:r>
      <w:r>
        <w:rPr>
          <w:rFonts w:cs="Times New Roman"/>
          <w:szCs w:val="24"/>
          <w:lang w:val="zh-TW" w:eastAsia="zh-TW"/>
        </w:rPr>
        <w:t>亩•年。对于非标准农田，根据坡度、农田类型、土壤类型、年降雨量、化肥施用量等对应的源强修正系数进行修正，修正系数见表</w:t>
      </w:r>
      <w:r>
        <w:rPr>
          <w:rFonts w:hint="eastAsia" w:cs="Times New Roman"/>
          <w:szCs w:val="24"/>
        </w:rPr>
        <w:t>3</w:t>
      </w:r>
      <w:r>
        <w:rPr>
          <w:rFonts w:cs="Times New Roman"/>
          <w:szCs w:val="24"/>
        </w:rPr>
        <w:t>-</w:t>
      </w:r>
      <w:r>
        <w:rPr>
          <w:rFonts w:hint="eastAsia" w:cs="Times New Roman"/>
          <w:szCs w:val="24"/>
        </w:rPr>
        <w:t>2</w:t>
      </w:r>
      <w:r>
        <w:rPr>
          <w:rFonts w:cs="Times New Roman"/>
          <w:szCs w:val="24"/>
          <w:lang w:val="zh-TW" w:eastAsia="zh-TW"/>
        </w:rPr>
        <w:t>所示。</w:t>
      </w:r>
    </w:p>
    <w:p>
      <w:pPr>
        <w:framePr w:w="8544" w:wrap="notBeside" w:vAnchor="text" w:hAnchor="text" w:xAlign="center" w:y="1"/>
        <w:ind w:firstLine="482"/>
        <w:jc w:val="center"/>
        <w:rPr>
          <w:rFonts w:cs="Times New Roman"/>
          <w:b/>
          <w:bCs/>
          <w:szCs w:val="24"/>
        </w:rPr>
      </w:pPr>
      <w:r>
        <w:rPr>
          <w:rFonts w:cs="Times New Roman"/>
          <w:b/>
          <w:bCs/>
          <w:szCs w:val="24"/>
          <w:lang w:val="zh-TW" w:eastAsia="zh-TW"/>
        </w:rPr>
        <w:t>表</w:t>
      </w:r>
      <w:r>
        <w:rPr>
          <w:rFonts w:hint="eastAsia" w:cs="Times New Roman"/>
          <w:b/>
          <w:bCs/>
          <w:szCs w:val="24"/>
        </w:rPr>
        <w:t>3</w:t>
      </w:r>
      <w:r>
        <w:rPr>
          <w:rFonts w:cs="Times New Roman"/>
          <w:b/>
          <w:bCs/>
          <w:szCs w:val="24"/>
        </w:rPr>
        <w:t>-</w:t>
      </w:r>
      <w:r>
        <w:rPr>
          <w:rFonts w:hint="eastAsia" w:cs="Times New Roman"/>
          <w:b/>
          <w:bCs/>
          <w:szCs w:val="24"/>
        </w:rPr>
        <w:t>2</w:t>
      </w:r>
      <w:r>
        <w:rPr>
          <w:rFonts w:cs="Times New Roman"/>
          <w:b/>
          <w:bCs/>
          <w:szCs w:val="24"/>
          <w:lang w:val="zh-TW" w:eastAsia="zh-TW"/>
        </w:rPr>
        <w:t>非标准农田产污系数修正值</w:t>
      </w:r>
    </w:p>
    <w:tbl>
      <w:tblPr>
        <w:tblStyle w:val="25"/>
        <w:tblW w:w="8543" w:type="dxa"/>
        <w:jc w:val="center"/>
        <w:tblLayout w:type="fixed"/>
        <w:tblCellMar>
          <w:top w:w="0" w:type="dxa"/>
          <w:left w:w="10" w:type="dxa"/>
          <w:bottom w:w="0" w:type="dxa"/>
          <w:right w:w="10" w:type="dxa"/>
        </w:tblCellMar>
      </w:tblPr>
      <w:tblGrid>
        <w:gridCol w:w="3043"/>
        <w:gridCol w:w="3110"/>
        <w:gridCol w:w="2390"/>
      </w:tblGrid>
      <w:tr>
        <w:tblPrEx>
          <w:tblCellMar>
            <w:top w:w="0" w:type="dxa"/>
            <w:left w:w="10" w:type="dxa"/>
            <w:bottom w:w="0" w:type="dxa"/>
            <w:right w:w="10" w:type="dxa"/>
          </w:tblCellMar>
        </w:tblPrEx>
        <w:trPr>
          <w:trHeight w:val="372" w:hRule="exact"/>
          <w:jc w:val="center"/>
        </w:trPr>
        <w:tc>
          <w:tcPr>
            <w:tcW w:w="3043" w:type="dxa"/>
            <w:tcBorders>
              <w:top w:val="single" w:color="auto" w:sz="4" w:space="0"/>
              <w:left w:val="single" w:color="auto" w:sz="4" w:space="0"/>
            </w:tcBorders>
            <w:shd w:val="clear" w:color="auto" w:fill="auto"/>
          </w:tcPr>
          <w:p>
            <w:pPr>
              <w:framePr w:w="8544" w:wrap="notBeside" w:vAnchor="text" w:hAnchor="text" w:xAlign="center" w:y="1"/>
              <w:ind w:firstLine="420"/>
              <w:rPr>
                <w:rFonts w:cs="Times New Roman"/>
                <w:sz w:val="21"/>
                <w:szCs w:val="21"/>
              </w:rPr>
            </w:pPr>
            <w:r>
              <w:rPr>
                <w:rFonts w:cs="Times New Roman"/>
                <w:sz w:val="21"/>
                <w:szCs w:val="21"/>
                <w:lang w:val="zh-TW" w:eastAsia="zh-TW"/>
              </w:rPr>
              <w:t>主要因素</w:t>
            </w:r>
          </w:p>
        </w:tc>
        <w:tc>
          <w:tcPr>
            <w:tcW w:w="3110" w:type="dxa"/>
            <w:tcBorders>
              <w:top w:val="single" w:color="auto" w:sz="4" w:space="0"/>
              <w:left w:val="single" w:color="auto" w:sz="4" w:space="0"/>
            </w:tcBorders>
            <w:shd w:val="clear" w:color="auto" w:fill="auto"/>
          </w:tcPr>
          <w:p>
            <w:pPr>
              <w:framePr w:w="8544" w:wrap="notBeside" w:vAnchor="text" w:hAnchor="text" w:xAlign="center" w:y="1"/>
              <w:ind w:firstLine="420"/>
              <w:rPr>
                <w:rFonts w:cs="Times New Roman"/>
                <w:sz w:val="21"/>
                <w:szCs w:val="21"/>
              </w:rPr>
            </w:pPr>
            <w:r>
              <w:rPr>
                <w:rFonts w:cs="Times New Roman"/>
                <w:sz w:val="21"/>
                <w:szCs w:val="21"/>
                <w:lang w:val="zh-TW" w:eastAsia="zh-TW"/>
              </w:rPr>
              <w:t>修正类别</w:t>
            </w:r>
          </w:p>
        </w:tc>
        <w:tc>
          <w:tcPr>
            <w:tcW w:w="2390" w:type="dxa"/>
            <w:tcBorders>
              <w:top w:val="single" w:color="auto" w:sz="4" w:space="0"/>
              <w:left w:val="single" w:color="auto" w:sz="4" w:space="0"/>
              <w:right w:val="single" w:color="auto" w:sz="4" w:space="0"/>
            </w:tcBorders>
            <w:shd w:val="clear" w:color="auto" w:fill="auto"/>
          </w:tcPr>
          <w:p>
            <w:pPr>
              <w:framePr w:w="8544" w:wrap="notBeside" w:vAnchor="text" w:hAnchor="text" w:xAlign="center" w:y="1"/>
              <w:ind w:firstLine="420"/>
              <w:rPr>
                <w:rFonts w:cs="Times New Roman"/>
                <w:sz w:val="21"/>
                <w:szCs w:val="21"/>
              </w:rPr>
            </w:pPr>
            <w:r>
              <w:rPr>
                <w:rFonts w:cs="Times New Roman"/>
                <w:sz w:val="21"/>
                <w:szCs w:val="21"/>
                <w:lang w:val="zh-TW" w:eastAsia="zh-TW"/>
              </w:rPr>
              <w:t>修正系数</w:t>
            </w:r>
          </w:p>
        </w:tc>
      </w:tr>
      <w:tr>
        <w:tblPrEx>
          <w:tblCellMar>
            <w:top w:w="0" w:type="dxa"/>
            <w:left w:w="10" w:type="dxa"/>
            <w:bottom w:w="0" w:type="dxa"/>
            <w:right w:w="10" w:type="dxa"/>
          </w:tblCellMar>
        </w:tblPrEx>
        <w:trPr>
          <w:trHeight w:val="386" w:hRule="exact"/>
          <w:jc w:val="center"/>
        </w:trPr>
        <w:tc>
          <w:tcPr>
            <w:tcW w:w="3043" w:type="dxa"/>
            <w:vMerge w:val="restart"/>
            <w:tcBorders>
              <w:top w:val="single" w:color="auto" w:sz="4" w:space="0"/>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r>
              <w:rPr>
                <w:rFonts w:cs="Times New Roman"/>
                <w:sz w:val="21"/>
                <w:szCs w:val="21"/>
                <w:lang w:val="zh-TW" w:eastAsia="zh-TW"/>
              </w:rPr>
              <w:t>坡度</w:t>
            </w:r>
          </w:p>
        </w:tc>
        <w:tc>
          <w:tcPr>
            <w:tcW w:w="3110" w:type="dxa"/>
            <w:tcBorders>
              <w:top w:val="single" w:color="auto" w:sz="4" w:space="0"/>
              <w:left w:val="single" w:color="auto" w:sz="4" w:space="0"/>
            </w:tcBorders>
            <w:shd w:val="clear" w:color="auto" w:fill="auto"/>
          </w:tcPr>
          <w:p>
            <w:pPr>
              <w:framePr w:w="8544" w:wrap="notBeside" w:vAnchor="text" w:hAnchor="text" w:xAlign="center" w:y="1"/>
              <w:ind w:firstLine="420"/>
              <w:rPr>
                <w:rFonts w:cs="Times New Roman"/>
                <w:sz w:val="21"/>
                <w:szCs w:val="21"/>
              </w:rPr>
            </w:pPr>
            <w:r>
              <w:rPr>
                <w:rFonts w:cs="Times New Roman"/>
                <w:sz w:val="21"/>
                <w:szCs w:val="21"/>
                <w:lang w:val="zh-TW" w:eastAsia="zh-TW"/>
              </w:rPr>
              <w:t>&lt;25°</w:t>
            </w:r>
          </w:p>
        </w:tc>
        <w:tc>
          <w:tcPr>
            <w:tcW w:w="2390" w:type="dxa"/>
            <w:tcBorders>
              <w:top w:val="single" w:color="auto" w:sz="4" w:space="0"/>
              <w:left w:val="single" w:color="auto" w:sz="4" w:space="0"/>
              <w:righ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rPr>
              <w:t>1.0</w:t>
            </w:r>
          </w:p>
        </w:tc>
      </w:tr>
      <w:tr>
        <w:tblPrEx>
          <w:tblCellMar>
            <w:top w:w="0" w:type="dxa"/>
            <w:left w:w="10" w:type="dxa"/>
            <w:bottom w:w="0" w:type="dxa"/>
            <w:right w:w="10" w:type="dxa"/>
          </w:tblCellMar>
        </w:tblPrEx>
        <w:trPr>
          <w:trHeight w:val="376" w:hRule="exact"/>
          <w:jc w:val="center"/>
        </w:trPr>
        <w:tc>
          <w:tcPr>
            <w:tcW w:w="3043" w:type="dxa"/>
            <w:vMerge w:val="continue"/>
            <w:tcBorders>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p>
        </w:tc>
        <w:tc>
          <w:tcPr>
            <w:tcW w:w="3110" w:type="dxa"/>
            <w:tcBorders>
              <w:top w:val="single" w:color="auto" w:sz="4" w:space="0"/>
              <w:lef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lang w:val="zh-TW" w:eastAsia="zh-TW"/>
              </w:rPr>
              <w:t>&gt;25°</w:t>
            </w:r>
          </w:p>
        </w:tc>
        <w:tc>
          <w:tcPr>
            <w:tcW w:w="2390" w:type="dxa"/>
            <w:tcBorders>
              <w:top w:val="single" w:color="auto" w:sz="4" w:space="0"/>
              <w:left w:val="single" w:color="auto" w:sz="4" w:space="0"/>
              <w:righ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rPr>
              <w:t xml:space="preserve">1.2 </w:t>
            </w:r>
            <w:r>
              <w:rPr>
                <w:rFonts w:cs="Times New Roman"/>
                <w:sz w:val="21"/>
                <w:szCs w:val="21"/>
                <w:lang w:val="zh-TW" w:eastAsia="zh-TW"/>
              </w:rPr>
              <w:t>〜</w:t>
            </w:r>
            <w:r>
              <w:rPr>
                <w:rFonts w:cs="Times New Roman"/>
                <w:sz w:val="21"/>
                <w:szCs w:val="21"/>
              </w:rPr>
              <w:t>1.5</w:t>
            </w:r>
          </w:p>
        </w:tc>
      </w:tr>
      <w:tr>
        <w:tblPrEx>
          <w:tblCellMar>
            <w:top w:w="0" w:type="dxa"/>
            <w:left w:w="10" w:type="dxa"/>
            <w:bottom w:w="0" w:type="dxa"/>
            <w:right w:w="10" w:type="dxa"/>
          </w:tblCellMar>
        </w:tblPrEx>
        <w:trPr>
          <w:trHeight w:val="409" w:hRule="exact"/>
          <w:jc w:val="center"/>
        </w:trPr>
        <w:tc>
          <w:tcPr>
            <w:tcW w:w="3043" w:type="dxa"/>
            <w:vMerge w:val="restart"/>
            <w:tcBorders>
              <w:top w:val="single" w:color="auto" w:sz="4" w:space="0"/>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r>
              <w:rPr>
                <w:rFonts w:cs="Times New Roman"/>
                <w:sz w:val="21"/>
                <w:szCs w:val="21"/>
                <w:lang w:val="zh-TW" w:eastAsia="zh-TW"/>
              </w:rPr>
              <w:t>农田类型</w:t>
            </w:r>
          </w:p>
        </w:tc>
        <w:tc>
          <w:tcPr>
            <w:tcW w:w="3110" w:type="dxa"/>
            <w:tcBorders>
              <w:top w:val="single" w:color="auto" w:sz="4" w:space="0"/>
              <w:left w:val="single" w:color="auto" w:sz="4" w:space="0"/>
            </w:tcBorders>
            <w:shd w:val="clear" w:color="auto" w:fill="auto"/>
          </w:tcPr>
          <w:p>
            <w:pPr>
              <w:framePr w:w="8544" w:wrap="notBeside" w:vAnchor="text" w:hAnchor="text" w:xAlign="center" w:y="1"/>
              <w:ind w:firstLine="420"/>
              <w:rPr>
                <w:rFonts w:cs="Times New Roman"/>
                <w:sz w:val="21"/>
                <w:szCs w:val="21"/>
              </w:rPr>
            </w:pPr>
            <w:r>
              <w:rPr>
                <w:rFonts w:cs="Times New Roman"/>
                <w:sz w:val="21"/>
                <w:szCs w:val="21"/>
                <w:lang w:val="zh-TW" w:eastAsia="zh-TW"/>
              </w:rPr>
              <w:t>旱地</w:t>
            </w:r>
          </w:p>
        </w:tc>
        <w:tc>
          <w:tcPr>
            <w:tcW w:w="2390" w:type="dxa"/>
            <w:tcBorders>
              <w:top w:val="single" w:color="auto" w:sz="4" w:space="0"/>
              <w:left w:val="single" w:color="auto" w:sz="4" w:space="0"/>
              <w:righ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rPr>
              <w:t>1.0</w:t>
            </w:r>
          </w:p>
        </w:tc>
      </w:tr>
      <w:tr>
        <w:tblPrEx>
          <w:tblCellMar>
            <w:top w:w="0" w:type="dxa"/>
            <w:left w:w="10" w:type="dxa"/>
            <w:bottom w:w="0" w:type="dxa"/>
            <w:right w:w="10" w:type="dxa"/>
          </w:tblCellMar>
        </w:tblPrEx>
        <w:trPr>
          <w:trHeight w:val="387" w:hRule="exact"/>
          <w:jc w:val="center"/>
        </w:trPr>
        <w:tc>
          <w:tcPr>
            <w:tcW w:w="3043" w:type="dxa"/>
            <w:vMerge w:val="continue"/>
            <w:tcBorders>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p>
        </w:tc>
        <w:tc>
          <w:tcPr>
            <w:tcW w:w="3110" w:type="dxa"/>
            <w:tcBorders>
              <w:top w:val="single" w:color="auto" w:sz="4" w:space="0"/>
              <w:lef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lang w:val="zh-TW" w:eastAsia="zh-TW"/>
              </w:rPr>
              <w:t>水田</w:t>
            </w:r>
          </w:p>
        </w:tc>
        <w:tc>
          <w:tcPr>
            <w:tcW w:w="2390" w:type="dxa"/>
            <w:tcBorders>
              <w:top w:val="single" w:color="auto" w:sz="4" w:space="0"/>
              <w:left w:val="single" w:color="auto" w:sz="4" w:space="0"/>
              <w:righ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rPr>
              <w:t>1.5</w:t>
            </w:r>
          </w:p>
        </w:tc>
      </w:tr>
      <w:tr>
        <w:tblPrEx>
          <w:tblCellMar>
            <w:top w:w="0" w:type="dxa"/>
            <w:left w:w="10" w:type="dxa"/>
            <w:bottom w:w="0" w:type="dxa"/>
            <w:right w:w="10" w:type="dxa"/>
          </w:tblCellMar>
        </w:tblPrEx>
        <w:trPr>
          <w:trHeight w:val="377" w:hRule="exact"/>
          <w:jc w:val="center"/>
        </w:trPr>
        <w:tc>
          <w:tcPr>
            <w:tcW w:w="3043" w:type="dxa"/>
            <w:vMerge w:val="continue"/>
            <w:tcBorders>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p>
        </w:tc>
        <w:tc>
          <w:tcPr>
            <w:tcW w:w="3110" w:type="dxa"/>
            <w:tcBorders>
              <w:top w:val="single" w:color="auto" w:sz="4" w:space="0"/>
              <w:lef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lang w:val="zh-TW" w:eastAsia="zh-TW"/>
              </w:rPr>
              <w:t>其它</w:t>
            </w:r>
          </w:p>
        </w:tc>
        <w:tc>
          <w:tcPr>
            <w:tcW w:w="2390" w:type="dxa"/>
            <w:tcBorders>
              <w:top w:val="single" w:color="auto" w:sz="4" w:space="0"/>
              <w:left w:val="single" w:color="auto" w:sz="4" w:space="0"/>
              <w:righ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rPr>
              <w:t>0.7</w:t>
            </w:r>
          </w:p>
        </w:tc>
      </w:tr>
      <w:tr>
        <w:tblPrEx>
          <w:tblCellMar>
            <w:top w:w="0" w:type="dxa"/>
            <w:left w:w="10" w:type="dxa"/>
            <w:bottom w:w="0" w:type="dxa"/>
            <w:right w:w="10" w:type="dxa"/>
          </w:tblCellMar>
        </w:tblPrEx>
        <w:trPr>
          <w:trHeight w:val="405" w:hRule="exact"/>
          <w:jc w:val="center"/>
        </w:trPr>
        <w:tc>
          <w:tcPr>
            <w:tcW w:w="3043" w:type="dxa"/>
            <w:vMerge w:val="restart"/>
            <w:tcBorders>
              <w:top w:val="single" w:color="auto" w:sz="4" w:space="0"/>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r>
              <w:rPr>
                <w:rFonts w:cs="Times New Roman"/>
                <w:sz w:val="21"/>
                <w:szCs w:val="21"/>
                <w:lang w:val="zh-TW" w:eastAsia="zh-TW"/>
              </w:rPr>
              <w:t>土壤类型</w:t>
            </w:r>
          </w:p>
        </w:tc>
        <w:tc>
          <w:tcPr>
            <w:tcW w:w="3110" w:type="dxa"/>
            <w:tcBorders>
              <w:top w:val="single" w:color="auto" w:sz="4" w:space="0"/>
              <w:left w:val="single" w:color="auto" w:sz="4" w:space="0"/>
            </w:tcBorders>
            <w:shd w:val="clear" w:color="auto" w:fill="auto"/>
          </w:tcPr>
          <w:p>
            <w:pPr>
              <w:framePr w:w="8544" w:wrap="notBeside" w:vAnchor="text" w:hAnchor="text" w:xAlign="center" w:y="1"/>
              <w:ind w:firstLine="420"/>
              <w:rPr>
                <w:rFonts w:cs="Times New Roman"/>
                <w:sz w:val="21"/>
                <w:szCs w:val="21"/>
              </w:rPr>
            </w:pPr>
            <w:r>
              <w:rPr>
                <w:rFonts w:cs="Times New Roman"/>
                <w:sz w:val="21"/>
                <w:szCs w:val="21"/>
                <w:lang w:val="zh-TW" w:eastAsia="zh-TW"/>
              </w:rPr>
              <w:t>砂土</w:t>
            </w:r>
          </w:p>
        </w:tc>
        <w:tc>
          <w:tcPr>
            <w:tcW w:w="2390" w:type="dxa"/>
            <w:tcBorders>
              <w:top w:val="single" w:color="auto" w:sz="4" w:space="0"/>
              <w:left w:val="single" w:color="auto" w:sz="4" w:space="0"/>
              <w:righ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rPr>
              <w:t xml:space="preserve">1.0 </w:t>
            </w:r>
            <w:r>
              <w:rPr>
                <w:rFonts w:cs="Times New Roman"/>
                <w:sz w:val="21"/>
                <w:szCs w:val="21"/>
                <w:lang w:val="zh-TW" w:eastAsia="zh-TW"/>
              </w:rPr>
              <w:t>〜</w:t>
            </w:r>
            <w:r>
              <w:rPr>
                <w:rFonts w:cs="Times New Roman"/>
                <w:sz w:val="21"/>
                <w:szCs w:val="21"/>
              </w:rPr>
              <w:t>0.8</w:t>
            </w:r>
          </w:p>
        </w:tc>
      </w:tr>
      <w:tr>
        <w:tblPrEx>
          <w:tblCellMar>
            <w:top w:w="0" w:type="dxa"/>
            <w:left w:w="10" w:type="dxa"/>
            <w:bottom w:w="0" w:type="dxa"/>
            <w:right w:w="10" w:type="dxa"/>
          </w:tblCellMar>
        </w:tblPrEx>
        <w:trPr>
          <w:trHeight w:val="413" w:hRule="exact"/>
          <w:jc w:val="center"/>
        </w:trPr>
        <w:tc>
          <w:tcPr>
            <w:tcW w:w="3043" w:type="dxa"/>
            <w:vMerge w:val="continue"/>
            <w:tcBorders>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p>
        </w:tc>
        <w:tc>
          <w:tcPr>
            <w:tcW w:w="3110" w:type="dxa"/>
            <w:tcBorders>
              <w:top w:val="single" w:color="auto" w:sz="4" w:space="0"/>
              <w:left w:val="single" w:color="auto" w:sz="4" w:space="0"/>
            </w:tcBorders>
            <w:shd w:val="clear" w:color="auto" w:fill="auto"/>
          </w:tcPr>
          <w:p>
            <w:pPr>
              <w:framePr w:w="8544" w:wrap="notBeside" w:vAnchor="text" w:hAnchor="text" w:xAlign="center" w:y="1"/>
              <w:ind w:firstLine="420"/>
              <w:rPr>
                <w:rFonts w:cs="Times New Roman"/>
                <w:sz w:val="21"/>
                <w:szCs w:val="21"/>
              </w:rPr>
            </w:pPr>
            <w:r>
              <w:rPr>
                <w:rFonts w:cs="Times New Roman"/>
                <w:sz w:val="21"/>
                <w:szCs w:val="21"/>
                <w:lang w:val="zh-TW" w:eastAsia="zh-TW"/>
              </w:rPr>
              <w:t>壤土</w:t>
            </w:r>
          </w:p>
        </w:tc>
        <w:tc>
          <w:tcPr>
            <w:tcW w:w="2390" w:type="dxa"/>
            <w:tcBorders>
              <w:top w:val="single" w:color="auto" w:sz="4" w:space="0"/>
              <w:left w:val="single" w:color="auto" w:sz="4" w:space="0"/>
              <w:righ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rPr>
              <w:t>1.0</w:t>
            </w:r>
          </w:p>
        </w:tc>
      </w:tr>
      <w:tr>
        <w:tblPrEx>
          <w:tblCellMar>
            <w:top w:w="0" w:type="dxa"/>
            <w:left w:w="10" w:type="dxa"/>
            <w:bottom w:w="0" w:type="dxa"/>
            <w:right w:w="10" w:type="dxa"/>
          </w:tblCellMar>
        </w:tblPrEx>
        <w:trPr>
          <w:trHeight w:val="362" w:hRule="exact"/>
          <w:jc w:val="center"/>
        </w:trPr>
        <w:tc>
          <w:tcPr>
            <w:tcW w:w="3043" w:type="dxa"/>
            <w:vMerge w:val="continue"/>
            <w:tcBorders>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p>
        </w:tc>
        <w:tc>
          <w:tcPr>
            <w:tcW w:w="3110" w:type="dxa"/>
            <w:tcBorders>
              <w:top w:val="single" w:color="auto" w:sz="4" w:space="0"/>
              <w:left w:val="single" w:color="auto" w:sz="4" w:space="0"/>
            </w:tcBorders>
            <w:shd w:val="clear" w:color="auto" w:fill="auto"/>
          </w:tcPr>
          <w:p>
            <w:pPr>
              <w:framePr w:w="8544" w:wrap="notBeside" w:vAnchor="text" w:hAnchor="text" w:xAlign="center" w:y="1"/>
              <w:ind w:firstLine="420"/>
              <w:rPr>
                <w:rFonts w:cs="Times New Roman"/>
                <w:sz w:val="21"/>
                <w:szCs w:val="21"/>
              </w:rPr>
            </w:pPr>
            <w:r>
              <w:rPr>
                <w:rFonts w:cs="Times New Roman"/>
                <w:sz w:val="21"/>
                <w:szCs w:val="21"/>
                <w:lang w:val="zh-TW" w:eastAsia="zh-TW"/>
              </w:rPr>
              <w:t>粘土</w:t>
            </w:r>
          </w:p>
        </w:tc>
        <w:tc>
          <w:tcPr>
            <w:tcW w:w="2390" w:type="dxa"/>
            <w:tcBorders>
              <w:top w:val="single" w:color="auto" w:sz="4" w:space="0"/>
              <w:left w:val="single" w:color="auto" w:sz="4" w:space="0"/>
              <w:righ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rPr>
              <w:t xml:space="preserve">0.8 </w:t>
            </w:r>
            <w:r>
              <w:rPr>
                <w:rFonts w:cs="Times New Roman"/>
                <w:sz w:val="21"/>
                <w:szCs w:val="21"/>
                <w:lang w:val="zh-TW" w:eastAsia="zh-TW"/>
              </w:rPr>
              <w:t>〜</w:t>
            </w:r>
            <w:r>
              <w:rPr>
                <w:rFonts w:cs="Times New Roman"/>
                <w:sz w:val="21"/>
                <w:szCs w:val="21"/>
              </w:rPr>
              <w:t>0.6</w:t>
            </w:r>
          </w:p>
        </w:tc>
      </w:tr>
      <w:tr>
        <w:tblPrEx>
          <w:tblCellMar>
            <w:top w:w="0" w:type="dxa"/>
            <w:left w:w="10" w:type="dxa"/>
            <w:bottom w:w="0" w:type="dxa"/>
            <w:right w:w="10" w:type="dxa"/>
          </w:tblCellMar>
        </w:tblPrEx>
        <w:trPr>
          <w:trHeight w:val="388" w:hRule="exact"/>
          <w:jc w:val="center"/>
        </w:trPr>
        <w:tc>
          <w:tcPr>
            <w:tcW w:w="3043" w:type="dxa"/>
            <w:vMerge w:val="restart"/>
            <w:tcBorders>
              <w:top w:val="single" w:color="auto" w:sz="4" w:space="0"/>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r>
              <w:rPr>
                <w:rFonts w:cs="Times New Roman"/>
                <w:sz w:val="21"/>
                <w:szCs w:val="21"/>
                <w:lang w:val="zh-TW" w:eastAsia="zh-TW"/>
              </w:rPr>
              <w:t>化肥施用量</w:t>
            </w:r>
          </w:p>
        </w:tc>
        <w:tc>
          <w:tcPr>
            <w:tcW w:w="3110" w:type="dxa"/>
            <w:tcBorders>
              <w:top w:val="single" w:color="auto" w:sz="4" w:space="0"/>
              <w:lef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rPr>
              <w:t>&lt;25kg</w:t>
            </w:r>
          </w:p>
        </w:tc>
        <w:tc>
          <w:tcPr>
            <w:tcW w:w="2390" w:type="dxa"/>
            <w:tcBorders>
              <w:top w:val="single" w:color="auto" w:sz="4" w:space="0"/>
              <w:left w:val="single" w:color="auto" w:sz="4" w:space="0"/>
              <w:righ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rPr>
              <w:t xml:space="preserve">0.8 </w:t>
            </w:r>
            <w:r>
              <w:rPr>
                <w:rFonts w:cs="Times New Roman"/>
                <w:sz w:val="21"/>
                <w:szCs w:val="21"/>
                <w:lang w:val="zh-TW" w:eastAsia="zh-TW"/>
              </w:rPr>
              <w:t>〜</w:t>
            </w:r>
            <w:r>
              <w:rPr>
                <w:rFonts w:cs="Times New Roman"/>
                <w:sz w:val="21"/>
                <w:szCs w:val="21"/>
              </w:rPr>
              <w:t>1.0</w:t>
            </w:r>
          </w:p>
        </w:tc>
      </w:tr>
      <w:tr>
        <w:tblPrEx>
          <w:tblCellMar>
            <w:top w:w="0" w:type="dxa"/>
            <w:left w:w="10" w:type="dxa"/>
            <w:bottom w:w="0" w:type="dxa"/>
            <w:right w:w="10" w:type="dxa"/>
          </w:tblCellMar>
        </w:tblPrEx>
        <w:trPr>
          <w:trHeight w:val="382" w:hRule="exact"/>
          <w:jc w:val="center"/>
        </w:trPr>
        <w:tc>
          <w:tcPr>
            <w:tcW w:w="3043" w:type="dxa"/>
            <w:vMerge w:val="continue"/>
            <w:tcBorders>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p>
        </w:tc>
        <w:tc>
          <w:tcPr>
            <w:tcW w:w="3110" w:type="dxa"/>
            <w:tcBorders>
              <w:top w:val="single" w:color="auto" w:sz="4" w:space="0"/>
              <w:lef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lang w:val="zh-TW" w:eastAsia="zh-TW"/>
              </w:rPr>
              <w:t>25〜</w:t>
            </w:r>
            <w:r>
              <w:rPr>
                <w:rFonts w:cs="Times New Roman"/>
                <w:sz w:val="21"/>
                <w:szCs w:val="21"/>
              </w:rPr>
              <w:t>35kg</w:t>
            </w:r>
          </w:p>
        </w:tc>
        <w:tc>
          <w:tcPr>
            <w:tcW w:w="2390" w:type="dxa"/>
            <w:tcBorders>
              <w:top w:val="single" w:color="auto" w:sz="4" w:space="0"/>
              <w:left w:val="single" w:color="auto" w:sz="4" w:space="0"/>
              <w:righ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rPr>
              <w:t xml:space="preserve">1.0 </w:t>
            </w:r>
            <w:r>
              <w:rPr>
                <w:rFonts w:cs="Times New Roman"/>
                <w:sz w:val="21"/>
                <w:szCs w:val="21"/>
                <w:lang w:val="zh-TW" w:eastAsia="zh-TW"/>
              </w:rPr>
              <w:t>〜</w:t>
            </w:r>
            <w:r>
              <w:rPr>
                <w:rFonts w:cs="Times New Roman"/>
                <w:sz w:val="21"/>
                <w:szCs w:val="21"/>
              </w:rPr>
              <w:t>1.2</w:t>
            </w:r>
          </w:p>
        </w:tc>
      </w:tr>
      <w:tr>
        <w:tblPrEx>
          <w:tblCellMar>
            <w:top w:w="0" w:type="dxa"/>
            <w:left w:w="10" w:type="dxa"/>
            <w:bottom w:w="0" w:type="dxa"/>
            <w:right w:w="10" w:type="dxa"/>
          </w:tblCellMar>
        </w:tblPrEx>
        <w:trPr>
          <w:trHeight w:val="419" w:hRule="exact"/>
          <w:jc w:val="center"/>
        </w:trPr>
        <w:tc>
          <w:tcPr>
            <w:tcW w:w="3043" w:type="dxa"/>
            <w:vMerge w:val="continue"/>
            <w:tcBorders>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p>
        </w:tc>
        <w:tc>
          <w:tcPr>
            <w:tcW w:w="3110" w:type="dxa"/>
            <w:tcBorders>
              <w:top w:val="single" w:color="auto" w:sz="4" w:space="0"/>
              <w:lef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rPr>
              <w:t>&gt;35kg</w:t>
            </w:r>
          </w:p>
        </w:tc>
        <w:tc>
          <w:tcPr>
            <w:tcW w:w="2390" w:type="dxa"/>
            <w:tcBorders>
              <w:top w:val="single" w:color="auto" w:sz="4" w:space="0"/>
              <w:left w:val="single" w:color="auto" w:sz="4" w:space="0"/>
              <w:righ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rPr>
              <w:t xml:space="preserve">1.2 </w:t>
            </w:r>
            <w:r>
              <w:rPr>
                <w:rFonts w:cs="Times New Roman"/>
                <w:sz w:val="21"/>
                <w:szCs w:val="21"/>
                <w:lang w:val="zh-TW" w:eastAsia="zh-TW"/>
              </w:rPr>
              <w:t>〜</w:t>
            </w:r>
            <w:r>
              <w:rPr>
                <w:rFonts w:cs="Times New Roman"/>
                <w:sz w:val="21"/>
                <w:szCs w:val="21"/>
              </w:rPr>
              <w:t>1.5</w:t>
            </w:r>
          </w:p>
        </w:tc>
      </w:tr>
      <w:tr>
        <w:tblPrEx>
          <w:tblCellMar>
            <w:top w:w="0" w:type="dxa"/>
            <w:left w:w="10" w:type="dxa"/>
            <w:bottom w:w="0" w:type="dxa"/>
            <w:right w:w="10" w:type="dxa"/>
          </w:tblCellMar>
        </w:tblPrEx>
        <w:trPr>
          <w:trHeight w:val="400" w:hRule="exact"/>
          <w:jc w:val="center"/>
        </w:trPr>
        <w:tc>
          <w:tcPr>
            <w:tcW w:w="3043" w:type="dxa"/>
            <w:vMerge w:val="restart"/>
            <w:tcBorders>
              <w:top w:val="single" w:color="auto" w:sz="4" w:space="0"/>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r>
              <w:rPr>
                <w:rFonts w:cs="Times New Roman"/>
                <w:sz w:val="21"/>
                <w:szCs w:val="21"/>
                <w:lang w:val="zh-TW" w:eastAsia="zh-TW"/>
              </w:rPr>
              <w:t>降水量</w:t>
            </w:r>
          </w:p>
        </w:tc>
        <w:tc>
          <w:tcPr>
            <w:tcW w:w="3110" w:type="dxa"/>
            <w:tcBorders>
              <w:top w:val="single" w:color="auto" w:sz="4" w:space="0"/>
              <w:lef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rPr>
              <w:t>&lt;400mm</w:t>
            </w:r>
          </w:p>
        </w:tc>
        <w:tc>
          <w:tcPr>
            <w:tcW w:w="2390" w:type="dxa"/>
            <w:tcBorders>
              <w:top w:val="single" w:color="auto" w:sz="4" w:space="0"/>
              <w:left w:val="single" w:color="auto" w:sz="4" w:space="0"/>
              <w:righ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rPr>
              <w:t>0.6</w:t>
            </w:r>
            <w:r>
              <w:rPr>
                <w:rFonts w:cs="Times New Roman"/>
                <w:sz w:val="21"/>
                <w:szCs w:val="21"/>
                <w:lang w:val="zh-TW" w:eastAsia="zh-TW"/>
              </w:rPr>
              <w:t>〜</w:t>
            </w:r>
            <w:r>
              <w:rPr>
                <w:rFonts w:cs="Times New Roman"/>
                <w:sz w:val="21"/>
                <w:szCs w:val="21"/>
              </w:rPr>
              <w:t>1.0</w:t>
            </w:r>
          </w:p>
        </w:tc>
      </w:tr>
      <w:tr>
        <w:tblPrEx>
          <w:tblCellMar>
            <w:top w:w="0" w:type="dxa"/>
            <w:left w:w="10" w:type="dxa"/>
            <w:bottom w:w="0" w:type="dxa"/>
            <w:right w:w="10" w:type="dxa"/>
          </w:tblCellMar>
        </w:tblPrEx>
        <w:trPr>
          <w:trHeight w:val="419" w:hRule="exact"/>
          <w:jc w:val="center"/>
        </w:trPr>
        <w:tc>
          <w:tcPr>
            <w:tcW w:w="3043" w:type="dxa"/>
            <w:vMerge w:val="continue"/>
            <w:tcBorders>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p>
        </w:tc>
        <w:tc>
          <w:tcPr>
            <w:tcW w:w="3110" w:type="dxa"/>
            <w:tcBorders>
              <w:top w:val="single" w:color="auto" w:sz="4" w:space="0"/>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r>
              <w:rPr>
                <w:rFonts w:cs="Times New Roman"/>
                <w:sz w:val="21"/>
                <w:szCs w:val="21"/>
                <w:lang w:val="zh-TW" w:eastAsia="zh-TW"/>
              </w:rPr>
              <w:t>400〜</w:t>
            </w:r>
            <w:r>
              <w:rPr>
                <w:rFonts w:cs="Times New Roman"/>
                <w:sz w:val="21"/>
                <w:szCs w:val="21"/>
              </w:rPr>
              <w:t>800mm</w:t>
            </w:r>
          </w:p>
        </w:tc>
        <w:tc>
          <w:tcPr>
            <w:tcW w:w="2390" w:type="dxa"/>
            <w:tcBorders>
              <w:top w:val="single" w:color="auto" w:sz="4" w:space="0"/>
              <w:left w:val="single" w:color="auto" w:sz="4" w:space="0"/>
              <w:right w:val="single" w:color="auto" w:sz="4" w:space="0"/>
            </w:tcBorders>
            <w:shd w:val="clear" w:color="auto" w:fill="auto"/>
            <w:vAlign w:val="center"/>
          </w:tcPr>
          <w:p>
            <w:pPr>
              <w:framePr w:w="8544" w:wrap="notBeside" w:vAnchor="text" w:hAnchor="text" w:xAlign="center" w:y="1"/>
              <w:ind w:firstLine="420"/>
              <w:rPr>
                <w:rFonts w:cs="Times New Roman"/>
                <w:sz w:val="21"/>
                <w:szCs w:val="21"/>
              </w:rPr>
            </w:pPr>
            <w:r>
              <w:rPr>
                <w:rFonts w:cs="Times New Roman"/>
                <w:sz w:val="21"/>
                <w:szCs w:val="21"/>
              </w:rPr>
              <w:t>1.0</w:t>
            </w:r>
            <w:r>
              <w:rPr>
                <w:rFonts w:cs="Times New Roman"/>
                <w:sz w:val="21"/>
                <w:szCs w:val="21"/>
                <w:lang w:val="zh-TW" w:eastAsia="zh-TW"/>
              </w:rPr>
              <w:t>〜</w:t>
            </w:r>
            <w:r>
              <w:rPr>
                <w:rFonts w:cs="Times New Roman"/>
                <w:sz w:val="21"/>
                <w:szCs w:val="21"/>
              </w:rPr>
              <w:t>1.2</w:t>
            </w:r>
          </w:p>
        </w:tc>
      </w:tr>
      <w:tr>
        <w:tblPrEx>
          <w:tblCellMar>
            <w:top w:w="0" w:type="dxa"/>
            <w:left w:w="10" w:type="dxa"/>
            <w:bottom w:w="0" w:type="dxa"/>
            <w:right w:w="10" w:type="dxa"/>
          </w:tblCellMar>
        </w:tblPrEx>
        <w:trPr>
          <w:trHeight w:val="426" w:hRule="exact"/>
          <w:jc w:val="center"/>
        </w:trPr>
        <w:tc>
          <w:tcPr>
            <w:tcW w:w="3043" w:type="dxa"/>
            <w:vMerge w:val="continue"/>
            <w:tcBorders>
              <w:left w:val="single" w:color="auto" w:sz="4" w:space="0"/>
              <w:bottom w:val="single" w:color="auto" w:sz="4" w:space="0"/>
            </w:tcBorders>
            <w:shd w:val="clear" w:color="auto" w:fill="auto"/>
            <w:vAlign w:val="center"/>
          </w:tcPr>
          <w:p>
            <w:pPr>
              <w:framePr w:w="8544" w:wrap="notBeside" w:vAnchor="text" w:hAnchor="text" w:xAlign="center" w:y="1"/>
              <w:ind w:firstLine="420"/>
              <w:rPr>
                <w:rFonts w:cs="Times New Roman"/>
                <w:sz w:val="21"/>
                <w:szCs w:val="21"/>
              </w:rPr>
            </w:pPr>
          </w:p>
        </w:tc>
        <w:tc>
          <w:tcPr>
            <w:tcW w:w="3110" w:type="dxa"/>
            <w:tcBorders>
              <w:top w:val="single" w:color="auto" w:sz="4" w:space="0"/>
              <w:left w:val="single" w:color="auto" w:sz="4" w:space="0"/>
              <w:bottom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rPr>
              <w:t>&gt;800mm</w:t>
            </w:r>
          </w:p>
        </w:tc>
        <w:tc>
          <w:tcPr>
            <w:tcW w:w="2390" w:type="dxa"/>
            <w:tcBorders>
              <w:top w:val="single" w:color="auto" w:sz="4" w:space="0"/>
              <w:left w:val="single" w:color="auto" w:sz="4" w:space="0"/>
              <w:bottom w:val="single" w:color="auto" w:sz="4" w:space="0"/>
              <w:right w:val="single" w:color="auto" w:sz="4" w:space="0"/>
            </w:tcBorders>
            <w:shd w:val="clear" w:color="auto" w:fill="auto"/>
            <w:vAlign w:val="bottom"/>
          </w:tcPr>
          <w:p>
            <w:pPr>
              <w:framePr w:w="8544" w:wrap="notBeside" w:vAnchor="text" w:hAnchor="text" w:xAlign="center" w:y="1"/>
              <w:ind w:firstLine="420"/>
              <w:rPr>
                <w:rFonts w:cs="Times New Roman"/>
                <w:sz w:val="21"/>
                <w:szCs w:val="21"/>
              </w:rPr>
            </w:pPr>
            <w:r>
              <w:rPr>
                <w:rFonts w:cs="Times New Roman"/>
                <w:sz w:val="21"/>
                <w:szCs w:val="21"/>
              </w:rPr>
              <w:t>1.2</w:t>
            </w:r>
            <w:r>
              <w:rPr>
                <w:rFonts w:cs="Times New Roman"/>
                <w:sz w:val="21"/>
                <w:szCs w:val="21"/>
                <w:lang w:val="zh-TW" w:eastAsia="zh-TW"/>
              </w:rPr>
              <w:t>〜</w:t>
            </w:r>
            <w:r>
              <w:rPr>
                <w:rFonts w:cs="Times New Roman"/>
                <w:sz w:val="21"/>
                <w:szCs w:val="21"/>
              </w:rPr>
              <w:t>1.5</w:t>
            </w:r>
          </w:p>
        </w:tc>
      </w:tr>
    </w:tbl>
    <w:p>
      <w:pPr>
        <w:ind w:firstLine="480"/>
        <w:rPr>
          <w:rFonts w:cs="Times New Roman"/>
          <w:szCs w:val="24"/>
        </w:rPr>
      </w:pPr>
      <w:r>
        <w:rPr>
          <w:rFonts w:cs="Times New Roman"/>
          <w:szCs w:val="24"/>
          <w:lang w:val="zh-TW" w:eastAsia="zh-TW"/>
        </w:rPr>
        <w:t>由于</w:t>
      </w:r>
      <w:r>
        <w:t>大竹林</w:t>
      </w:r>
      <w:r>
        <w:rPr>
          <w:rFonts w:cs="Times New Roman"/>
          <w:lang w:val="zh-CN"/>
        </w:rPr>
        <w:t>水库</w:t>
      </w:r>
      <w:r>
        <w:rPr>
          <w:rFonts w:cs="Times New Roman"/>
          <w:szCs w:val="24"/>
          <w:lang w:val="zh-TW" w:eastAsia="zh-TW"/>
        </w:rPr>
        <w:t>处于高寒山区，其农田属于非标准农田，根据流域农田的情况，</w:t>
      </w:r>
      <w:r>
        <w:rPr>
          <w:rFonts w:cs="Times New Roman"/>
          <w:szCs w:val="24"/>
        </w:rPr>
        <w:t>COD</w:t>
      </w:r>
      <w:r>
        <w:rPr>
          <w:rFonts w:cs="Times New Roman"/>
          <w:szCs w:val="24"/>
          <w:lang w:val="zh-TW" w:eastAsia="zh-TW"/>
        </w:rPr>
        <w:t xml:space="preserve">源强系数为10 </w:t>
      </w:r>
      <w:r>
        <w:rPr>
          <w:rFonts w:cs="Times New Roman"/>
          <w:szCs w:val="24"/>
        </w:rPr>
        <w:t>kg/</w:t>
      </w:r>
      <w:r>
        <w:rPr>
          <w:rFonts w:cs="Times New Roman"/>
          <w:szCs w:val="24"/>
          <w:lang w:val="zh-TW" w:eastAsia="zh-TW"/>
        </w:rPr>
        <w:t xml:space="preserve">亩•年，氨氮源强系数为2 </w:t>
      </w:r>
      <w:r>
        <w:rPr>
          <w:rFonts w:cs="Times New Roman"/>
          <w:szCs w:val="24"/>
        </w:rPr>
        <w:t>kg/</w:t>
      </w:r>
      <w:r>
        <w:rPr>
          <w:rFonts w:cs="Times New Roman"/>
          <w:szCs w:val="24"/>
          <w:lang w:val="zh-TW" w:eastAsia="zh-TW"/>
        </w:rPr>
        <w:t>亩•年，修正系数取1.3， 农田径流系数0.3</w:t>
      </w:r>
      <w:r>
        <w:rPr>
          <w:rFonts w:hint="eastAsia" w:cs="Times New Roman"/>
          <w:szCs w:val="24"/>
          <w:lang w:val="zh-TW"/>
        </w:rPr>
        <w:t>，</w:t>
      </w:r>
      <w:r>
        <w:rPr>
          <w:rFonts w:cs="Times New Roman"/>
          <w:szCs w:val="24"/>
          <w:lang w:val="zh-TW" w:eastAsia="zh-TW"/>
        </w:rPr>
        <w:t>计算得流域农田径流</w:t>
      </w:r>
      <w:r>
        <w:rPr>
          <w:rFonts w:cs="Times New Roman"/>
          <w:szCs w:val="24"/>
        </w:rPr>
        <w:t>COD</w:t>
      </w:r>
      <w:r>
        <w:rPr>
          <w:rFonts w:cs="Times New Roman"/>
          <w:szCs w:val="24"/>
          <w:lang w:val="zh-TW" w:eastAsia="zh-TW"/>
        </w:rPr>
        <w:t>排放量、氨氮排放量。根据《第一次全国污染源普查农业污染源肥料流失系数手册》，结合</w:t>
      </w:r>
      <w:r>
        <w:rPr>
          <w:rFonts w:hint="eastAsia" w:cs="Times New Roman"/>
          <w:szCs w:val="24"/>
        </w:rPr>
        <w:t>富源县</w:t>
      </w:r>
      <w:r>
        <w:rPr>
          <w:rFonts w:cs="Times New Roman"/>
          <w:szCs w:val="24"/>
          <w:lang w:val="zh-TW" w:eastAsia="zh-TW"/>
        </w:rPr>
        <w:t>农村集中式饮用水源地农田的特征，选取总氮流失量系数为</w:t>
      </w:r>
      <w:r>
        <w:rPr>
          <w:rFonts w:cs="Times New Roman"/>
          <w:szCs w:val="24"/>
        </w:rPr>
        <w:t>0.75</w:t>
      </w:r>
      <w:r>
        <w:rPr>
          <w:rFonts w:hint="eastAsia" w:cs="Times New Roman"/>
          <w:szCs w:val="24"/>
        </w:rPr>
        <w:t>，</w:t>
      </w:r>
      <w:r>
        <w:rPr>
          <w:rFonts w:cs="Times New Roman"/>
          <w:szCs w:val="24"/>
          <w:lang w:val="zh-TW" w:eastAsia="zh-TW"/>
        </w:rPr>
        <w:t>总磷流失量系数为0.072。</w:t>
      </w:r>
      <w:r>
        <w:t>大竹林</w:t>
      </w:r>
      <w:r>
        <w:rPr>
          <w:rFonts w:cs="Times New Roman"/>
          <w:lang w:val="zh-CN"/>
        </w:rPr>
        <w:t>水库</w:t>
      </w:r>
      <w:r>
        <w:rPr>
          <w:rFonts w:cs="Times New Roman"/>
          <w:szCs w:val="24"/>
          <w:lang w:val="zh-TW" w:eastAsia="zh-TW"/>
        </w:rPr>
        <w:t>饮用水源地农田径流污染物排放量为</w:t>
      </w:r>
      <w:r>
        <w:rPr>
          <w:rFonts w:cs="Times New Roman"/>
          <w:szCs w:val="24"/>
        </w:rPr>
        <w:t xml:space="preserve">TN </w:t>
      </w:r>
      <w:r>
        <w:rPr>
          <w:rFonts w:hint="eastAsia" w:cs="Times New Roman"/>
          <w:szCs w:val="24"/>
        </w:rPr>
        <w:t>192.16 kg</w:t>
      </w:r>
      <w:r>
        <w:rPr>
          <w:rFonts w:cs="Times New Roman"/>
          <w:szCs w:val="24"/>
        </w:rPr>
        <w:t xml:space="preserve">/a, TP </w:t>
      </w:r>
      <w:r>
        <w:rPr>
          <w:rFonts w:hint="eastAsia" w:cs="Times New Roman"/>
          <w:szCs w:val="24"/>
        </w:rPr>
        <w:t>76.38</w:t>
      </w:r>
      <w:r>
        <w:rPr>
          <w:rFonts w:cs="Times New Roman"/>
          <w:szCs w:val="24"/>
        </w:rPr>
        <w:t xml:space="preserve"> </w:t>
      </w:r>
      <w:r>
        <w:rPr>
          <w:rFonts w:hint="eastAsia" w:cs="Times New Roman"/>
          <w:szCs w:val="24"/>
        </w:rPr>
        <w:t>kg</w:t>
      </w:r>
      <w:r>
        <w:rPr>
          <w:rFonts w:cs="Times New Roman"/>
          <w:szCs w:val="24"/>
        </w:rPr>
        <w:t xml:space="preserve">/a, </w:t>
      </w:r>
      <w:r>
        <w:rPr>
          <w:rFonts w:cs="Times New Roman"/>
          <w:szCs w:val="24"/>
          <w:lang w:val="zh-TW" w:eastAsia="zh-TW"/>
        </w:rPr>
        <w:t>氨氮</w:t>
      </w:r>
      <w:r>
        <w:rPr>
          <w:rFonts w:hint="eastAsia" w:cs="Times New Roman"/>
          <w:szCs w:val="24"/>
        </w:rPr>
        <w:t>38 kg</w:t>
      </w:r>
      <w:r>
        <w:rPr>
          <w:rFonts w:cs="Times New Roman"/>
          <w:szCs w:val="24"/>
        </w:rPr>
        <w:t>/a</w:t>
      </w:r>
      <w:r>
        <w:rPr>
          <w:rFonts w:cs="Times New Roman"/>
          <w:szCs w:val="24"/>
          <w:lang w:val="zh-TW" w:eastAsia="zh-TW"/>
        </w:rPr>
        <w:t>。</w:t>
      </w:r>
    </w:p>
    <w:p>
      <w:pPr>
        <w:ind w:firstLine="480"/>
        <w:rPr>
          <w:rFonts w:cs="Times New Roman"/>
          <w:szCs w:val="24"/>
          <w:lang w:val="zh-TW" w:eastAsia="zh-TW"/>
        </w:rPr>
      </w:pPr>
      <w:r>
        <w:rPr>
          <w:rFonts w:cs="Times New Roman"/>
          <w:szCs w:val="24"/>
          <w:lang w:val="zh-TW" w:eastAsia="zh-TW"/>
        </w:rPr>
        <w:t>根据云南省污染源普查资料，</w:t>
      </w:r>
      <w:r>
        <w:t>大竹林</w:t>
      </w:r>
      <w:r>
        <w:rPr>
          <w:rFonts w:cs="Times New Roman"/>
          <w:lang w:val="zh-CN"/>
        </w:rPr>
        <w:t>水库</w:t>
      </w:r>
      <w:r>
        <w:rPr>
          <w:rFonts w:cs="Times New Roman"/>
          <w:szCs w:val="24"/>
          <w:lang w:val="zh-TW" w:eastAsia="zh-TW"/>
        </w:rPr>
        <w:t>饮水源径流区农田固体废物污染负荷的计算参数见表</w:t>
      </w:r>
      <w:r>
        <w:rPr>
          <w:rFonts w:hint="eastAsia" w:cs="Times New Roman"/>
          <w:szCs w:val="24"/>
        </w:rPr>
        <w:t>3-3</w:t>
      </w:r>
      <w:r>
        <w:rPr>
          <w:rFonts w:cs="Times New Roman"/>
          <w:szCs w:val="24"/>
          <w:lang w:val="zh-TW" w:eastAsia="zh-TW"/>
        </w:rPr>
        <w:t>。</w:t>
      </w:r>
    </w:p>
    <w:p>
      <w:pPr>
        <w:ind w:firstLine="482"/>
        <w:jc w:val="center"/>
        <w:rPr>
          <w:rFonts w:cs="Times New Roman"/>
          <w:b/>
          <w:bCs/>
          <w:szCs w:val="24"/>
        </w:rPr>
      </w:pPr>
      <w:r>
        <w:rPr>
          <w:rFonts w:cs="Times New Roman"/>
          <w:b/>
          <w:bCs/>
          <w:szCs w:val="24"/>
          <w:lang w:val="zh-TW" w:eastAsia="zh-TW"/>
        </w:rPr>
        <w:t>表</w:t>
      </w:r>
      <w:r>
        <w:rPr>
          <w:rFonts w:hint="eastAsia" w:cs="Times New Roman"/>
          <w:b/>
          <w:bCs/>
          <w:szCs w:val="24"/>
        </w:rPr>
        <w:t>3-3</w:t>
      </w:r>
      <w:r>
        <w:rPr>
          <w:rFonts w:cs="Times New Roman"/>
          <w:b/>
          <w:bCs/>
          <w:szCs w:val="24"/>
          <w:lang w:val="zh-TW" w:eastAsia="zh-TW"/>
        </w:rPr>
        <w:t>农田固体废物污染负荷的计算参数表</w:t>
      </w:r>
    </w:p>
    <w:tbl>
      <w:tblPr>
        <w:tblStyle w:val="25"/>
        <w:tblW w:w="8564" w:type="dxa"/>
        <w:jc w:val="center"/>
        <w:tblLayout w:type="fixed"/>
        <w:tblCellMar>
          <w:top w:w="0" w:type="dxa"/>
          <w:left w:w="10" w:type="dxa"/>
          <w:bottom w:w="0" w:type="dxa"/>
          <w:right w:w="10" w:type="dxa"/>
        </w:tblCellMar>
      </w:tblPr>
      <w:tblGrid>
        <w:gridCol w:w="1540"/>
        <w:gridCol w:w="2708"/>
        <w:gridCol w:w="1491"/>
        <w:gridCol w:w="1376"/>
        <w:gridCol w:w="1449"/>
      </w:tblGrid>
      <w:tr>
        <w:tblPrEx>
          <w:tblCellMar>
            <w:top w:w="0" w:type="dxa"/>
            <w:left w:w="10" w:type="dxa"/>
            <w:bottom w:w="0" w:type="dxa"/>
            <w:right w:w="10" w:type="dxa"/>
          </w:tblCellMar>
        </w:tblPrEx>
        <w:trPr>
          <w:trHeight w:val="913" w:hRule="exact"/>
          <w:jc w:val="center"/>
        </w:trPr>
        <w:tc>
          <w:tcPr>
            <w:tcW w:w="1540" w:type="dxa"/>
            <w:tcBorders>
              <w:top w:val="single" w:color="auto" w:sz="4" w:space="0"/>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r>
              <w:rPr>
                <w:rFonts w:cs="Times New Roman"/>
                <w:sz w:val="21"/>
                <w:szCs w:val="21"/>
                <w:lang w:val="zh-TW" w:eastAsia="zh-TW"/>
              </w:rPr>
              <w:t>参数</w:t>
            </w:r>
          </w:p>
        </w:tc>
        <w:tc>
          <w:tcPr>
            <w:tcW w:w="2708" w:type="dxa"/>
            <w:tcBorders>
              <w:top w:val="single" w:color="auto" w:sz="4" w:space="0"/>
              <w:left w:val="single" w:color="auto" w:sz="4" w:space="0"/>
            </w:tcBorders>
            <w:shd w:val="clear" w:color="auto" w:fill="auto"/>
            <w:vAlign w:val="center"/>
          </w:tcPr>
          <w:p>
            <w:pPr>
              <w:framePr w:w="8544" w:wrap="notBeside" w:vAnchor="text" w:hAnchor="text" w:xAlign="center" w:y="1"/>
              <w:ind w:firstLine="0" w:firstLineChars="0"/>
              <w:jc w:val="center"/>
              <w:rPr>
                <w:rFonts w:cs="Times New Roman"/>
                <w:sz w:val="21"/>
                <w:szCs w:val="21"/>
                <w:lang w:val="zh-TW" w:eastAsia="zh-TW"/>
              </w:rPr>
            </w:pPr>
            <w:r>
              <w:rPr>
                <w:rFonts w:cs="Times New Roman"/>
                <w:sz w:val="21"/>
                <w:szCs w:val="21"/>
                <w:lang w:val="zh-TW" w:eastAsia="zh-TW"/>
              </w:rPr>
              <w:t>农业生产植物残体</w:t>
            </w:r>
          </w:p>
          <w:p>
            <w:pPr>
              <w:framePr w:w="8544" w:wrap="notBeside" w:vAnchor="text" w:hAnchor="text" w:xAlign="center" w:y="1"/>
              <w:ind w:firstLine="0" w:firstLineChars="0"/>
              <w:jc w:val="center"/>
              <w:rPr>
                <w:rFonts w:cs="Times New Roman"/>
                <w:sz w:val="21"/>
                <w:szCs w:val="21"/>
              </w:rPr>
            </w:pPr>
            <w:r>
              <w:rPr>
                <w:rFonts w:cs="Times New Roman"/>
                <w:sz w:val="21"/>
                <w:szCs w:val="21"/>
                <w:lang w:val="zh-TW" w:eastAsia="zh-TW"/>
              </w:rPr>
              <w:t xml:space="preserve">产生量 </w:t>
            </w:r>
            <w:r>
              <w:rPr>
                <w:rFonts w:cs="Times New Roman"/>
                <w:sz w:val="21"/>
                <w:szCs w:val="21"/>
              </w:rPr>
              <w:t>(kg/</w:t>
            </w:r>
            <w:r>
              <w:rPr>
                <w:rFonts w:cs="Times New Roman"/>
                <w:sz w:val="21"/>
                <w:szCs w:val="21"/>
                <w:lang w:val="zh-TW" w:eastAsia="zh-TW"/>
              </w:rPr>
              <w:t>亩</w:t>
            </w:r>
            <w:r>
              <w:rPr>
                <w:rFonts w:cs="Times New Roman"/>
                <w:sz w:val="21"/>
                <w:szCs w:val="21"/>
              </w:rPr>
              <w:t>-a)</w:t>
            </w:r>
          </w:p>
        </w:tc>
        <w:tc>
          <w:tcPr>
            <w:tcW w:w="1491" w:type="dxa"/>
            <w:tcBorders>
              <w:top w:val="single" w:color="auto" w:sz="4" w:space="0"/>
              <w:left w:val="single" w:color="auto" w:sz="4" w:space="0"/>
            </w:tcBorders>
            <w:shd w:val="clear" w:color="auto" w:fill="auto"/>
            <w:vAlign w:val="center"/>
          </w:tcPr>
          <w:p>
            <w:pPr>
              <w:framePr w:w="8544" w:wrap="notBeside" w:vAnchor="text" w:hAnchor="text" w:xAlign="center" w:y="1"/>
              <w:ind w:firstLine="0" w:firstLineChars="0"/>
              <w:jc w:val="center"/>
              <w:rPr>
                <w:rFonts w:cs="Times New Roman"/>
                <w:sz w:val="21"/>
                <w:szCs w:val="21"/>
              </w:rPr>
            </w:pPr>
            <w:r>
              <w:rPr>
                <w:rFonts w:cs="Times New Roman"/>
                <w:sz w:val="21"/>
                <w:szCs w:val="21"/>
                <w:lang w:val="zh-TW" w:eastAsia="zh-TW"/>
              </w:rPr>
              <w:t>固废总氮负荷</w:t>
            </w:r>
          </w:p>
        </w:tc>
        <w:tc>
          <w:tcPr>
            <w:tcW w:w="1376" w:type="dxa"/>
            <w:tcBorders>
              <w:top w:val="single" w:color="auto" w:sz="4" w:space="0"/>
              <w:left w:val="single" w:color="auto" w:sz="4" w:space="0"/>
            </w:tcBorders>
            <w:shd w:val="clear" w:color="auto" w:fill="auto"/>
            <w:vAlign w:val="center"/>
          </w:tcPr>
          <w:p>
            <w:pPr>
              <w:framePr w:w="8544" w:wrap="notBeside" w:vAnchor="text" w:hAnchor="text" w:xAlign="center" w:y="1"/>
              <w:ind w:firstLine="0" w:firstLineChars="0"/>
              <w:jc w:val="center"/>
              <w:rPr>
                <w:rFonts w:cs="Times New Roman"/>
                <w:sz w:val="21"/>
                <w:szCs w:val="21"/>
                <w:lang w:val="zh-TW" w:eastAsia="zh-TW"/>
              </w:rPr>
            </w:pPr>
            <w:r>
              <w:rPr>
                <w:rFonts w:cs="Times New Roman"/>
                <w:sz w:val="21"/>
                <w:szCs w:val="21"/>
                <w:lang w:val="zh-TW" w:eastAsia="zh-TW"/>
              </w:rPr>
              <w:t>固体氨氮</w:t>
            </w:r>
          </w:p>
          <w:p>
            <w:pPr>
              <w:framePr w:w="8544" w:wrap="notBeside" w:vAnchor="text" w:hAnchor="text" w:xAlign="center" w:y="1"/>
              <w:ind w:firstLine="0" w:firstLineChars="0"/>
              <w:jc w:val="center"/>
              <w:rPr>
                <w:rFonts w:cs="Times New Roman"/>
                <w:sz w:val="21"/>
                <w:szCs w:val="21"/>
              </w:rPr>
            </w:pPr>
            <w:r>
              <w:rPr>
                <w:rFonts w:cs="Times New Roman"/>
                <w:sz w:val="21"/>
                <w:szCs w:val="21"/>
                <w:lang w:val="zh-TW" w:eastAsia="zh-TW"/>
              </w:rPr>
              <w:t>负 荷</w:t>
            </w:r>
          </w:p>
        </w:tc>
        <w:tc>
          <w:tcPr>
            <w:tcW w:w="1449" w:type="dxa"/>
            <w:tcBorders>
              <w:top w:val="single" w:color="auto" w:sz="4" w:space="0"/>
              <w:left w:val="single" w:color="auto" w:sz="4" w:space="0"/>
              <w:right w:val="single" w:color="auto" w:sz="4" w:space="0"/>
            </w:tcBorders>
            <w:shd w:val="clear" w:color="auto" w:fill="auto"/>
            <w:vAlign w:val="center"/>
          </w:tcPr>
          <w:p>
            <w:pPr>
              <w:framePr w:w="8544" w:wrap="notBeside" w:vAnchor="text" w:hAnchor="text" w:xAlign="center" w:y="1"/>
              <w:ind w:firstLine="0" w:firstLineChars="0"/>
              <w:jc w:val="center"/>
              <w:rPr>
                <w:rFonts w:cs="Times New Roman"/>
                <w:sz w:val="21"/>
                <w:szCs w:val="21"/>
                <w:lang w:val="zh-TW" w:eastAsia="zh-TW"/>
              </w:rPr>
            </w:pPr>
            <w:r>
              <w:rPr>
                <w:rFonts w:cs="Times New Roman"/>
                <w:sz w:val="21"/>
                <w:szCs w:val="21"/>
                <w:lang w:val="zh-TW" w:eastAsia="zh-TW"/>
              </w:rPr>
              <w:t>固废总磷</w:t>
            </w:r>
          </w:p>
          <w:p>
            <w:pPr>
              <w:framePr w:w="8544" w:wrap="notBeside" w:vAnchor="text" w:hAnchor="text" w:xAlign="center" w:y="1"/>
              <w:ind w:firstLine="0" w:firstLineChars="0"/>
              <w:jc w:val="center"/>
              <w:rPr>
                <w:rFonts w:cs="Times New Roman"/>
                <w:sz w:val="21"/>
                <w:szCs w:val="21"/>
              </w:rPr>
            </w:pPr>
            <w:r>
              <w:rPr>
                <w:rFonts w:cs="Times New Roman"/>
                <w:sz w:val="21"/>
                <w:szCs w:val="21"/>
                <w:lang w:val="zh-TW" w:eastAsia="zh-TW"/>
              </w:rPr>
              <w:t>负 荷</w:t>
            </w:r>
          </w:p>
        </w:tc>
      </w:tr>
      <w:tr>
        <w:tblPrEx>
          <w:tblCellMar>
            <w:top w:w="0" w:type="dxa"/>
            <w:left w:w="10" w:type="dxa"/>
            <w:bottom w:w="0" w:type="dxa"/>
            <w:right w:w="10" w:type="dxa"/>
          </w:tblCellMar>
        </w:tblPrEx>
        <w:trPr>
          <w:trHeight w:val="482" w:hRule="exact"/>
          <w:jc w:val="center"/>
        </w:trPr>
        <w:tc>
          <w:tcPr>
            <w:tcW w:w="1540" w:type="dxa"/>
            <w:tcBorders>
              <w:top w:val="single" w:color="auto" w:sz="4" w:space="0"/>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r>
              <w:rPr>
                <w:rFonts w:cs="Times New Roman"/>
                <w:sz w:val="21"/>
                <w:szCs w:val="21"/>
                <w:lang w:val="zh-TW" w:eastAsia="zh-TW"/>
              </w:rPr>
              <w:t>产生量系数</w:t>
            </w:r>
          </w:p>
        </w:tc>
        <w:tc>
          <w:tcPr>
            <w:tcW w:w="2708" w:type="dxa"/>
            <w:tcBorders>
              <w:top w:val="single" w:color="auto" w:sz="4" w:space="0"/>
              <w:left w:val="single" w:color="auto" w:sz="4" w:space="0"/>
            </w:tcBorders>
            <w:shd w:val="clear" w:color="auto" w:fill="auto"/>
            <w:vAlign w:val="center"/>
          </w:tcPr>
          <w:p>
            <w:pPr>
              <w:framePr w:w="8544" w:wrap="notBeside" w:vAnchor="text" w:hAnchor="text" w:xAlign="center" w:y="1"/>
              <w:ind w:firstLine="420"/>
              <w:jc w:val="center"/>
              <w:rPr>
                <w:rFonts w:cs="Times New Roman"/>
                <w:sz w:val="21"/>
                <w:szCs w:val="21"/>
              </w:rPr>
            </w:pPr>
            <w:r>
              <w:rPr>
                <w:rFonts w:cs="Times New Roman"/>
                <w:sz w:val="21"/>
                <w:szCs w:val="21"/>
                <w:lang w:val="zh-TW" w:eastAsia="zh-TW"/>
              </w:rPr>
              <w:t>1000</w:t>
            </w:r>
          </w:p>
        </w:tc>
        <w:tc>
          <w:tcPr>
            <w:tcW w:w="1491" w:type="dxa"/>
            <w:tcBorders>
              <w:top w:val="single" w:color="auto" w:sz="4" w:space="0"/>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r>
              <w:rPr>
                <w:rFonts w:cs="Times New Roman"/>
                <w:sz w:val="21"/>
                <w:szCs w:val="21"/>
                <w:lang w:val="zh-TW" w:eastAsia="zh-TW"/>
              </w:rPr>
              <w:t>1.0%</w:t>
            </w:r>
          </w:p>
        </w:tc>
        <w:tc>
          <w:tcPr>
            <w:tcW w:w="1376" w:type="dxa"/>
            <w:tcBorders>
              <w:top w:val="single" w:color="auto" w:sz="4" w:space="0"/>
              <w:left w:val="single" w:color="auto" w:sz="4" w:space="0"/>
            </w:tcBorders>
            <w:shd w:val="clear" w:color="auto" w:fill="auto"/>
            <w:vAlign w:val="center"/>
          </w:tcPr>
          <w:p>
            <w:pPr>
              <w:framePr w:w="8544" w:wrap="notBeside" w:vAnchor="text" w:hAnchor="text" w:xAlign="center" w:y="1"/>
              <w:ind w:firstLine="420"/>
              <w:rPr>
                <w:rFonts w:cs="Times New Roman"/>
                <w:sz w:val="21"/>
                <w:szCs w:val="21"/>
              </w:rPr>
            </w:pPr>
            <w:r>
              <w:rPr>
                <w:rFonts w:cs="Times New Roman"/>
                <w:sz w:val="21"/>
                <w:szCs w:val="21"/>
                <w:lang w:val="zh-TW" w:eastAsia="zh-TW"/>
              </w:rPr>
              <w:t>0.6%</w:t>
            </w:r>
          </w:p>
        </w:tc>
        <w:tc>
          <w:tcPr>
            <w:tcW w:w="1449" w:type="dxa"/>
            <w:tcBorders>
              <w:top w:val="single" w:color="auto" w:sz="4" w:space="0"/>
              <w:left w:val="single" w:color="auto" w:sz="4" w:space="0"/>
              <w:right w:val="single" w:color="auto" w:sz="4" w:space="0"/>
            </w:tcBorders>
            <w:shd w:val="clear" w:color="auto" w:fill="auto"/>
            <w:vAlign w:val="center"/>
          </w:tcPr>
          <w:p>
            <w:pPr>
              <w:framePr w:w="8544" w:wrap="notBeside" w:vAnchor="text" w:hAnchor="text" w:xAlign="center" w:y="1"/>
              <w:ind w:firstLine="420"/>
              <w:rPr>
                <w:rFonts w:cs="Times New Roman"/>
                <w:sz w:val="21"/>
                <w:szCs w:val="21"/>
              </w:rPr>
            </w:pPr>
            <w:r>
              <w:rPr>
                <w:rFonts w:cs="Times New Roman"/>
                <w:sz w:val="21"/>
                <w:szCs w:val="21"/>
                <w:lang w:val="zh-TW" w:eastAsia="zh-TW"/>
              </w:rPr>
              <w:t>0.4%</w:t>
            </w:r>
          </w:p>
        </w:tc>
      </w:tr>
      <w:tr>
        <w:tblPrEx>
          <w:tblCellMar>
            <w:top w:w="0" w:type="dxa"/>
            <w:left w:w="10" w:type="dxa"/>
            <w:bottom w:w="0" w:type="dxa"/>
            <w:right w:w="10" w:type="dxa"/>
          </w:tblCellMar>
        </w:tblPrEx>
        <w:trPr>
          <w:trHeight w:val="394" w:hRule="exact"/>
          <w:jc w:val="center"/>
        </w:trPr>
        <w:tc>
          <w:tcPr>
            <w:tcW w:w="1540" w:type="dxa"/>
            <w:tcBorders>
              <w:top w:val="single" w:color="auto" w:sz="4" w:space="0"/>
              <w:left w:val="single" w:color="auto" w:sz="4" w:space="0"/>
              <w:bottom w:val="single" w:color="auto" w:sz="4" w:space="0"/>
            </w:tcBorders>
            <w:shd w:val="clear" w:color="auto" w:fill="auto"/>
            <w:vAlign w:val="center"/>
          </w:tcPr>
          <w:p>
            <w:pPr>
              <w:framePr w:w="8544" w:wrap="notBeside" w:vAnchor="text" w:hAnchor="text" w:xAlign="center" w:y="1"/>
              <w:ind w:firstLine="420"/>
              <w:rPr>
                <w:rFonts w:cs="Times New Roman"/>
                <w:sz w:val="21"/>
                <w:szCs w:val="21"/>
              </w:rPr>
            </w:pPr>
            <w:r>
              <w:rPr>
                <w:rFonts w:cs="Times New Roman"/>
                <w:sz w:val="21"/>
                <w:szCs w:val="21"/>
                <w:lang w:val="zh-TW" w:eastAsia="zh-TW"/>
              </w:rPr>
              <w:t>排放量系数</w:t>
            </w:r>
          </w:p>
        </w:tc>
        <w:tc>
          <w:tcPr>
            <w:tcW w:w="2708" w:type="dxa"/>
            <w:tcBorders>
              <w:top w:val="single" w:color="auto" w:sz="4" w:space="0"/>
              <w:left w:val="single" w:color="auto" w:sz="4" w:space="0"/>
              <w:bottom w:val="single" w:color="auto" w:sz="4" w:space="0"/>
            </w:tcBorders>
            <w:shd w:val="clear" w:color="auto" w:fill="auto"/>
            <w:vAlign w:val="center"/>
          </w:tcPr>
          <w:p>
            <w:pPr>
              <w:framePr w:w="8544" w:wrap="notBeside" w:vAnchor="text" w:hAnchor="text" w:xAlign="center" w:y="1"/>
              <w:ind w:firstLine="420"/>
              <w:jc w:val="center"/>
              <w:rPr>
                <w:rFonts w:cs="Times New Roman"/>
                <w:sz w:val="21"/>
                <w:szCs w:val="21"/>
              </w:rPr>
            </w:pPr>
            <w:r>
              <w:rPr>
                <w:rFonts w:cs="Times New Roman"/>
                <w:sz w:val="21"/>
                <w:szCs w:val="21"/>
              </w:rPr>
              <w:t>0.05</w:t>
            </w:r>
          </w:p>
        </w:tc>
        <w:tc>
          <w:tcPr>
            <w:tcW w:w="1491" w:type="dxa"/>
            <w:tcBorders>
              <w:top w:val="single" w:color="auto" w:sz="4" w:space="0"/>
              <w:left w:val="single" w:color="auto" w:sz="4" w:space="0"/>
              <w:bottom w:val="single" w:color="auto" w:sz="4" w:space="0"/>
            </w:tcBorders>
            <w:shd w:val="clear" w:color="auto" w:fill="auto"/>
            <w:vAlign w:val="center"/>
          </w:tcPr>
          <w:p>
            <w:pPr>
              <w:framePr w:w="8544" w:wrap="notBeside" w:vAnchor="text" w:hAnchor="text" w:xAlign="center" w:y="1"/>
              <w:ind w:firstLine="420"/>
              <w:rPr>
                <w:rFonts w:cs="Times New Roman"/>
                <w:sz w:val="21"/>
                <w:szCs w:val="21"/>
              </w:rPr>
            </w:pPr>
            <w:r>
              <w:rPr>
                <w:rFonts w:cs="Times New Roman"/>
                <w:sz w:val="21"/>
                <w:szCs w:val="21"/>
              </w:rPr>
              <w:t>0.025</w:t>
            </w:r>
          </w:p>
        </w:tc>
        <w:tc>
          <w:tcPr>
            <w:tcW w:w="1376" w:type="dxa"/>
            <w:tcBorders>
              <w:top w:val="single" w:color="auto" w:sz="4" w:space="0"/>
              <w:left w:val="single" w:color="auto" w:sz="4" w:space="0"/>
              <w:bottom w:val="single" w:color="auto" w:sz="4" w:space="0"/>
            </w:tcBorders>
            <w:shd w:val="clear" w:color="auto" w:fill="auto"/>
            <w:vAlign w:val="center"/>
          </w:tcPr>
          <w:p>
            <w:pPr>
              <w:framePr w:w="8544" w:wrap="notBeside" w:vAnchor="text" w:hAnchor="text" w:xAlign="center" w:y="1"/>
              <w:ind w:firstLine="420"/>
              <w:rPr>
                <w:rFonts w:cs="Times New Roman"/>
                <w:sz w:val="21"/>
                <w:szCs w:val="21"/>
              </w:rPr>
            </w:pPr>
            <w:r>
              <w:rPr>
                <w:rFonts w:cs="Times New Roman"/>
                <w:sz w:val="21"/>
                <w:szCs w:val="21"/>
              </w:rPr>
              <w:t>0.025</w:t>
            </w:r>
          </w:p>
        </w:tc>
        <w:tc>
          <w:tcPr>
            <w:tcW w:w="1449" w:type="dxa"/>
            <w:tcBorders>
              <w:top w:val="single" w:color="auto" w:sz="4" w:space="0"/>
              <w:left w:val="single" w:color="auto" w:sz="4" w:space="0"/>
              <w:bottom w:val="single" w:color="auto" w:sz="4" w:space="0"/>
              <w:right w:val="single" w:color="auto" w:sz="4" w:space="0"/>
            </w:tcBorders>
            <w:shd w:val="clear" w:color="auto" w:fill="auto"/>
            <w:vAlign w:val="center"/>
          </w:tcPr>
          <w:p>
            <w:pPr>
              <w:framePr w:w="8544" w:wrap="notBeside" w:vAnchor="text" w:hAnchor="text" w:xAlign="center" w:y="1"/>
              <w:ind w:firstLine="420"/>
              <w:rPr>
                <w:rFonts w:cs="Times New Roman"/>
                <w:sz w:val="21"/>
                <w:szCs w:val="21"/>
              </w:rPr>
            </w:pPr>
            <w:r>
              <w:rPr>
                <w:rFonts w:cs="Times New Roman"/>
                <w:sz w:val="21"/>
                <w:szCs w:val="21"/>
              </w:rPr>
              <w:t>0.005</w:t>
            </w:r>
          </w:p>
        </w:tc>
      </w:tr>
    </w:tbl>
    <w:p>
      <w:pPr>
        <w:pStyle w:val="8"/>
        <w:adjustRightInd w:val="0"/>
        <w:spacing w:before="99" w:beforeLines="30" w:line="360" w:lineRule="auto"/>
        <w:ind w:firstLine="480"/>
        <w:rPr>
          <w:rFonts w:cs="Times New Roman"/>
          <w:sz w:val="24"/>
          <w:szCs w:val="24"/>
        </w:rPr>
      </w:pPr>
      <w:r>
        <w:rPr>
          <w:sz w:val="24"/>
          <w:szCs w:val="18"/>
        </w:rPr>
        <w:t>大竹林</w:t>
      </w:r>
      <w:r>
        <w:rPr>
          <w:rFonts w:cs="Times New Roman"/>
          <w:sz w:val="24"/>
          <w:szCs w:val="18"/>
          <w:lang w:val="zh-CN"/>
        </w:rPr>
        <w:t>水库</w:t>
      </w:r>
      <w:r>
        <w:rPr>
          <w:rFonts w:cs="Times New Roman"/>
          <w:sz w:val="24"/>
          <w:szCs w:val="22"/>
          <w:lang w:val="zh-TW" w:eastAsia="zh-TW"/>
        </w:rPr>
        <w:t>饮用水源径流区产生的农田固废主要是农作物</w:t>
      </w:r>
      <w:r>
        <w:rPr>
          <w:rFonts w:cs="Times New Roman"/>
          <w:sz w:val="24"/>
          <w:szCs w:val="22"/>
          <w:lang w:val="en" w:eastAsia="zh-TW"/>
        </w:rPr>
        <w:t>秸秆</w:t>
      </w:r>
      <w:r>
        <w:rPr>
          <w:rFonts w:cs="Times New Roman"/>
          <w:sz w:val="24"/>
          <w:szCs w:val="22"/>
          <w:lang w:val="zh-TW" w:eastAsia="zh-TW"/>
        </w:rPr>
        <w:t>。周边区域内</w:t>
      </w:r>
      <w:r>
        <w:rPr>
          <w:rFonts w:cs="Times New Roman"/>
          <w:sz w:val="24"/>
          <w:szCs w:val="22"/>
          <w:lang w:val="en" w:eastAsia="zh-TW"/>
        </w:rPr>
        <w:t>秸秆</w:t>
      </w:r>
      <w:r>
        <w:rPr>
          <w:rFonts w:cs="Times New Roman"/>
          <w:sz w:val="24"/>
          <w:szCs w:val="22"/>
          <w:lang w:val="zh-TW" w:eastAsia="zh-TW"/>
        </w:rPr>
        <w:t>主要经过焚烧、怄肥后还田，还田率超过90%。因此，</w:t>
      </w:r>
      <w:r>
        <w:rPr>
          <w:rFonts w:hint="eastAsia" w:cs="Times New Roman"/>
          <w:sz w:val="24"/>
          <w:szCs w:val="18"/>
        </w:rPr>
        <w:t>大竹林</w:t>
      </w:r>
      <w:r>
        <w:rPr>
          <w:rFonts w:cs="Times New Roman"/>
          <w:sz w:val="24"/>
          <w:szCs w:val="18"/>
          <w:lang w:val="zh-CN"/>
        </w:rPr>
        <w:t>水库</w:t>
      </w:r>
      <w:r>
        <w:rPr>
          <w:rFonts w:cs="Times New Roman"/>
          <w:sz w:val="24"/>
          <w:szCs w:val="22"/>
          <w:lang w:val="zh-TW" w:eastAsia="zh-TW"/>
        </w:rPr>
        <w:t>水源径流区农田固体废物负荷排放量为</w:t>
      </w:r>
      <w:r>
        <w:rPr>
          <w:rFonts w:cs="Times New Roman"/>
          <w:sz w:val="24"/>
          <w:szCs w:val="22"/>
        </w:rPr>
        <w:t xml:space="preserve">TN </w:t>
      </w:r>
      <w:r>
        <w:rPr>
          <w:rFonts w:hint="eastAsia" w:cs="Times New Roman"/>
          <w:sz w:val="24"/>
          <w:szCs w:val="22"/>
        </w:rPr>
        <w:t>76.4</w:t>
      </w:r>
      <w:r>
        <w:rPr>
          <w:rFonts w:cs="Times New Roman"/>
          <w:sz w:val="24"/>
          <w:szCs w:val="22"/>
        </w:rPr>
        <w:t xml:space="preserve"> </w:t>
      </w:r>
      <w:r>
        <w:rPr>
          <w:rFonts w:hint="eastAsia" w:cs="Times New Roman"/>
          <w:sz w:val="24"/>
          <w:szCs w:val="22"/>
        </w:rPr>
        <w:t>kg</w:t>
      </w:r>
      <w:r>
        <w:rPr>
          <w:rFonts w:cs="Times New Roman"/>
          <w:sz w:val="24"/>
          <w:szCs w:val="22"/>
        </w:rPr>
        <w:t>/a，TP</w:t>
      </w:r>
      <w:r>
        <w:rPr>
          <w:rFonts w:hint="eastAsia" w:cs="Times New Roman"/>
          <w:sz w:val="24"/>
          <w:szCs w:val="22"/>
        </w:rPr>
        <w:t xml:space="preserve"> 6.7 kg</w:t>
      </w:r>
      <w:r>
        <w:rPr>
          <w:rFonts w:cs="Times New Roman"/>
          <w:sz w:val="24"/>
          <w:szCs w:val="22"/>
        </w:rPr>
        <w:t>/a，</w:t>
      </w:r>
      <w:r>
        <w:rPr>
          <w:rFonts w:cs="Times New Roman"/>
          <w:sz w:val="24"/>
          <w:szCs w:val="22"/>
          <w:lang w:val="zh-TW" w:eastAsia="zh-TW"/>
        </w:rPr>
        <w:t>氨氮</w:t>
      </w:r>
      <w:r>
        <w:rPr>
          <w:rFonts w:hint="eastAsia" w:cs="Times New Roman"/>
          <w:sz w:val="24"/>
          <w:szCs w:val="22"/>
        </w:rPr>
        <w:t xml:space="preserve"> 6.7kg</w:t>
      </w:r>
      <w:r>
        <w:rPr>
          <w:rFonts w:cs="Times New Roman"/>
          <w:sz w:val="24"/>
          <w:szCs w:val="22"/>
        </w:rPr>
        <w:t>/a。大竹林</w:t>
      </w:r>
      <w:r>
        <w:rPr>
          <w:rFonts w:cs="Times New Roman"/>
          <w:sz w:val="24"/>
          <w:szCs w:val="24"/>
        </w:rPr>
        <w:t>水库水源保护区农村农业面源污染排放情况详见表3-</w:t>
      </w:r>
      <w:r>
        <w:rPr>
          <w:rFonts w:hint="eastAsia" w:cs="Times New Roman"/>
          <w:sz w:val="24"/>
          <w:szCs w:val="24"/>
        </w:rPr>
        <w:t>4</w:t>
      </w:r>
      <w:r>
        <w:rPr>
          <w:rFonts w:cs="Times New Roman"/>
          <w:sz w:val="24"/>
          <w:szCs w:val="24"/>
        </w:rPr>
        <w:t>。</w:t>
      </w:r>
    </w:p>
    <w:p>
      <w:pPr>
        <w:ind w:firstLine="422"/>
        <w:jc w:val="center"/>
        <w:rPr>
          <w:rFonts w:cs="Times New Roman"/>
          <w:b/>
          <w:sz w:val="21"/>
          <w:szCs w:val="21"/>
        </w:rPr>
      </w:pPr>
      <w:r>
        <w:rPr>
          <w:rFonts w:cs="Times New Roman"/>
          <w:b/>
          <w:sz w:val="21"/>
          <w:szCs w:val="21"/>
        </w:rPr>
        <w:t>表3-</w:t>
      </w:r>
      <w:r>
        <w:rPr>
          <w:rFonts w:hint="eastAsia" w:cs="Times New Roman"/>
          <w:b/>
          <w:sz w:val="21"/>
          <w:szCs w:val="21"/>
        </w:rPr>
        <w:t>4大竹林</w:t>
      </w:r>
      <w:r>
        <w:rPr>
          <w:rFonts w:cs="Times New Roman"/>
          <w:b/>
          <w:sz w:val="21"/>
          <w:szCs w:val="21"/>
        </w:rPr>
        <w:t>水库水源保护区农村农业面源污染排放量</w:t>
      </w:r>
    </w:p>
    <w:tbl>
      <w:tblPr>
        <w:tblStyle w:val="25"/>
        <w:tblW w:w="8336" w:type="dxa"/>
        <w:jc w:val="center"/>
        <w:tblLayout w:type="fixed"/>
        <w:tblCellMar>
          <w:top w:w="15" w:type="dxa"/>
          <w:left w:w="15" w:type="dxa"/>
          <w:bottom w:w="15" w:type="dxa"/>
          <w:right w:w="15" w:type="dxa"/>
        </w:tblCellMar>
      </w:tblPr>
      <w:tblGrid>
        <w:gridCol w:w="1841"/>
        <w:gridCol w:w="1518"/>
        <w:gridCol w:w="1974"/>
        <w:gridCol w:w="1501"/>
        <w:gridCol w:w="1502"/>
      </w:tblGrid>
      <w:tr>
        <w:tblPrEx>
          <w:tblCellMar>
            <w:top w:w="15" w:type="dxa"/>
            <w:left w:w="15" w:type="dxa"/>
            <w:bottom w:w="15" w:type="dxa"/>
            <w:right w:w="15" w:type="dxa"/>
          </w:tblCellMar>
        </w:tblPrEx>
        <w:trPr>
          <w:trHeight w:val="621" w:hRule="atLeast"/>
          <w:tblHeader/>
          <w:jc w:val="center"/>
        </w:trPr>
        <w:tc>
          <w:tcPr>
            <w:tcW w:w="1841"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cs="Times New Roman"/>
                <w:bCs/>
                <w:sz w:val="21"/>
                <w:szCs w:val="21"/>
              </w:rPr>
            </w:pPr>
            <w:r>
              <w:rPr>
                <w:rFonts w:cs="Times New Roman"/>
                <w:bCs/>
                <w:kern w:val="0"/>
                <w:sz w:val="21"/>
                <w:szCs w:val="21"/>
                <w:lang w:bidi="ar"/>
              </w:rPr>
              <w:t>污染源类别</w:t>
            </w:r>
          </w:p>
        </w:tc>
        <w:tc>
          <w:tcPr>
            <w:tcW w:w="1518"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cs="Times New Roman"/>
                <w:bCs/>
                <w:sz w:val="21"/>
                <w:szCs w:val="21"/>
              </w:rPr>
            </w:pPr>
            <w:r>
              <w:rPr>
                <w:rFonts w:cs="Times New Roman"/>
                <w:bCs/>
                <w:kern w:val="0"/>
                <w:sz w:val="21"/>
                <w:szCs w:val="21"/>
                <w:lang w:bidi="ar"/>
              </w:rPr>
              <w:t>COD</w:t>
            </w:r>
            <w:r>
              <w:rPr>
                <w:rFonts w:hint="eastAsia" w:cs="Times New Roman"/>
                <w:bCs/>
                <w:kern w:val="0"/>
                <w:sz w:val="21"/>
                <w:szCs w:val="21"/>
                <w:lang w:bidi="ar"/>
              </w:rPr>
              <w:t>（kg/a）</w:t>
            </w:r>
          </w:p>
        </w:tc>
        <w:tc>
          <w:tcPr>
            <w:tcW w:w="1974"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cs="Times New Roman"/>
                <w:bCs/>
                <w:sz w:val="21"/>
                <w:szCs w:val="21"/>
              </w:rPr>
            </w:pPr>
            <w:r>
              <w:rPr>
                <w:rFonts w:cs="Times New Roman"/>
                <w:kern w:val="0"/>
                <w:sz w:val="21"/>
                <w:szCs w:val="21"/>
                <w:lang w:bidi="ar"/>
              </w:rPr>
              <w:t>NH</w:t>
            </w:r>
            <w:r>
              <w:rPr>
                <w:rFonts w:cs="Times New Roman"/>
                <w:kern w:val="0"/>
                <w:sz w:val="21"/>
                <w:szCs w:val="21"/>
                <w:vertAlign w:val="subscript"/>
                <w:lang w:bidi="ar"/>
              </w:rPr>
              <w:t>3</w:t>
            </w:r>
            <w:r>
              <w:rPr>
                <w:rFonts w:cs="Times New Roman"/>
                <w:kern w:val="0"/>
                <w:sz w:val="21"/>
                <w:szCs w:val="21"/>
                <w:lang w:bidi="ar"/>
              </w:rPr>
              <w:t>-N</w:t>
            </w:r>
            <w:r>
              <w:rPr>
                <w:rFonts w:hint="eastAsia" w:cs="Times New Roman"/>
                <w:bCs/>
                <w:kern w:val="0"/>
                <w:sz w:val="21"/>
                <w:szCs w:val="21"/>
                <w:lang w:bidi="ar"/>
              </w:rPr>
              <w:t>（kg/a）</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cs="Times New Roman"/>
                <w:bCs/>
                <w:sz w:val="21"/>
                <w:szCs w:val="21"/>
              </w:rPr>
            </w:pPr>
            <w:r>
              <w:rPr>
                <w:rFonts w:cs="Times New Roman"/>
                <w:kern w:val="0"/>
                <w:sz w:val="21"/>
                <w:szCs w:val="21"/>
                <w:lang w:bidi="ar"/>
              </w:rPr>
              <w:t>TN</w:t>
            </w:r>
            <w:r>
              <w:rPr>
                <w:rFonts w:hint="eastAsia" w:cs="Times New Roman"/>
                <w:bCs/>
                <w:kern w:val="0"/>
                <w:sz w:val="21"/>
                <w:szCs w:val="21"/>
                <w:lang w:bidi="ar"/>
              </w:rPr>
              <w:t>（kg/a）</w:t>
            </w:r>
          </w:p>
        </w:tc>
        <w:tc>
          <w:tcPr>
            <w:tcW w:w="1502"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cs="Times New Roman"/>
                <w:bCs/>
                <w:sz w:val="21"/>
                <w:szCs w:val="21"/>
              </w:rPr>
            </w:pPr>
            <w:r>
              <w:rPr>
                <w:rFonts w:cs="Times New Roman"/>
                <w:kern w:val="0"/>
                <w:sz w:val="21"/>
                <w:szCs w:val="21"/>
                <w:lang w:bidi="ar"/>
              </w:rPr>
              <w:t>TP</w:t>
            </w:r>
            <w:r>
              <w:rPr>
                <w:rFonts w:hint="eastAsia" w:cs="Times New Roman"/>
                <w:bCs/>
                <w:kern w:val="0"/>
                <w:sz w:val="21"/>
                <w:szCs w:val="21"/>
                <w:lang w:bidi="ar"/>
              </w:rPr>
              <w:t>（kg/a）</w:t>
            </w:r>
          </w:p>
        </w:tc>
      </w:tr>
      <w:tr>
        <w:tblPrEx>
          <w:tblCellMar>
            <w:top w:w="15" w:type="dxa"/>
            <w:left w:w="15" w:type="dxa"/>
            <w:bottom w:w="15" w:type="dxa"/>
            <w:right w:w="15" w:type="dxa"/>
          </w:tblCellMar>
        </w:tblPrEx>
        <w:trPr>
          <w:trHeight w:val="397" w:hRule="atLeast"/>
          <w:jc w:val="center"/>
        </w:trPr>
        <w:tc>
          <w:tcPr>
            <w:tcW w:w="1841"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cs="Times New Roman"/>
                <w:sz w:val="21"/>
                <w:szCs w:val="21"/>
              </w:rPr>
            </w:pPr>
            <w:r>
              <w:rPr>
                <w:rFonts w:cs="Times New Roman"/>
                <w:kern w:val="0"/>
                <w:sz w:val="21"/>
                <w:szCs w:val="21"/>
                <w:lang w:bidi="ar"/>
              </w:rPr>
              <w:t>农田固废</w:t>
            </w:r>
          </w:p>
        </w:tc>
        <w:tc>
          <w:tcPr>
            <w:tcW w:w="1518"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cs="Times New Roman"/>
                <w:sz w:val="21"/>
                <w:szCs w:val="21"/>
              </w:rPr>
            </w:pPr>
            <w:r>
              <w:rPr>
                <w:rStyle w:val="48"/>
                <w:color w:val="auto"/>
              </w:rPr>
              <w:t>--</w:t>
            </w:r>
          </w:p>
        </w:tc>
        <w:tc>
          <w:tcPr>
            <w:tcW w:w="1974" w:type="dxa"/>
            <w:tcBorders>
              <w:top w:val="single" w:color="000000" w:sz="4" w:space="0"/>
              <w:left w:val="single" w:color="000000" w:sz="4" w:space="0"/>
              <w:bottom w:val="single" w:color="000000" w:sz="4" w:space="0"/>
              <w:right w:val="single" w:color="000000" w:sz="4" w:space="0"/>
            </w:tcBorders>
            <w:vAlign w:val="center"/>
          </w:tcPr>
          <w:p>
            <w:pPr>
              <w:widowControl/>
              <w:ind w:firstLine="420"/>
              <w:jc w:val="center"/>
              <w:textAlignment w:val="center"/>
              <w:rPr>
                <w:rFonts w:cs="Times New Roman"/>
                <w:sz w:val="21"/>
                <w:szCs w:val="21"/>
              </w:rPr>
            </w:pPr>
            <w:r>
              <w:rPr>
                <w:rFonts w:hint="eastAsia" w:cs="Times New Roman"/>
                <w:sz w:val="21"/>
                <w:szCs w:val="21"/>
              </w:rPr>
              <w:t xml:space="preserve"> 6.7</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eastAsia="仿宋" w:cs="Times New Roman"/>
                <w:sz w:val="21"/>
                <w:szCs w:val="21"/>
              </w:rPr>
            </w:pPr>
            <w:r>
              <w:rPr>
                <w:rFonts w:hint="eastAsia" w:cs="Times New Roman"/>
                <w:sz w:val="21"/>
                <w:szCs w:val="21"/>
              </w:rPr>
              <w:t>76.4</w:t>
            </w:r>
          </w:p>
        </w:tc>
        <w:tc>
          <w:tcPr>
            <w:tcW w:w="1502"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eastAsia="仿宋" w:cs="Times New Roman"/>
                <w:sz w:val="21"/>
                <w:szCs w:val="21"/>
              </w:rPr>
            </w:pPr>
            <w:r>
              <w:rPr>
                <w:rFonts w:hint="eastAsia" w:eastAsia="仿宋" w:cs="Times New Roman"/>
                <w:kern w:val="0"/>
                <w:sz w:val="21"/>
                <w:szCs w:val="21"/>
                <w:lang w:bidi="ar"/>
              </w:rPr>
              <w:t>1</w:t>
            </w:r>
            <w:r>
              <w:rPr>
                <w:rFonts w:hint="eastAsia" w:cs="Times New Roman"/>
                <w:sz w:val="21"/>
                <w:szCs w:val="21"/>
              </w:rPr>
              <w:t>6.7</w:t>
            </w:r>
          </w:p>
        </w:tc>
      </w:tr>
      <w:tr>
        <w:tblPrEx>
          <w:tblCellMar>
            <w:top w:w="15" w:type="dxa"/>
            <w:left w:w="15" w:type="dxa"/>
            <w:bottom w:w="15" w:type="dxa"/>
            <w:right w:w="15" w:type="dxa"/>
          </w:tblCellMar>
        </w:tblPrEx>
        <w:trPr>
          <w:trHeight w:val="397" w:hRule="atLeast"/>
          <w:jc w:val="center"/>
        </w:trPr>
        <w:tc>
          <w:tcPr>
            <w:tcW w:w="1841"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cs="Times New Roman"/>
                <w:sz w:val="21"/>
                <w:szCs w:val="21"/>
              </w:rPr>
            </w:pPr>
            <w:r>
              <w:rPr>
                <w:rFonts w:cs="Times New Roman"/>
                <w:kern w:val="0"/>
                <w:sz w:val="21"/>
                <w:szCs w:val="21"/>
                <w:lang w:bidi="ar"/>
              </w:rPr>
              <w:t>农田化肥</w:t>
            </w:r>
          </w:p>
        </w:tc>
        <w:tc>
          <w:tcPr>
            <w:tcW w:w="1518"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cs="Times New Roman"/>
                <w:sz w:val="21"/>
                <w:szCs w:val="21"/>
              </w:rPr>
            </w:pPr>
            <w:r>
              <w:rPr>
                <w:rStyle w:val="48"/>
                <w:color w:val="auto"/>
              </w:rPr>
              <w:t>--</w:t>
            </w:r>
          </w:p>
        </w:tc>
        <w:tc>
          <w:tcPr>
            <w:tcW w:w="1974" w:type="dxa"/>
            <w:tcBorders>
              <w:top w:val="single" w:color="000000" w:sz="4" w:space="0"/>
              <w:left w:val="single" w:color="000000" w:sz="4" w:space="0"/>
              <w:bottom w:val="single" w:color="000000" w:sz="4" w:space="0"/>
              <w:right w:val="single" w:color="000000" w:sz="4" w:space="0"/>
            </w:tcBorders>
            <w:vAlign w:val="center"/>
          </w:tcPr>
          <w:p>
            <w:pPr>
              <w:widowControl/>
              <w:ind w:firstLine="420"/>
              <w:jc w:val="center"/>
              <w:textAlignment w:val="center"/>
              <w:rPr>
                <w:rFonts w:eastAsia="仿宋" w:cs="Times New Roman"/>
                <w:sz w:val="21"/>
                <w:szCs w:val="21"/>
              </w:rPr>
            </w:pPr>
            <w:r>
              <w:rPr>
                <w:rFonts w:hint="eastAsia" w:cs="Times New Roman"/>
                <w:sz w:val="21"/>
                <w:szCs w:val="21"/>
              </w:rPr>
              <w:t>38</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eastAsia="仿宋" w:cs="Times New Roman"/>
                <w:sz w:val="21"/>
                <w:szCs w:val="21"/>
              </w:rPr>
            </w:pPr>
            <w:r>
              <w:rPr>
                <w:rFonts w:cs="Times New Roman"/>
                <w:sz w:val="21"/>
                <w:szCs w:val="21"/>
                <w:lang w:eastAsia="en-US"/>
              </w:rPr>
              <w:t xml:space="preserve"> </w:t>
            </w:r>
            <w:r>
              <w:rPr>
                <w:rFonts w:hint="eastAsia" w:cs="Times New Roman"/>
                <w:sz w:val="21"/>
                <w:szCs w:val="21"/>
              </w:rPr>
              <w:t>192.16</w:t>
            </w:r>
          </w:p>
        </w:tc>
        <w:tc>
          <w:tcPr>
            <w:tcW w:w="1502"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cs="Times New Roman"/>
                <w:sz w:val="21"/>
                <w:szCs w:val="21"/>
              </w:rPr>
            </w:pPr>
            <w:r>
              <w:rPr>
                <w:rFonts w:cs="Times New Roman"/>
                <w:sz w:val="21"/>
                <w:szCs w:val="21"/>
              </w:rPr>
              <w:t xml:space="preserve"> </w:t>
            </w:r>
            <w:r>
              <w:rPr>
                <w:rFonts w:hint="eastAsia" w:cs="Times New Roman"/>
                <w:sz w:val="21"/>
                <w:szCs w:val="21"/>
              </w:rPr>
              <w:t>76.38</w:t>
            </w:r>
          </w:p>
        </w:tc>
      </w:tr>
      <w:tr>
        <w:tblPrEx>
          <w:tblCellMar>
            <w:top w:w="15" w:type="dxa"/>
            <w:left w:w="15" w:type="dxa"/>
            <w:bottom w:w="15" w:type="dxa"/>
            <w:right w:w="15" w:type="dxa"/>
          </w:tblCellMar>
        </w:tblPrEx>
        <w:trPr>
          <w:trHeight w:val="397" w:hRule="atLeast"/>
          <w:jc w:val="center"/>
        </w:trPr>
        <w:tc>
          <w:tcPr>
            <w:tcW w:w="1841"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cs="Times New Roman"/>
                <w:bCs/>
                <w:sz w:val="21"/>
                <w:szCs w:val="21"/>
              </w:rPr>
            </w:pPr>
            <w:r>
              <w:rPr>
                <w:rFonts w:cs="Times New Roman"/>
                <w:bCs/>
                <w:kern w:val="0"/>
                <w:sz w:val="21"/>
                <w:szCs w:val="21"/>
                <w:lang w:bidi="ar"/>
              </w:rPr>
              <w:t>合计</w:t>
            </w:r>
          </w:p>
        </w:tc>
        <w:tc>
          <w:tcPr>
            <w:tcW w:w="1518"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cs="Times New Roman"/>
                <w:bCs/>
                <w:sz w:val="21"/>
                <w:szCs w:val="21"/>
              </w:rPr>
            </w:pPr>
            <w:r>
              <w:rPr>
                <w:rStyle w:val="48"/>
                <w:color w:val="auto"/>
              </w:rPr>
              <w:t>--</w:t>
            </w:r>
          </w:p>
        </w:tc>
        <w:tc>
          <w:tcPr>
            <w:tcW w:w="1974" w:type="dxa"/>
            <w:tcBorders>
              <w:top w:val="single" w:color="000000" w:sz="4" w:space="0"/>
              <w:left w:val="single" w:color="000000" w:sz="4" w:space="0"/>
              <w:bottom w:val="single" w:color="000000" w:sz="4" w:space="0"/>
              <w:right w:val="single" w:color="000000" w:sz="4" w:space="0"/>
            </w:tcBorders>
            <w:vAlign w:val="center"/>
          </w:tcPr>
          <w:p>
            <w:pPr>
              <w:widowControl/>
              <w:ind w:firstLine="420"/>
              <w:jc w:val="center"/>
              <w:textAlignment w:val="center"/>
              <w:rPr>
                <w:rFonts w:cs="Times New Roman"/>
                <w:bCs/>
                <w:sz w:val="21"/>
                <w:szCs w:val="21"/>
              </w:rPr>
            </w:pPr>
            <w:r>
              <w:rPr>
                <w:rFonts w:hint="eastAsia" w:cs="Times New Roman"/>
                <w:bCs/>
                <w:sz w:val="21"/>
                <w:szCs w:val="21"/>
              </w:rPr>
              <w:t>44.7</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cs="Times New Roman"/>
                <w:bCs/>
                <w:sz w:val="21"/>
                <w:szCs w:val="21"/>
              </w:rPr>
            </w:pPr>
            <w:r>
              <w:rPr>
                <w:rFonts w:hint="eastAsia" w:cs="Times New Roman"/>
                <w:bCs/>
                <w:sz w:val="21"/>
                <w:szCs w:val="21"/>
              </w:rPr>
              <w:t>268.56</w:t>
            </w:r>
          </w:p>
        </w:tc>
        <w:tc>
          <w:tcPr>
            <w:tcW w:w="1502"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cs="Times New Roman"/>
                <w:bCs/>
                <w:sz w:val="21"/>
                <w:szCs w:val="21"/>
              </w:rPr>
            </w:pPr>
            <w:r>
              <w:rPr>
                <w:rFonts w:hint="eastAsia" w:cs="Times New Roman"/>
                <w:bCs/>
                <w:sz w:val="21"/>
                <w:szCs w:val="21"/>
              </w:rPr>
              <w:t>93.08</w:t>
            </w:r>
          </w:p>
        </w:tc>
      </w:tr>
    </w:tbl>
    <w:p>
      <w:pPr>
        <w:ind w:firstLine="480"/>
        <w:rPr>
          <w:rFonts w:cs="Times New Roman"/>
          <w:szCs w:val="24"/>
        </w:rPr>
      </w:pPr>
      <w:r>
        <w:rPr>
          <w:rFonts w:cs="Times New Roman"/>
          <w:szCs w:val="24"/>
        </w:rPr>
        <w:t>从表3-</w:t>
      </w:r>
      <w:r>
        <w:rPr>
          <w:rFonts w:hint="eastAsia" w:cs="Times New Roman"/>
          <w:szCs w:val="24"/>
        </w:rPr>
        <w:t>4</w:t>
      </w:r>
      <w:r>
        <w:rPr>
          <w:rFonts w:cs="Times New Roman"/>
          <w:szCs w:val="24"/>
        </w:rPr>
        <w:t>中可以看出，桂花水库水源地农业农村面源污染排放量氨氮、总磷和总氮主要来自于农田化肥。</w:t>
      </w:r>
    </w:p>
    <w:p>
      <w:pPr>
        <w:pStyle w:val="8"/>
        <w:adjustRightInd w:val="0"/>
        <w:spacing w:before="99" w:beforeLines="30" w:line="360" w:lineRule="auto"/>
        <w:ind w:firstLine="480"/>
        <w:rPr>
          <w:rFonts w:cs="Times New Roman"/>
          <w:sz w:val="24"/>
          <w:szCs w:val="24"/>
        </w:rPr>
      </w:pPr>
      <w:r>
        <w:rPr>
          <w:rFonts w:cs="Times New Roman"/>
          <w:sz w:val="24"/>
          <w:szCs w:val="24"/>
        </w:rPr>
        <w:t>大竹林水库水源保护区内农业农村面源污染入湖量为氨氮</w:t>
      </w:r>
      <w:r>
        <w:rPr>
          <w:rFonts w:hint="eastAsia" w:cs="Times New Roman"/>
          <w:bCs/>
          <w:sz w:val="24"/>
          <w:szCs w:val="24"/>
        </w:rPr>
        <w:t>44.7</w:t>
      </w:r>
      <w:r>
        <w:rPr>
          <w:rFonts w:hint="eastAsia" w:cs="Times New Roman"/>
          <w:sz w:val="24"/>
          <w:szCs w:val="24"/>
        </w:rPr>
        <w:t xml:space="preserve"> </w:t>
      </w:r>
      <w:r>
        <w:rPr>
          <w:rFonts w:cs="Times New Roman"/>
          <w:sz w:val="24"/>
          <w:szCs w:val="24"/>
        </w:rPr>
        <w:t>kg</w:t>
      </w:r>
      <w:r>
        <w:rPr>
          <w:rFonts w:cs="Times New Roman"/>
          <w:sz w:val="24"/>
          <w:szCs w:val="22"/>
        </w:rPr>
        <w:t>/a</w:t>
      </w:r>
      <w:r>
        <w:rPr>
          <w:rFonts w:cs="Times New Roman"/>
          <w:sz w:val="24"/>
          <w:szCs w:val="24"/>
        </w:rPr>
        <w:t>、总氮</w:t>
      </w:r>
      <w:r>
        <w:rPr>
          <w:rFonts w:hint="eastAsia" w:cs="Times New Roman"/>
          <w:bCs/>
          <w:sz w:val="24"/>
          <w:szCs w:val="24"/>
        </w:rPr>
        <w:t>268.56</w:t>
      </w:r>
      <w:r>
        <w:rPr>
          <w:rFonts w:hint="eastAsia" w:cs="Times New Roman"/>
          <w:sz w:val="24"/>
          <w:szCs w:val="24"/>
        </w:rPr>
        <w:t xml:space="preserve"> </w:t>
      </w:r>
      <w:r>
        <w:rPr>
          <w:rFonts w:cs="Times New Roman"/>
          <w:sz w:val="24"/>
          <w:szCs w:val="24"/>
        </w:rPr>
        <w:t>kg</w:t>
      </w:r>
      <w:r>
        <w:rPr>
          <w:rFonts w:cs="Times New Roman"/>
          <w:sz w:val="24"/>
          <w:szCs w:val="22"/>
        </w:rPr>
        <w:t>/a</w:t>
      </w:r>
      <w:r>
        <w:rPr>
          <w:rFonts w:cs="Times New Roman"/>
          <w:sz w:val="24"/>
          <w:szCs w:val="24"/>
        </w:rPr>
        <w:t>、总磷</w:t>
      </w:r>
      <w:r>
        <w:rPr>
          <w:rFonts w:hint="eastAsia" w:cs="Times New Roman"/>
          <w:bCs/>
          <w:sz w:val="24"/>
          <w:szCs w:val="24"/>
        </w:rPr>
        <w:t xml:space="preserve">93.08 </w:t>
      </w:r>
      <w:r>
        <w:rPr>
          <w:rFonts w:cs="Times New Roman"/>
          <w:sz w:val="24"/>
          <w:szCs w:val="24"/>
        </w:rPr>
        <w:t>kg</w:t>
      </w:r>
      <w:r>
        <w:rPr>
          <w:rFonts w:cs="Times New Roman"/>
          <w:sz w:val="24"/>
          <w:szCs w:val="22"/>
        </w:rPr>
        <w:t>/a</w:t>
      </w:r>
      <w:r>
        <w:rPr>
          <w:rFonts w:cs="Times New Roman"/>
          <w:sz w:val="24"/>
          <w:szCs w:val="24"/>
        </w:rPr>
        <w:t>。</w:t>
      </w:r>
    </w:p>
    <w:p>
      <w:pPr>
        <w:pStyle w:val="4"/>
      </w:pPr>
      <w:bookmarkStart w:id="98" w:name="_Toc19691445"/>
      <w:bookmarkStart w:id="99" w:name="_Toc32745"/>
      <w:r>
        <w:rPr>
          <w:rFonts w:hint="eastAsia"/>
        </w:rPr>
        <w:t>3</w:t>
      </w:r>
      <w:r>
        <w:t xml:space="preserve">.4  </w:t>
      </w:r>
      <w:r>
        <w:rPr>
          <w:rFonts w:hint="eastAsia"/>
        </w:rPr>
        <w:t>饮用水水源地水环境风险分析</w:t>
      </w:r>
      <w:bookmarkEnd w:id="98"/>
      <w:bookmarkEnd w:id="99"/>
    </w:p>
    <w:p>
      <w:pPr>
        <w:ind w:firstLine="480"/>
        <w:rPr>
          <w:rFonts w:cs="Times New Roman"/>
          <w:kern w:val="0"/>
          <w:szCs w:val="24"/>
        </w:rPr>
      </w:pPr>
      <w:r>
        <w:rPr>
          <w:rFonts w:cs="Times New Roman"/>
          <w:szCs w:val="24"/>
        </w:rPr>
        <w:t>大竹林水库</w:t>
      </w:r>
      <w:r>
        <w:rPr>
          <w:rFonts w:cs="Times New Roman"/>
          <w:kern w:val="0"/>
          <w:szCs w:val="24"/>
        </w:rPr>
        <w:t>周围无运送危险化学品道路、无石油管道等内容。经调查，</w:t>
      </w:r>
      <w:r>
        <w:rPr>
          <w:rFonts w:cs="Times New Roman"/>
          <w:szCs w:val="24"/>
        </w:rPr>
        <w:t>大竹林水库</w:t>
      </w:r>
      <w:r>
        <w:rPr>
          <w:rFonts w:cs="Times New Roman"/>
          <w:kern w:val="0"/>
          <w:szCs w:val="24"/>
        </w:rPr>
        <w:t>保护区范围内没有发生</w:t>
      </w:r>
      <w:r>
        <w:rPr>
          <w:rFonts w:hint="eastAsia" w:cs="Times New Roman"/>
          <w:kern w:val="0"/>
          <w:szCs w:val="24"/>
        </w:rPr>
        <w:t>过</w:t>
      </w:r>
      <w:r>
        <w:rPr>
          <w:rFonts w:cs="Times New Roman"/>
          <w:kern w:val="0"/>
          <w:szCs w:val="24"/>
        </w:rPr>
        <w:t>重大环境污染事件，突发环境事故历史统计数为零。</w:t>
      </w:r>
    </w:p>
    <w:p>
      <w:pPr>
        <w:ind w:firstLine="480"/>
        <w:rPr>
          <w:rFonts w:cs="Times New Roman"/>
          <w:szCs w:val="24"/>
        </w:rPr>
      </w:pPr>
      <w:r>
        <w:rPr>
          <w:rFonts w:hint="eastAsia" w:cs="Times New Roman"/>
          <w:kern w:val="0"/>
          <w:szCs w:val="24"/>
        </w:rPr>
        <w:t>由于</w:t>
      </w:r>
      <w:r>
        <w:rPr>
          <w:rFonts w:hint="eastAsia"/>
        </w:rPr>
        <w:t>养殖小区的一处堆粪场位于道路东侧，已经处于大竹林水库径流区内，养殖小区运行后产生的污水将会成为重大的风险源，一旦养殖小区的污水流入水库，将会严重影响大竹林水库水质。</w:t>
      </w:r>
    </w:p>
    <w:p>
      <w:pPr>
        <w:pStyle w:val="3"/>
      </w:pPr>
      <w:bookmarkStart w:id="100" w:name="_Toc2095_WPSOffice_Level1"/>
      <w:bookmarkStart w:id="101" w:name="_Toc2106"/>
      <w:bookmarkStart w:id="102" w:name="_Toc19691446"/>
      <w:bookmarkStart w:id="103" w:name="_Toc9175_WPSOffice_Level1"/>
      <w:r>
        <w:rPr>
          <w:rFonts w:hint="eastAsia"/>
        </w:rPr>
        <w:t xml:space="preserve">第四章 </w:t>
      </w:r>
      <w:r>
        <w:t xml:space="preserve"> </w:t>
      </w:r>
      <w:r>
        <w:rPr>
          <w:rFonts w:hint="eastAsia"/>
        </w:rPr>
        <w:t>保护区划分与定界</w:t>
      </w:r>
      <w:bookmarkEnd w:id="100"/>
      <w:bookmarkEnd w:id="101"/>
      <w:bookmarkEnd w:id="102"/>
      <w:bookmarkEnd w:id="103"/>
    </w:p>
    <w:p>
      <w:pPr>
        <w:pStyle w:val="4"/>
      </w:pPr>
      <w:bookmarkStart w:id="104" w:name="_Toc9201"/>
      <w:bookmarkStart w:id="105" w:name="_Toc19691447"/>
      <w:r>
        <w:rPr>
          <w:rFonts w:hint="eastAsia"/>
        </w:rPr>
        <w:t>4</w:t>
      </w:r>
      <w:r>
        <w:t xml:space="preserve">.1  </w:t>
      </w:r>
      <w:r>
        <w:rPr>
          <w:rFonts w:hint="eastAsia"/>
        </w:rPr>
        <w:t>水环境功能</w:t>
      </w:r>
      <w:bookmarkEnd w:id="104"/>
      <w:bookmarkEnd w:id="105"/>
    </w:p>
    <w:p>
      <w:pPr>
        <w:ind w:firstLine="480"/>
        <w:rPr>
          <w:rFonts w:cs="Times New Roman"/>
          <w:snapToGrid w:val="0"/>
          <w:kern w:val="0"/>
          <w:szCs w:val="24"/>
        </w:rPr>
      </w:pPr>
      <w:r>
        <w:rPr>
          <w:rFonts w:cs="Times New Roman"/>
        </w:rPr>
        <w:t>大竹林水库始建于1971年6月，续修至1977年3月完成工程设计规模，2012年11月进行出险加固建设至2013年5月下闸蓄水，是</w:t>
      </w:r>
      <w:r>
        <w:rPr>
          <w:rFonts w:cs="Times New Roman"/>
          <w:szCs w:val="24"/>
          <w:lang w:val="zh-CN"/>
        </w:rPr>
        <w:t>一座集生活供水、农田灌溉和防汛防洪为一体的综合性小(二)型水库。水库担负着</w:t>
      </w:r>
      <w:r>
        <w:rPr>
          <w:rFonts w:cs="Times New Roman"/>
          <w:snapToGrid w:val="0"/>
          <w:kern w:val="0"/>
          <w:szCs w:val="24"/>
        </w:rPr>
        <w:t>干龙</w:t>
      </w:r>
      <w:r>
        <w:rPr>
          <w:rFonts w:cs="Times New Roman"/>
          <w:szCs w:val="24"/>
        </w:rPr>
        <w:t>富村镇干龙、小坝、祖德、团山等四个村委会39个自然村17000人的饮用水</w:t>
      </w:r>
      <w:r>
        <w:rPr>
          <w:rFonts w:cs="Times New Roman"/>
          <w:snapToGrid w:val="0"/>
          <w:kern w:val="0"/>
          <w:szCs w:val="24"/>
        </w:rPr>
        <w:t>。大竹林水库水环境功能见表4-1。</w:t>
      </w:r>
      <w:r>
        <w:rPr>
          <w:rFonts w:cs="Times New Roman"/>
        </w:rPr>
        <w:t>根据</w:t>
      </w:r>
      <w:r>
        <w:rPr>
          <w:rFonts w:cs="Times New Roman"/>
          <w:shd w:val="clear" w:color="auto" w:fill="FFFFFF"/>
        </w:rPr>
        <w:t>《</w:t>
      </w:r>
      <w:r>
        <w:rPr>
          <w:rFonts w:cs="Times New Roman"/>
        </w:rPr>
        <w:t>云南省地表水水环境功能区划</w:t>
      </w:r>
      <w:r>
        <w:rPr>
          <w:rFonts w:cs="Times New Roman"/>
          <w:shd w:val="clear" w:color="auto" w:fill="FFFFFF"/>
        </w:rPr>
        <w:t>》（2010—2020年），</w:t>
      </w:r>
      <w:r>
        <w:rPr>
          <w:rFonts w:cs="Times New Roman"/>
        </w:rPr>
        <w:t>大竹林水库属于农业用水、农村饮用水，Ⅲ类水体，不属于自然保护区和市饮用水源保护区内。</w:t>
      </w:r>
    </w:p>
    <w:p>
      <w:pPr>
        <w:pStyle w:val="42"/>
        <w:spacing w:before="166" w:after="166"/>
        <w:rPr>
          <w:snapToGrid w:val="0"/>
        </w:rPr>
      </w:pPr>
      <w:r>
        <w:rPr>
          <w:snapToGrid w:val="0"/>
        </w:rPr>
        <w:t>表4-1  富源县大竹林水库水环境功能</w:t>
      </w:r>
    </w:p>
    <w:tbl>
      <w:tblPr>
        <w:tblStyle w:val="25"/>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509"/>
        <w:gridCol w:w="1413"/>
        <w:gridCol w:w="1413"/>
        <w:gridCol w:w="2890"/>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09" w:type="dxa"/>
            <w:vAlign w:val="center"/>
          </w:tcPr>
          <w:p>
            <w:pPr>
              <w:pStyle w:val="35"/>
            </w:pPr>
            <w:r>
              <w:t>一级水系</w:t>
            </w:r>
          </w:p>
        </w:tc>
        <w:tc>
          <w:tcPr>
            <w:tcW w:w="1413" w:type="dxa"/>
          </w:tcPr>
          <w:p>
            <w:pPr>
              <w:pStyle w:val="35"/>
            </w:pPr>
            <w:r>
              <w:t>二级水系</w:t>
            </w:r>
          </w:p>
        </w:tc>
        <w:tc>
          <w:tcPr>
            <w:tcW w:w="1413" w:type="dxa"/>
            <w:vAlign w:val="center"/>
          </w:tcPr>
          <w:p>
            <w:pPr>
              <w:pStyle w:val="35"/>
            </w:pPr>
            <w:r>
              <w:t>水库名称</w:t>
            </w:r>
          </w:p>
        </w:tc>
        <w:tc>
          <w:tcPr>
            <w:tcW w:w="2890" w:type="dxa"/>
            <w:vAlign w:val="center"/>
          </w:tcPr>
          <w:p>
            <w:pPr>
              <w:pStyle w:val="35"/>
            </w:pPr>
            <w:r>
              <w:t>水环境功能</w:t>
            </w:r>
          </w:p>
        </w:tc>
        <w:tc>
          <w:tcPr>
            <w:tcW w:w="1756" w:type="dxa"/>
          </w:tcPr>
          <w:p>
            <w:pPr>
              <w:pStyle w:val="35"/>
            </w:pPr>
            <w: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509" w:type="dxa"/>
            <w:vAlign w:val="center"/>
          </w:tcPr>
          <w:p>
            <w:pPr>
              <w:pStyle w:val="35"/>
            </w:pPr>
            <w:r>
              <w:t>珠江水系</w:t>
            </w:r>
          </w:p>
        </w:tc>
        <w:tc>
          <w:tcPr>
            <w:tcW w:w="1413" w:type="dxa"/>
          </w:tcPr>
          <w:p>
            <w:pPr>
              <w:pStyle w:val="35"/>
            </w:pPr>
            <w:r>
              <w:t>黄泥河水系</w:t>
            </w:r>
          </w:p>
        </w:tc>
        <w:tc>
          <w:tcPr>
            <w:tcW w:w="1413" w:type="dxa"/>
            <w:vAlign w:val="center"/>
          </w:tcPr>
          <w:p>
            <w:pPr>
              <w:pStyle w:val="35"/>
            </w:pPr>
            <w:r>
              <w:t>大竹林水库</w:t>
            </w:r>
          </w:p>
        </w:tc>
        <w:tc>
          <w:tcPr>
            <w:tcW w:w="2890" w:type="dxa"/>
            <w:vAlign w:val="center"/>
          </w:tcPr>
          <w:p>
            <w:pPr>
              <w:pStyle w:val="35"/>
            </w:pPr>
            <w:r>
              <w:t>农村饮用水、农业用水</w:t>
            </w:r>
          </w:p>
        </w:tc>
        <w:tc>
          <w:tcPr>
            <w:tcW w:w="1756" w:type="dxa"/>
          </w:tcPr>
          <w:p>
            <w:pPr>
              <w:pStyle w:val="35"/>
            </w:pPr>
            <w:r>
              <w:t>Ⅲ类</w:t>
            </w:r>
          </w:p>
        </w:tc>
      </w:tr>
    </w:tbl>
    <w:p>
      <w:pPr>
        <w:ind w:firstLine="0" w:firstLineChars="0"/>
        <w:rPr>
          <w:rFonts w:cs="Times New Roman"/>
          <w:snapToGrid w:val="0"/>
          <w:kern w:val="0"/>
          <w:szCs w:val="24"/>
        </w:rPr>
      </w:pPr>
    </w:p>
    <w:p>
      <w:pPr>
        <w:pStyle w:val="4"/>
        <w:rPr>
          <w:rFonts w:cs="Times New Roman"/>
        </w:rPr>
      </w:pPr>
      <w:bookmarkStart w:id="106" w:name="_Toc1852"/>
      <w:bookmarkStart w:id="107" w:name="_Toc19691448"/>
      <w:r>
        <w:rPr>
          <w:rFonts w:cs="Times New Roman"/>
        </w:rPr>
        <w:t>4.2  保护区划分原则</w:t>
      </w:r>
      <w:bookmarkEnd w:id="106"/>
      <w:bookmarkEnd w:id="107"/>
    </w:p>
    <w:p>
      <w:pPr>
        <w:ind w:firstLine="480"/>
        <w:rPr>
          <w:rFonts w:cs="Times New Roman"/>
        </w:rPr>
      </w:pPr>
      <w:r>
        <w:rPr>
          <w:rFonts w:cs="Times New Roman"/>
        </w:rPr>
        <w:t>饮用水水源一级保护区为防止人为活动对取水口的直接污染，确保取水口水质安全而划定需加以严格限制的核心区域；饮用水水源二级保护区为防止污染源对饮用水水源水质的直接影响，保证饮用水水源一级保护区水质而划定，需加以严格控制的重点区域；饮用水水源准保护区是在饮用水水源二级保护区外，为涵养水源、控制污染源对饮用水水质的影响，保证饮用水水源二级保护区的水质而划定，需实施水污染总量控制和生态保护的区域。</w:t>
      </w:r>
    </w:p>
    <w:p>
      <w:pPr>
        <w:ind w:firstLine="480"/>
        <w:rPr>
          <w:rFonts w:cs="Times New Roman"/>
        </w:rPr>
      </w:pPr>
      <w:r>
        <w:rPr>
          <w:rFonts w:cs="Times New Roman"/>
        </w:rPr>
        <w:t>大竹林水库总库容为36.2万m</w:t>
      </w:r>
      <w:r>
        <w:rPr>
          <w:rFonts w:cs="Times New Roman"/>
          <w:vertAlign w:val="superscript"/>
        </w:rPr>
        <w:t>3</w:t>
      </w:r>
      <w:r>
        <w:rPr>
          <w:rFonts w:cs="Times New Roman"/>
        </w:rPr>
        <w:t>，正常库容为28.2万m</w:t>
      </w:r>
      <w:r>
        <w:rPr>
          <w:rFonts w:cs="Times New Roman"/>
          <w:vertAlign w:val="superscript"/>
        </w:rPr>
        <w:t>3</w:t>
      </w:r>
      <w:r>
        <w:rPr>
          <w:rFonts w:cs="Times New Roman"/>
        </w:rPr>
        <w:t>，调洪库容为34.3万m</w:t>
      </w:r>
      <w:r>
        <w:rPr>
          <w:rFonts w:cs="Times New Roman"/>
          <w:vertAlign w:val="superscript"/>
        </w:rPr>
        <w:t>3</w:t>
      </w:r>
      <w:r>
        <w:rPr>
          <w:rFonts w:cs="Times New Roman"/>
        </w:rPr>
        <w:t>，死库容为4.25万m</w:t>
      </w:r>
      <w:r>
        <w:rPr>
          <w:rFonts w:cs="Times New Roman"/>
          <w:vertAlign w:val="superscript"/>
        </w:rPr>
        <w:t>3</w:t>
      </w:r>
      <w:r>
        <w:rPr>
          <w:rFonts w:cs="Times New Roman"/>
        </w:rPr>
        <w:t>，根据湖泊、水库型饮用水水源地分级标准，该水库是一座小型水库。采用类比经验法确定饮用水源一级保护区水域和陆域范围；采用地形边界法确定饮用水源二级保护区水域和陆域范围；由于水库规模小，水质为Ⅱ类饮用水，径流范围内无重大污染，故不设立准保护区。</w:t>
      </w:r>
    </w:p>
    <w:p>
      <w:pPr>
        <w:pStyle w:val="4"/>
        <w:rPr>
          <w:rFonts w:cs="Times New Roman"/>
        </w:rPr>
      </w:pPr>
      <w:bookmarkStart w:id="108" w:name="_Toc31927"/>
      <w:bookmarkStart w:id="109" w:name="_Toc19691449"/>
      <w:r>
        <w:rPr>
          <w:rFonts w:cs="Times New Roman"/>
        </w:rPr>
        <w:t>4.3  划分方案</w:t>
      </w:r>
      <w:bookmarkEnd w:id="108"/>
      <w:bookmarkEnd w:id="109"/>
    </w:p>
    <w:p>
      <w:pPr>
        <w:pStyle w:val="5"/>
        <w:rPr>
          <w:rFonts w:cs="Times New Roman"/>
        </w:rPr>
      </w:pPr>
      <w:bookmarkStart w:id="110" w:name="_Toc19691450"/>
      <w:bookmarkStart w:id="111" w:name="_Toc13854"/>
      <w:r>
        <w:rPr>
          <w:rFonts w:cs="Times New Roman"/>
        </w:rPr>
        <w:t>4.3.1  一级保护区划分方案</w:t>
      </w:r>
      <w:bookmarkEnd w:id="110"/>
      <w:bookmarkEnd w:id="111"/>
    </w:p>
    <w:p>
      <w:pPr>
        <w:ind w:firstLine="480"/>
        <w:rPr>
          <w:rFonts w:cs="Times New Roman"/>
        </w:rPr>
      </w:pPr>
      <w:r>
        <w:rPr>
          <w:rFonts w:cs="Times New Roman"/>
        </w:rPr>
        <w:t>4.3.1.1  一级保护区水域划分方案</w:t>
      </w:r>
    </w:p>
    <w:p>
      <w:pPr>
        <w:ind w:firstLine="480"/>
        <w:rPr>
          <w:rFonts w:cs="Times New Roman"/>
        </w:rPr>
      </w:pPr>
      <w:r>
        <w:rPr>
          <w:rFonts w:cs="Times New Roman"/>
        </w:rPr>
        <w:t>将大竹林水库正常蓄水位1795.00m以下水域范围作为一级保护区水域范围。</w:t>
      </w:r>
    </w:p>
    <w:p>
      <w:pPr>
        <w:ind w:firstLine="480"/>
        <w:rPr>
          <w:rFonts w:cs="Times New Roman"/>
        </w:rPr>
      </w:pPr>
      <w:r>
        <w:rPr>
          <w:rFonts w:cs="Times New Roman"/>
        </w:rPr>
        <w:t>4.3.1.2  一级保护区陆域划分方案</w:t>
      </w:r>
    </w:p>
    <w:p>
      <w:pPr>
        <w:ind w:firstLine="480"/>
        <w:rPr>
          <w:rFonts w:cs="Times New Roman"/>
        </w:rPr>
      </w:pPr>
      <w:r>
        <w:rPr>
          <w:rFonts w:cs="Times New Roman"/>
        </w:rPr>
        <w:t>根据大竹林水库正常蓄水位等高线外延200m范围作为一级保护区陆域范围。</w:t>
      </w:r>
    </w:p>
    <w:p>
      <w:pPr>
        <w:pStyle w:val="5"/>
        <w:rPr>
          <w:rFonts w:cs="Times New Roman"/>
        </w:rPr>
      </w:pPr>
      <w:bookmarkStart w:id="112" w:name="_Toc5265"/>
      <w:bookmarkStart w:id="113" w:name="_Toc19691451"/>
      <w:r>
        <w:rPr>
          <w:rFonts w:cs="Times New Roman"/>
        </w:rPr>
        <w:t>4.3.2  二级保护区划分方案</w:t>
      </w:r>
      <w:bookmarkEnd w:id="112"/>
      <w:bookmarkEnd w:id="113"/>
    </w:p>
    <w:p>
      <w:pPr>
        <w:ind w:firstLine="480"/>
        <w:rPr>
          <w:rFonts w:cs="Times New Roman"/>
        </w:rPr>
      </w:pPr>
      <w:r>
        <w:rPr>
          <w:rFonts w:cs="Times New Roman"/>
        </w:rPr>
        <w:t>4.3.2.1  二级保护区水域划分方案</w:t>
      </w:r>
    </w:p>
    <w:p>
      <w:pPr>
        <w:ind w:firstLine="480"/>
        <w:rPr>
          <w:rFonts w:cs="Times New Roman"/>
        </w:rPr>
      </w:pPr>
      <w:r>
        <w:rPr>
          <w:rFonts w:cs="Times New Roman"/>
        </w:rPr>
        <w:t>大竹林水库流域范围内无常流河、人工水塘和天然湖泊等水域，故不划分二级保护区水域。</w:t>
      </w:r>
    </w:p>
    <w:p>
      <w:pPr>
        <w:ind w:firstLine="480"/>
        <w:rPr>
          <w:rFonts w:cs="Times New Roman"/>
        </w:rPr>
      </w:pPr>
      <w:r>
        <w:rPr>
          <w:rFonts w:cs="Times New Roman"/>
        </w:rPr>
        <w:t>4.3.2.2  二级保护区陆域划分方案</w:t>
      </w:r>
    </w:p>
    <w:p>
      <w:pPr>
        <w:ind w:firstLine="480"/>
        <w:rPr>
          <w:rFonts w:cs="Times New Roman"/>
        </w:rPr>
      </w:pPr>
      <w:r>
        <w:rPr>
          <w:rFonts w:cs="Times New Roman"/>
        </w:rPr>
        <w:t>将大竹林水库流域范围内剩余陆域全部划分为二级保护区陆域范围。</w:t>
      </w:r>
    </w:p>
    <w:p>
      <w:pPr>
        <w:pStyle w:val="4"/>
        <w:rPr>
          <w:rFonts w:cs="Times New Roman"/>
        </w:rPr>
      </w:pPr>
      <w:bookmarkStart w:id="114" w:name="_Toc4276"/>
      <w:bookmarkStart w:id="115" w:name="_Toc19691452"/>
      <w:r>
        <w:rPr>
          <w:rFonts w:cs="Times New Roman"/>
        </w:rPr>
        <w:t>4.4  保护区定界方案和技术说明</w:t>
      </w:r>
      <w:bookmarkEnd w:id="114"/>
      <w:bookmarkEnd w:id="115"/>
    </w:p>
    <w:p>
      <w:pPr>
        <w:pStyle w:val="5"/>
        <w:rPr>
          <w:rFonts w:cs="Times New Roman"/>
        </w:rPr>
      </w:pPr>
      <w:bookmarkStart w:id="116" w:name="_Toc28554"/>
      <w:bookmarkStart w:id="117" w:name="_Toc19691453"/>
      <w:r>
        <w:rPr>
          <w:rFonts w:cs="Times New Roman"/>
        </w:rPr>
        <w:t>4.4.1  一级保护区定界方案</w:t>
      </w:r>
      <w:bookmarkEnd w:id="116"/>
      <w:bookmarkEnd w:id="117"/>
    </w:p>
    <w:p>
      <w:pPr>
        <w:ind w:firstLine="480"/>
        <w:rPr>
          <w:rFonts w:cs="Times New Roman"/>
        </w:rPr>
      </w:pPr>
      <w:r>
        <w:rPr>
          <w:rFonts w:cs="Times New Roman"/>
        </w:rPr>
        <w:t>4.4.1.1  一级保护区水域定界方案</w:t>
      </w:r>
    </w:p>
    <w:p>
      <w:pPr>
        <w:ind w:firstLine="480"/>
        <w:rPr>
          <w:rFonts w:cs="Times New Roman"/>
        </w:rPr>
      </w:pPr>
      <w:r>
        <w:rPr>
          <w:rFonts w:cs="Times New Roman"/>
        </w:rPr>
        <w:t>由于大竹林水库建设年代较早、规模很小，缺少相关地形资料。为了保证提取的正常蓄水位边界的准确度，使用多张历史谷歌地球影像来综合提取水库的正常蓄水位水域边界。大竹林水库一级保护区水域面积3.37 hm</w:t>
      </w:r>
      <w:r>
        <w:rPr>
          <w:rFonts w:cs="Times New Roman"/>
          <w:vertAlign w:val="superscript"/>
        </w:rPr>
        <w:t>2</w:t>
      </w:r>
      <w:r>
        <w:rPr>
          <w:rFonts w:cs="Times New Roman"/>
        </w:rPr>
        <w:t>，占流域总面积的3.45%，拐点坐标见表4-3。</w:t>
      </w:r>
    </w:p>
    <w:p>
      <w:pPr>
        <w:ind w:firstLine="480"/>
        <w:rPr>
          <w:rFonts w:cs="Times New Roman"/>
        </w:rPr>
      </w:pPr>
      <w:r>
        <w:rPr>
          <w:rFonts w:cs="Times New Roman"/>
        </w:rPr>
        <w:t>4.4.1.2  一级保护区陆域定界方案</w:t>
      </w:r>
    </w:p>
    <w:p>
      <w:pPr>
        <w:ind w:firstLine="480"/>
        <w:rPr>
          <w:rFonts w:cs="Times New Roman"/>
        </w:rPr>
      </w:pPr>
      <w:r>
        <w:rPr>
          <w:rFonts w:cs="Times New Roman"/>
        </w:rPr>
        <w:t>在ArcGIS软件中根据正常蓄水位水域边界制作200 m缓冲区，以此作为一级保护区陆域边界基础。由于直接计算出的陆域边界存在界线不明确，不易于操作和管理，故根据影像图和地形图适当调整大竹林水库一级保护区陆域范围边界，尽量让其与地物、地形吻合。大竹林水库一级保护区陆域范围北边以大坝东西两侧山脊线延伸200 m为界；东边基本以第二层面山山脊为界；南边以水库第一层面山为界；西边以第一层山山腰为界，由于西边地区旱地多，边界穿插在旱地、灌木林地和乔木林地之间。大竹林水库一级保护区陆域面积31.62 hm</w:t>
      </w:r>
      <w:r>
        <w:rPr>
          <w:rFonts w:cs="Times New Roman"/>
          <w:vertAlign w:val="superscript"/>
        </w:rPr>
        <w:t>2</w:t>
      </w:r>
      <w:r>
        <w:rPr>
          <w:rFonts w:cs="Times New Roman"/>
        </w:rPr>
        <w:t>，占流域总面积的32.38%，拐点坐标见表4-3。</w:t>
      </w:r>
    </w:p>
    <w:p>
      <w:pPr>
        <w:pStyle w:val="5"/>
        <w:rPr>
          <w:rFonts w:cs="Times New Roman"/>
        </w:rPr>
      </w:pPr>
      <w:bookmarkStart w:id="118" w:name="_Toc19513"/>
      <w:bookmarkStart w:id="119" w:name="_Toc19691454"/>
      <w:r>
        <w:rPr>
          <w:rFonts w:cs="Times New Roman"/>
        </w:rPr>
        <w:t>4.4.2  二级保护区定界方案</w:t>
      </w:r>
      <w:bookmarkEnd w:id="118"/>
      <w:bookmarkEnd w:id="119"/>
    </w:p>
    <w:p>
      <w:pPr>
        <w:ind w:firstLine="480"/>
        <w:rPr>
          <w:rFonts w:cs="Times New Roman"/>
        </w:rPr>
      </w:pPr>
      <w:r>
        <w:rPr>
          <w:rFonts w:cs="Times New Roman"/>
        </w:rPr>
        <w:t>4.4.1.1  二级保护区陆域定界方案</w:t>
      </w:r>
    </w:p>
    <w:p>
      <w:pPr>
        <w:ind w:firstLine="480"/>
        <w:rPr>
          <w:rFonts w:cs="Times New Roman"/>
        </w:rPr>
      </w:pPr>
      <w:r>
        <w:rPr>
          <w:rFonts w:cs="Times New Roman"/>
        </w:rPr>
        <w:t>在DEM数据基础上，使用ArcGIS软件的水文分析功能模块确认大竹林水库流域范围，以此范围作为大竹林水库二级保护区陆域基本范围。大竹林水库二级保护区陆域范围北边为环形山脊线；东边为干龙村南面耕地与林地交界处；东南边界为云南和贵州省界，长度为150 m左右；南边为与冷水沟水库分水岭；西边为都格自然村东部山梁。大竹林水库二级保护区陆域面积62.67 hm</w:t>
      </w:r>
      <w:r>
        <w:rPr>
          <w:rFonts w:cs="Times New Roman"/>
          <w:vertAlign w:val="superscript"/>
        </w:rPr>
        <w:t>2</w:t>
      </w:r>
      <w:r>
        <w:rPr>
          <w:rFonts w:cs="Times New Roman"/>
        </w:rPr>
        <w:t xml:space="preserve">，占流域总面积的64.17%，拐点坐标见表4-3。富源县大竹林水库饮用水水源保护区区划图见附图5。  </w:t>
      </w:r>
    </w:p>
    <w:p>
      <w:pPr>
        <w:pStyle w:val="42"/>
        <w:spacing w:before="166" w:after="166"/>
      </w:pPr>
      <w:r>
        <w:t>表4-2  饮用水水源保护区面积表</w:t>
      </w:r>
    </w:p>
    <w:p>
      <w:pPr>
        <w:pStyle w:val="35"/>
        <w:jc w:val="right"/>
      </w:pPr>
      <w:r>
        <w:t>单位：hm</w:t>
      </w:r>
      <w:r>
        <w:rPr>
          <w:rStyle w:val="36"/>
          <w:vertAlign w:val="superscript"/>
        </w:rPr>
        <w:t>2</w:t>
      </w:r>
      <w:r>
        <w:t>、%</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pStyle w:val="35"/>
            </w:pPr>
            <w:r>
              <w:t>保护区级别</w:t>
            </w:r>
          </w:p>
        </w:tc>
        <w:tc>
          <w:tcPr>
            <w:tcW w:w="2074" w:type="dxa"/>
          </w:tcPr>
          <w:p>
            <w:pPr>
              <w:pStyle w:val="35"/>
            </w:pPr>
            <w:r>
              <w:t>类别</w:t>
            </w:r>
          </w:p>
        </w:tc>
        <w:tc>
          <w:tcPr>
            <w:tcW w:w="2074" w:type="dxa"/>
          </w:tcPr>
          <w:p>
            <w:pPr>
              <w:pStyle w:val="35"/>
            </w:pPr>
            <w:r>
              <w:t>面积</w:t>
            </w:r>
          </w:p>
        </w:tc>
        <w:tc>
          <w:tcPr>
            <w:tcW w:w="2074" w:type="dxa"/>
          </w:tcPr>
          <w:p>
            <w:pPr>
              <w:pStyle w:val="35"/>
            </w:pPr>
            <w: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Merge w:val="restart"/>
            <w:vAlign w:val="center"/>
          </w:tcPr>
          <w:p>
            <w:pPr>
              <w:pStyle w:val="35"/>
            </w:pPr>
            <w:r>
              <w:t>一级保护区</w:t>
            </w:r>
          </w:p>
        </w:tc>
        <w:tc>
          <w:tcPr>
            <w:tcW w:w="2074" w:type="dxa"/>
          </w:tcPr>
          <w:p>
            <w:pPr>
              <w:pStyle w:val="35"/>
            </w:pPr>
            <w:r>
              <w:t>水域</w:t>
            </w:r>
          </w:p>
        </w:tc>
        <w:tc>
          <w:tcPr>
            <w:tcW w:w="2074" w:type="dxa"/>
          </w:tcPr>
          <w:p>
            <w:pPr>
              <w:pStyle w:val="35"/>
            </w:pPr>
            <w:r>
              <w:t>3.37</w:t>
            </w:r>
          </w:p>
        </w:tc>
        <w:tc>
          <w:tcPr>
            <w:tcW w:w="2074" w:type="dxa"/>
          </w:tcPr>
          <w:p>
            <w:pPr>
              <w:pStyle w:val="35"/>
            </w:pPr>
            <w: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Merge w:val="continue"/>
          </w:tcPr>
          <w:p>
            <w:pPr>
              <w:pStyle w:val="35"/>
            </w:pPr>
          </w:p>
        </w:tc>
        <w:tc>
          <w:tcPr>
            <w:tcW w:w="2074" w:type="dxa"/>
          </w:tcPr>
          <w:p>
            <w:pPr>
              <w:pStyle w:val="35"/>
            </w:pPr>
            <w:r>
              <w:t>陆域</w:t>
            </w:r>
          </w:p>
        </w:tc>
        <w:tc>
          <w:tcPr>
            <w:tcW w:w="2074" w:type="dxa"/>
          </w:tcPr>
          <w:p>
            <w:pPr>
              <w:pStyle w:val="35"/>
            </w:pPr>
            <w:r>
              <w:t>31.62</w:t>
            </w:r>
          </w:p>
        </w:tc>
        <w:tc>
          <w:tcPr>
            <w:tcW w:w="2074" w:type="dxa"/>
          </w:tcPr>
          <w:p>
            <w:pPr>
              <w:pStyle w:val="35"/>
            </w:pPr>
            <w:r>
              <w:t>32.38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74" w:type="dxa"/>
          </w:tcPr>
          <w:p>
            <w:pPr>
              <w:pStyle w:val="35"/>
            </w:pPr>
            <w:r>
              <w:t>二级保护区</w:t>
            </w:r>
          </w:p>
        </w:tc>
        <w:tc>
          <w:tcPr>
            <w:tcW w:w="2074" w:type="dxa"/>
          </w:tcPr>
          <w:p>
            <w:pPr>
              <w:pStyle w:val="35"/>
            </w:pPr>
            <w:r>
              <w:t>陆域</w:t>
            </w:r>
          </w:p>
        </w:tc>
        <w:tc>
          <w:tcPr>
            <w:tcW w:w="2074" w:type="dxa"/>
          </w:tcPr>
          <w:p>
            <w:pPr>
              <w:pStyle w:val="35"/>
            </w:pPr>
            <w:r>
              <w:t>62.67</w:t>
            </w:r>
          </w:p>
        </w:tc>
        <w:tc>
          <w:tcPr>
            <w:tcW w:w="2074" w:type="dxa"/>
          </w:tcPr>
          <w:p>
            <w:pPr>
              <w:pStyle w:val="35"/>
            </w:pPr>
            <w:r>
              <w:t>64.17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gridSpan w:val="2"/>
          </w:tcPr>
          <w:p>
            <w:pPr>
              <w:pStyle w:val="35"/>
            </w:pPr>
            <w:r>
              <w:t>合计</w:t>
            </w:r>
          </w:p>
        </w:tc>
        <w:tc>
          <w:tcPr>
            <w:tcW w:w="2074" w:type="dxa"/>
          </w:tcPr>
          <w:p>
            <w:pPr>
              <w:pStyle w:val="35"/>
            </w:pPr>
            <w:r>
              <w:t>97.66</w:t>
            </w:r>
          </w:p>
        </w:tc>
        <w:tc>
          <w:tcPr>
            <w:tcW w:w="2074" w:type="dxa"/>
          </w:tcPr>
          <w:p>
            <w:pPr>
              <w:pStyle w:val="35"/>
            </w:pPr>
            <w:r>
              <w:t>100.00</w:t>
            </w:r>
          </w:p>
        </w:tc>
      </w:tr>
    </w:tbl>
    <w:p>
      <w:pPr>
        <w:pStyle w:val="42"/>
        <w:spacing w:before="166" w:after="166"/>
      </w:pPr>
      <w:r>
        <w:t>表4-3  饮用水水源保护区拐点坐标</w:t>
      </w:r>
    </w:p>
    <w:tbl>
      <w:tblPr>
        <w:tblStyle w:val="26"/>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709"/>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5"/>
            </w:pPr>
            <w:r>
              <w:t>保护区级别</w:t>
            </w:r>
          </w:p>
        </w:tc>
        <w:tc>
          <w:tcPr>
            <w:tcW w:w="709" w:type="dxa"/>
            <w:vAlign w:val="center"/>
          </w:tcPr>
          <w:p>
            <w:pPr>
              <w:pStyle w:val="35"/>
            </w:pPr>
            <w:r>
              <w:t>拐点编号</w:t>
            </w:r>
          </w:p>
        </w:tc>
        <w:tc>
          <w:tcPr>
            <w:tcW w:w="1701" w:type="dxa"/>
            <w:vAlign w:val="center"/>
          </w:tcPr>
          <w:p>
            <w:pPr>
              <w:pStyle w:val="35"/>
            </w:pPr>
            <w:r>
              <w:t>经度</w:t>
            </w:r>
          </w:p>
        </w:tc>
        <w:tc>
          <w:tcPr>
            <w:tcW w:w="1701" w:type="dxa"/>
            <w:vAlign w:val="center"/>
          </w:tcPr>
          <w:p>
            <w:pPr>
              <w:pStyle w:val="35"/>
            </w:pPr>
            <w:r>
              <w:t>纬度</w:t>
            </w:r>
          </w:p>
        </w:tc>
        <w:tc>
          <w:tcPr>
            <w:tcW w:w="1701" w:type="dxa"/>
            <w:vAlign w:val="center"/>
          </w:tcPr>
          <w:p>
            <w:pPr>
              <w:pStyle w:val="35"/>
            </w:pPr>
            <w:r>
              <w:rPr>
                <w:rFonts w:hint="eastAsia"/>
              </w:rPr>
              <w:t>横坐标</w:t>
            </w:r>
          </w:p>
        </w:tc>
        <w:tc>
          <w:tcPr>
            <w:tcW w:w="1701" w:type="dxa"/>
            <w:vAlign w:val="center"/>
          </w:tcPr>
          <w:p>
            <w:pPr>
              <w:pStyle w:val="35"/>
            </w:pPr>
            <w:r>
              <w:rPr>
                <w:rFonts w:hint="eastAsia"/>
              </w:rPr>
              <w:t>纵坐标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pStyle w:val="35"/>
            </w:pPr>
            <w:r>
              <w:t>一</w:t>
            </w:r>
          </w:p>
          <w:p>
            <w:pPr>
              <w:pStyle w:val="35"/>
            </w:pPr>
            <w:r>
              <w:t>级</w:t>
            </w:r>
          </w:p>
          <w:p>
            <w:pPr>
              <w:pStyle w:val="35"/>
            </w:pPr>
            <w:r>
              <w:t>保</w:t>
            </w:r>
          </w:p>
          <w:p>
            <w:pPr>
              <w:pStyle w:val="35"/>
            </w:pPr>
            <w:r>
              <w:t>护</w:t>
            </w:r>
          </w:p>
          <w:p>
            <w:pPr>
              <w:pStyle w:val="35"/>
            </w:pPr>
            <w:r>
              <w:t>区</w:t>
            </w:r>
          </w:p>
        </w:tc>
        <w:tc>
          <w:tcPr>
            <w:tcW w:w="709" w:type="dxa"/>
            <w:vAlign w:val="center"/>
          </w:tcPr>
          <w:p>
            <w:pPr>
              <w:pStyle w:val="35"/>
            </w:pPr>
            <w:r>
              <w:t>Y01</w:t>
            </w:r>
          </w:p>
        </w:tc>
        <w:tc>
          <w:tcPr>
            <w:tcW w:w="1701" w:type="dxa"/>
            <w:vAlign w:val="center"/>
          </w:tcPr>
          <w:p>
            <w:pPr>
              <w:pStyle w:val="35"/>
            </w:pPr>
            <w:r>
              <w:t>E104°32'7.720"</w:t>
            </w:r>
          </w:p>
        </w:tc>
        <w:tc>
          <w:tcPr>
            <w:tcW w:w="1701" w:type="dxa"/>
            <w:vAlign w:val="center"/>
          </w:tcPr>
          <w:p>
            <w:pPr>
              <w:pStyle w:val="35"/>
            </w:pPr>
            <w:r>
              <w:t>N25°28'2.358"</w:t>
            </w:r>
          </w:p>
        </w:tc>
        <w:tc>
          <w:tcPr>
            <w:tcW w:w="1701" w:type="dxa"/>
          </w:tcPr>
          <w:p>
            <w:pPr>
              <w:pStyle w:val="35"/>
            </w:pPr>
            <w:r>
              <w:t>453285.0389</w:t>
            </w:r>
          </w:p>
        </w:tc>
        <w:tc>
          <w:tcPr>
            <w:tcW w:w="1701" w:type="dxa"/>
          </w:tcPr>
          <w:p>
            <w:pPr>
              <w:pStyle w:val="35"/>
            </w:pPr>
            <w:r>
              <w:t>2817903.811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Y02</w:t>
            </w:r>
          </w:p>
        </w:tc>
        <w:tc>
          <w:tcPr>
            <w:tcW w:w="1701" w:type="dxa"/>
            <w:vAlign w:val="center"/>
          </w:tcPr>
          <w:p>
            <w:pPr>
              <w:pStyle w:val="35"/>
            </w:pPr>
            <w:r>
              <w:t>E104°32'17.508"</w:t>
            </w:r>
          </w:p>
        </w:tc>
        <w:tc>
          <w:tcPr>
            <w:tcW w:w="1701" w:type="dxa"/>
            <w:vAlign w:val="center"/>
          </w:tcPr>
          <w:p>
            <w:pPr>
              <w:pStyle w:val="35"/>
            </w:pPr>
            <w:r>
              <w:t>N25°27'59.390"</w:t>
            </w:r>
          </w:p>
        </w:tc>
        <w:tc>
          <w:tcPr>
            <w:tcW w:w="1701" w:type="dxa"/>
          </w:tcPr>
          <w:p>
            <w:pPr>
              <w:pStyle w:val="35"/>
            </w:pPr>
            <w:r>
              <w:t>453558.1662</w:t>
            </w:r>
          </w:p>
        </w:tc>
        <w:tc>
          <w:tcPr>
            <w:tcW w:w="1701" w:type="dxa"/>
          </w:tcPr>
          <w:p>
            <w:pPr>
              <w:pStyle w:val="35"/>
            </w:pPr>
            <w:r>
              <w:t>2817811.506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Merge w:val="continue"/>
            <w:vAlign w:val="center"/>
          </w:tcPr>
          <w:p>
            <w:pPr>
              <w:pStyle w:val="35"/>
            </w:pPr>
          </w:p>
        </w:tc>
        <w:tc>
          <w:tcPr>
            <w:tcW w:w="709" w:type="dxa"/>
            <w:vAlign w:val="center"/>
          </w:tcPr>
          <w:p>
            <w:pPr>
              <w:pStyle w:val="35"/>
            </w:pPr>
            <w:r>
              <w:t>Y03</w:t>
            </w:r>
          </w:p>
        </w:tc>
        <w:tc>
          <w:tcPr>
            <w:tcW w:w="1701" w:type="dxa"/>
            <w:vAlign w:val="center"/>
          </w:tcPr>
          <w:p>
            <w:pPr>
              <w:pStyle w:val="35"/>
            </w:pPr>
            <w:r>
              <w:t>E104°32'15.318"</w:t>
            </w:r>
          </w:p>
        </w:tc>
        <w:tc>
          <w:tcPr>
            <w:tcW w:w="1701" w:type="dxa"/>
            <w:vAlign w:val="center"/>
          </w:tcPr>
          <w:p>
            <w:pPr>
              <w:pStyle w:val="35"/>
            </w:pPr>
            <w:r>
              <w:t>N25°27'52.067"</w:t>
            </w:r>
          </w:p>
        </w:tc>
        <w:tc>
          <w:tcPr>
            <w:tcW w:w="1701" w:type="dxa"/>
          </w:tcPr>
          <w:p>
            <w:pPr>
              <w:pStyle w:val="35"/>
            </w:pPr>
            <w:r>
              <w:t>453496.1862</w:t>
            </w:r>
          </w:p>
        </w:tc>
        <w:tc>
          <w:tcPr>
            <w:tcW w:w="1701" w:type="dxa"/>
          </w:tcPr>
          <w:p>
            <w:pPr>
              <w:pStyle w:val="35"/>
            </w:pPr>
            <w:r>
              <w:t>2817586.368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Y04</w:t>
            </w:r>
          </w:p>
        </w:tc>
        <w:tc>
          <w:tcPr>
            <w:tcW w:w="1701" w:type="dxa"/>
            <w:vAlign w:val="center"/>
          </w:tcPr>
          <w:p>
            <w:pPr>
              <w:pStyle w:val="35"/>
            </w:pPr>
            <w:r>
              <w:t>E104°32'13.618"</w:t>
            </w:r>
          </w:p>
        </w:tc>
        <w:tc>
          <w:tcPr>
            <w:tcW w:w="1701" w:type="dxa"/>
            <w:vAlign w:val="center"/>
          </w:tcPr>
          <w:p>
            <w:pPr>
              <w:pStyle w:val="35"/>
            </w:pPr>
            <w:r>
              <w:t>N25°27'44.162"</w:t>
            </w:r>
          </w:p>
        </w:tc>
        <w:tc>
          <w:tcPr>
            <w:tcW w:w="1701" w:type="dxa"/>
          </w:tcPr>
          <w:p>
            <w:pPr>
              <w:pStyle w:val="35"/>
            </w:pPr>
            <w:r>
              <w:t>453447.8443</w:t>
            </w:r>
          </w:p>
        </w:tc>
        <w:tc>
          <w:tcPr>
            <w:tcW w:w="1701" w:type="dxa"/>
          </w:tcPr>
          <w:p>
            <w:pPr>
              <w:pStyle w:val="35"/>
            </w:pPr>
            <w:r>
              <w:t>2817343.277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Y05</w:t>
            </w:r>
          </w:p>
        </w:tc>
        <w:tc>
          <w:tcPr>
            <w:tcW w:w="1701" w:type="dxa"/>
            <w:vAlign w:val="center"/>
          </w:tcPr>
          <w:p>
            <w:pPr>
              <w:pStyle w:val="35"/>
            </w:pPr>
            <w:r>
              <w:t>E104°32'9.809"</w:t>
            </w:r>
          </w:p>
        </w:tc>
        <w:tc>
          <w:tcPr>
            <w:tcW w:w="1701" w:type="dxa"/>
            <w:vAlign w:val="center"/>
          </w:tcPr>
          <w:p>
            <w:pPr>
              <w:pStyle w:val="35"/>
            </w:pPr>
            <w:r>
              <w:t>N25°27'40.950"</w:t>
            </w:r>
          </w:p>
        </w:tc>
        <w:tc>
          <w:tcPr>
            <w:tcW w:w="1701" w:type="dxa"/>
          </w:tcPr>
          <w:p>
            <w:pPr>
              <w:pStyle w:val="35"/>
            </w:pPr>
            <w:r>
              <w:t>453341.1095</w:t>
            </w:r>
          </w:p>
        </w:tc>
        <w:tc>
          <w:tcPr>
            <w:tcW w:w="1701" w:type="dxa"/>
          </w:tcPr>
          <w:p>
            <w:pPr>
              <w:pStyle w:val="35"/>
            </w:pPr>
            <w:r>
              <w:t>2817244.829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Y06</w:t>
            </w:r>
          </w:p>
        </w:tc>
        <w:tc>
          <w:tcPr>
            <w:tcW w:w="1701" w:type="dxa"/>
            <w:vAlign w:val="center"/>
          </w:tcPr>
          <w:p>
            <w:pPr>
              <w:pStyle w:val="35"/>
            </w:pPr>
            <w:r>
              <w:t>E104°32'3.897"</w:t>
            </w:r>
          </w:p>
        </w:tc>
        <w:tc>
          <w:tcPr>
            <w:tcW w:w="1701" w:type="dxa"/>
            <w:vAlign w:val="center"/>
          </w:tcPr>
          <w:p>
            <w:pPr>
              <w:pStyle w:val="35"/>
            </w:pPr>
            <w:r>
              <w:t>N25°27'40.599"</w:t>
            </w:r>
          </w:p>
        </w:tc>
        <w:tc>
          <w:tcPr>
            <w:tcW w:w="1701" w:type="dxa"/>
          </w:tcPr>
          <w:p>
            <w:pPr>
              <w:pStyle w:val="35"/>
            </w:pPr>
            <w:r>
              <w:t>453175.8962</w:t>
            </w:r>
          </w:p>
        </w:tc>
        <w:tc>
          <w:tcPr>
            <w:tcW w:w="1701" w:type="dxa"/>
          </w:tcPr>
          <w:p>
            <w:pPr>
              <w:pStyle w:val="35"/>
            </w:pPr>
            <w:r>
              <w:t>2817234.577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Merge w:val="continue"/>
            <w:vAlign w:val="center"/>
          </w:tcPr>
          <w:p>
            <w:pPr>
              <w:pStyle w:val="35"/>
            </w:pPr>
          </w:p>
        </w:tc>
        <w:tc>
          <w:tcPr>
            <w:tcW w:w="709" w:type="dxa"/>
            <w:vAlign w:val="center"/>
          </w:tcPr>
          <w:p>
            <w:pPr>
              <w:pStyle w:val="35"/>
            </w:pPr>
            <w:r>
              <w:t>Y07</w:t>
            </w:r>
          </w:p>
        </w:tc>
        <w:tc>
          <w:tcPr>
            <w:tcW w:w="1701" w:type="dxa"/>
            <w:vAlign w:val="center"/>
          </w:tcPr>
          <w:p>
            <w:pPr>
              <w:pStyle w:val="35"/>
            </w:pPr>
            <w:r>
              <w:t>E104°32'0.899"</w:t>
            </w:r>
          </w:p>
        </w:tc>
        <w:tc>
          <w:tcPr>
            <w:tcW w:w="1701" w:type="dxa"/>
            <w:vAlign w:val="center"/>
          </w:tcPr>
          <w:p>
            <w:pPr>
              <w:pStyle w:val="35"/>
            </w:pPr>
            <w:r>
              <w:t>N25°27'42.555"</w:t>
            </w:r>
          </w:p>
        </w:tc>
        <w:tc>
          <w:tcPr>
            <w:tcW w:w="1701" w:type="dxa"/>
          </w:tcPr>
          <w:p>
            <w:pPr>
              <w:pStyle w:val="35"/>
            </w:pPr>
            <w:r>
              <w:t>453092.3736</w:t>
            </w:r>
          </w:p>
        </w:tc>
        <w:tc>
          <w:tcPr>
            <w:tcW w:w="1701" w:type="dxa"/>
          </w:tcPr>
          <w:p>
            <w:pPr>
              <w:pStyle w:val="35"/>
            </w:pPr>
            <w:r>
              <w:t>2817295.084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Y08</w:t>
            </w:r>
          </w:p>
        </w:tc>
        <w:tc>
          <w:tcPr>
            <w:tcW w:w="1701" w:type="dxa"/>
            <w:vAlign w:val="center"/>
          </w:tcPr>
          <w:p>
            <w:pPr>
              <w:pStyle w:val="35"/>
            </w:pPr>
            <w:r>
              <w:t>E104°31'59.272"</w:t>
            </w:r>
          </w:p>
        </w:tc>
        <w:tc>
          <w:tcPr>
            <w:tcW w:w="1701" w:type="dxa"/>
            <w:vAlign w:val="center"/>
          </w:tcPr>
          <w:p>
            <w:pPr>
              <w:pStyle w:val="35"/>
            </w:pPr>
            <w:r>
              <w:t>N25°27'42.583"</w:t>
            </w:r>
          </w:p>
        </w:tc>
        <w:tc>
          <w:tcPr>
            <w:tcW w:w="1701" w:type="dxa"/>
          </w:tcPr>
          <w:p>
            <w:pPr>
              <w:pStyle w:val="35"/>
            </w:pPr>
            <w:r>
              <w:t>453046.9115</w:t>
            </w:r>
          </w:p>
        </w:tc>
        <w:tc>
          <w:tcPr>
            <w:tcW w:w="1701" w:type="dxa"/>
          </w:tcPr>
          <w:p>
            <w:pPr>
              <w:pStyle w:val="35"/>
            </w:pPr>
            <w:r>
              <w:t>2817296.093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Y09</w:t>
            </w:r>
          </w:p>
        </w:tc>
        <w:tc>
          <w:tcPr>
            <w:tcW w:w="1701" w:type="dxa"/>
            <w:vAlign w:val="center"/>
          </w:tcPr>
          <w:p>
            <w:pPr>
              <w:pStyle w:val="35"/>
            </w:pPr>
            <w:r>
              <w:t>E104°31'57.542"</w:t>
            </w:r>
          </w:p>
        </w:tc>
        <w:tc>
          <w:tcPr>
            <w:tcW w:w="1701" w:type="dxa"/>
            <w:vAlign w:val="center"/>
          </w:tcPr>
          <w:p>
            <w:pPr>
              <w:pStyle w:val="35"/>
            </w:pPr>
            <w:r>
              <w:t>N25°27'49.795"</w:t>
            </w:r>
          </w:p>
        </w:tc>
        <w:tc>
          <w:tcPr>
            <w:tcW w:w="1701" w:type="dxa"/>
          </w:tcPr>
          <w:p>
            <w:pPr>
              <w:pStyle w:val="35"/>
            </w:pPr>
            <w:r>
              <w:t>452999.3588</w:t>
            </w:r>
          </w:p>
        </w:tc>
        <w:tc>
          <w:tcPr>
            <w:tcW w:w="1701" w:type="dxa"/>
          </w:tcPr>
          <w:p>
            <w:pPr>
              <w:pStyle w:val="35"/>
            </w:pPr>
            <w:r>
              <w:t>2817518.185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Y10</w:t>
            </w:r>
          </w:p>
        </w:tc>
        <w:tc>
          <w:tcPr>
            <w:tcW w:w="1701" w:type="dxa"/>
            <w:vAlign w:val="center"/>
          </w:tcPr>
          <w:p>
            <w:pPr>
              <w:pStyle w:val="35"/>
            </w:pPr>
            <w:r>
              <w:t>E104°31'54.775"</w:t>
            </w:r>
          </w:p>
        </w:tc>
        <w:tc>
          <w:tcPr>
            <w:tcW w:w="1701" w:type="dxa"/>
            <w:vAlign w:val="center"/>
          </w:tcPr>
          <w:p>
            <w:pPr>
              <w:pStyle w:val="35"/>
            </w:pPr>
            <w:r>
              <w:t>N25°27'55.605"</w:t>
            </w:r>
          </w:p>
        </w:tc>
        <w:tc>
          <w:tcPr>
            <w:tcW w:w="1701" w:type="dxa"/>
          </w:tcPr>
          <w:p>
            <w:pPr>
              <w:pStyle w:val="35"/>
            </w:pPr>
            <w:r>
              <w:t>452922.6944</w:t>
            </w:r>
          </w:p>
        </w:tc>
        <w:tc>
          <w:tcPr>
            <w:tcW w:w="1701" w:type="dxa"/>
          </w:tcPr>
          <w:p>
            <w:pPr>
              <w:pStyle w:val="35"/>
            </w:pPr>
            <w:r>
              <w:t>2817697.266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Merge w:val="continue"/>
            <w:vAlign w:val="center"/>
          </w:tcPr>
          <w:p>
            <w:pPr>
              <w:pStyle w:val="35"/>
            </w:pPr>
          </w:p>
        </w:tc>
        <w:tc>
          <w:tcPr>
            <w:tcW w:w="709" w:type="dxa"/>
            <w:vAlign w:val="center"/>
          </w:tcPr>
          <w:p>
            <w:pPr>
              <w:pStyle w:val="35"/>
            </w:pPr>
            <w:r>
              <w:t>Y11</w:t>
            </w:r>
          </w:p>
        </w:tc>
        <w:tc>
          <w:tcPr>
            <w:tcW w:w="1701" w:type="dxa"/>
            <w:vAlign w:val="center"/>
          </w:tcPr>
          <w:p>
            <w:pPr>
              <w:pStyle w:val="35"/>
            </w:pPr>
            <w:r>
              <w:t>E104°31'53.482"</w:t>
            </w:r>
          </w:p>
        </w:tc>
        <w:tc>
          <w:tcPr>
            <w:tcW w:w="1701" w:type="dxa"/>
            <w:vAlign w:val="center"/>
          </w:tcPr>
          <w:p>
            <w:pPr>
              <w:pStyle w:val="35"/>
            </w:pPr>
            <w:r>
              <w:t>N25°28'0.870"</w:t>
            </w:r>
          </w:p>
        </w:tc>
        <w:tc>
          <w:tcPr>
            <w:tcW w:w="1701" w:type="dxa"/>
          </w:tcPr>
          <w:p>
            <w:pPr>
              <w:pStyle w:val="35"/>
            </w:pPr>
            <w:r>
              <w:t>452887.1505</w:t>
            </w:r>
          </w:p>
        </w:tc>
        <w:tc>
          <w:tcPr>
            <w:tcW w:w="1701" w:type="dxa"/>
          </w:tcPr>
          <w:p>
            <w:pPr>
              <w:pStyle w:val="35"/>
            </w:pPr>
            <w:r>
              <w:t>2817859.405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Y12</w:t>
            </w:r>
          </w:p>
        </w:tc>
        <w:tc>
          <w:tcPr>
            <w:tcW w:w="1701" w:type="dxa"/>
            <w:vAlign w:val="center"/>
          </w:tcPr>
          <w:p>
            <w:pPr>
              <w:pStyle w:val="35"/>
            </w:pPr>
            <w:r>
              <w:t>E104°31'57.975"</w:t>
            </w:r>
          </w:p>
        </w:tc>
        <w:tc>
          <w:tcPr>
            <w:tcW w:w="1701" w:type="dxa"/>
            <w:vAlign w:val="center"/>
          </w:tcPr>
          <w:p>
            <w:pPr>
              <w:pStyle w:val="35"/>
            </w:pPr>
            <w:r>
              <w:t>N25°28'5.564"</w:t>
            </w:r>
          </w:p>
        </w:tc>
        <w:tc>
          <w:tcPr>
            <w:tcW w:w="1701" w:type="dxa"/>
          </w:tcPr>
          <w:p>
            <w:pPr>
              <w:pStyle w:val="35"/>
            </w:pPr>
            <w:r>
              <w:t>453013.151</w:t>
            </w:r>
          </w:p>
        </w:tc>
        <w:tc>
          <w:tcPr>
            <w:tcW w:w="1701" w:type="dxa"/>
          </w:tcPr>
          <w:p>
            <w:pPr>
              <w:pStyle w:val="35"/>
            </w:pPr>
            <w:r>
              <w:t>2818003.41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pStyle w:val="35"/>
            </w:pPr>
            <w:r>
              <w:t>二</w:t>
            </w:r>
          </w:p>
          <w:p>
            <w:pPr>
              <w:pStyle w:val="35"/>
            </w:pPr>
            <w:r>
              <w:t>级</w:t>
            </w:r>
          </w:p>
          <w:p>
            <w:pPr>
              <w:pStyle w:val="35"/>
            </w:pPr>
            <w:r>
              <w:t>保</w:t>
            </w:r>
          </w:p>
          <w:p>
            <w:pPr>
              <w:pStyle w:val="35"/>
            </w:pPr>
            <w:r>
              <w:t>护</w:t>
            </w:r>
          </w:p>
          <w:p>
            <w:pPr>
              <w:pStyle w:val="35"/>
            </w:pPr>
            <w:r>
              <w:t>区</w:t>
            </w:r>
          </w:p>
        </w:tc>
        <w:tc>
          <w:tcPr>
            <w:tcW w:w="709" w:type="dxa"/>
            <w:vAlign w:val="center"/>
          </w:tcPr>
          <w:p>
            <w:pPr>
              <w:pStyle w:val="35"/>
            </w:pPr>
            <w:r>
              <w:t>E01</w:t>
            </w:r>
          </w:p>
        </w:tc>
        <w:tc>
          <w:tcPr>
            <w:tcW w:w="1701" w:type="dxa"/>
            <w:vAlign w:val="center"/>
          </w:tcPr>
          <w:p>
            <w:pPr>
              <w:pStyle w:val="35"/>
            </w:pPr>
            <w:r>
              <w:t>E104°32'18.942"</w:t>
            </w:r>
          </w:p>
        </w:tc>
        <w:tc>
          <w:tcPr>
            <w:tcW w:w="1701" w:type="dxa"/>
            <w:vAlign w:val="center"/>
          </w:tcPr>
          <w:p>
            <w:pPr>
              <w:pStyle w:val="35"/>
            </w:pPr>
            <w:r>
              <w:t>N25°27'59.358"</w:t>
            </w:r>
          </w:p>
        </w:tc>
        <w:tc>
          <w:tcPr>
            <w:tcW w:w="1701" w:type="dxa"/>
          </w:tcPr>
          <w:p>
            <w:pPr>
              <w:pStyle w:val="35"/>
            </w:pPr>
            <w:r>
              <w:t>453598.2042</w:t>
            </w:r>
          </w:p>
        </w:tc>
        <w:tc>
          <w:tcPr>
            <w:tcW w:w="1701" w:type="dxa"/>
          </w:tcPr>
          <w:p>
            <w:pPr>
              <w:pStyle w:val="35"/>
            </w:pPr>
            <w:r>
              <w:t>2817810.406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E02</w:t>
            </w:r>
          </w:p>
        </w:tc>
        <w:tc>
          <w:tcPr>
            <w:tcW w:w="1701" w:type="dxa"/>
            <w:vAlign w:val="center"/>
          </w:tcPr>
          <w:p>
            <w:pPr>
              <w:pStyle w:val="35"/>
            </w:pPr>
            <w:r>
              <w:t>E104°32'19.922"</w:t>
            </w:r>
          </w:p>
        </w:tc>
        <w:tc>
          <w:tcPr>
            <w:tcW w:w="1701" w:type="dxa"/>
            <w:vAlign w:val="center"/>
          </w:tcPr>
          <w:p>
            <w:pPr>
              <w:pStyle w:val="35"/>
            </w:pPr>
            <w:r>
              <w:t>N25°27'58.457"</w:t>
            </w:r>
          </w:p>
        </w:tc>
        <w:tc>
          <w:tcPr>
            <w:tcW w:w="1701" w:type="dxa"/>
          </w:tcPr>
          <w:p>
            <w:pPr>
              <w:pStyle w:val="35"/>
            </w:pPr>
            <w:r>
              <w:t>453625.4828</w:t>
            </w:r>
          </w:p>
        </w:tc>
        <w:tc>
          <w:tcPr>
            <w:tcW w:w="1701" w:type="dxa"/>
          </w:tcPr>
          <w:p>
            <w:pPr>
              <w:pStyle w:val="35"/>
            </w:pPr>
            <w:r>
              <w:t>2817782.579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Merge w:val="continue"/>
            <w:vAlign w:val="center"/>
          </w:tcPr>
          <w:p>
            <w:pPr>
              <w:pStyle w:val="35"/>
            </w:pPr>
          </w:p>
        </w:tc>
        <w:tc>
          <w:tcPr>
            <w:tcW w:w="709" w:type="dxa"/>
            <w:vAlign w:val="center"/>
          </w:tcPr>
          <w:p>
            <w:pPr>
              <w:pStyle w:val="35"/>
            </w:pPr>
            <w:r>
              <w:t>E03</w:t>
            </w:r>
          </w:p>
        </w:tc>
        <w:tc>
          <w:tcPr>
            <w:tcW w:w="1701" w:type="dxa"/>
            <w:vAlign w:val="center"/>
          </w:tcPr>
          <w:p>
            <w:pPr>
              <w:pStyle w:val="35"/>
            </w:pPr>
            <w:r>
              <w:t>E104°32'23.218"</w:t>
            </w:r>
          </w:p>
        </w:tc>
        <w:tc>
          <w:tcPr>
            <w:tcW w:w="1701" w:type="dxa"/>
            <w:vAlign w:val="center"/>
          </w:tcPr>
          <w:p>
            <w:pPr>
              <w:pStyle w:val="35"/>
            </w:pPr>
            <w:r>
              <w:t>N25°27'46.791"</w:t>
            </w:r>
          </w:p>
        </w:tc>
        <w:tc>
          <w:tcPr>
            <w:tcW w:w="1701" w:type="dxa"/>
          </w:tcPr>
          <w:p>
            <w:pPr>
              <w:pStyle w:val="35"/>
            </w:pPr>
            <w:r>
              <w:t>453716.3303</w:t>
            </w:r>
          </w:p>
        </w:tc>
        <w:tc>
          <w:tcPr>
            <w:tcW w:w="1701" w:type="dxa"/>
          </w:tcPr>
          <w:p>
            <w:pPr>
              <w:pStyle w:val="35"/>
            </w:pPr>
            <w:r>
              <w:t>2817423.245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E04</w:t>
            </w:r>
          </w:p>
        </w:tc>
        <w:tc>
          <w:tcPr>
            <w:tcW w:w="1701" w:type="dxa"/>
            <w:vAlign w:val="center"/>
          </w:tcPr>
          <w:p>
            <w:pPr>
              <w:pStyle w:val="35"/>
            </w:pPr>
            <w:r>
              <w:t>E104°32'23.323"</w:t>
            </w:r>
          </w:p>
        </w:tc>
        <w:tc>
          <w:tcPr>
            <w:tcW w:w="1701" w:type="dxa"/>
            <w:vAlign w:val="center"/>
          </w:tcPr>
          <w:p>
            <w:pPr>
              <w:pStyle w:val="35"/>
            </w:pPr>
            <w:r>
              <w:t>N25°27'44.168"</w:t>
            </w:r>
          </w:p>
        </w:tc>
        <w:tc>
          <w:tcPr>
            <w:tcW w:w="1701" w:type="dxa"/>
          </w:tcPr>
          <w:p>
            <w:pPr>
              <w:pStyle w:val="35"/>
            </w:pPr>
            <w:r>
              <w:t>453718.9845</w:t>
            </w:r>
          </w:p>
        </w:tc>
        <w:tc>
          <w:tcPr>
            <w:tcW w:w="1701" w:type="dxa"/>
          </w:tcPr>
          <w:p>
            <w:pPr>
              <w:pStyle w:val="35"/>
            </w:pPr>
            <w:r>
              <w:t>2817342.541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E05</w:t>
            </w:r>
          </w:p>
        </w:tc>
        <w:tc>
          <w:tcPr>
            <w:tcW w:w="1701" w:type="dxa"/>
            <w:vAlign w:val="center"/>
          </w:tcPr>
          <w:p>
            <w:pPr>
              <w:pStyle w:val="35"/>
            </w:pPr>
            <w:r>
              <w:t>E104°32'21.735"</w:t>
            </w:r>
          </w:p>
        </w:tc>
        <w:tc>
          <w:tcPr>
            <w:tcW w:w="1701" w:type="dxa"/>
            <w:vAlign w:val="center"/>
          </w:tcPr>
          <w:p>
            <w:pPr>
              <w:pStyle w:val="35"/>
            </w:pPr>
            <w:r>
              <w:t>N25°27'39.556"</w:t>
            </w:r>
          </w:p>
        </w:tc>
        <w:tc>
          <w:tcPr>
            <w:tcW w:w="1701" w:type="dxa"/>
          </w:tcPr>
          <w:p>
            <w:pPr>
              <w:pStyle w:val="35"/>
            </w:pPr>
            <w:r>
              <w:t>453674.1349</w:t>
            </w:r>
          </w:p>
        </w:tc>
        <w:tc>
          <w:tcPr>
            <w:tcW w:w="1701" w:type="dxa"/>
          </w:tcPr>
          <w:p>
            <w:pPr>
              <w:pStyle w:val="35"/>
            </w:pPr>
            <w:r>
              <w:t>2817200.759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E06</w:t>
            </w:r>
          </w:p>
        </w:tc>
        <w:tc>
          <w:tcPr>
            <w:tcW w:w="1701" w:type="dxa"/>
            <w:vAlign w:val="center"/>
          </w:tcPr>
          <w:p>
            <w:pPr>
              <w:pStyle w:val="35"/>
            </w:pPr>
            <w:r>
              <w:t>E104°32'2.522"</w:t>
            </w:r>
          </w:p>
        </w:tc>
        <w:tc>
          <w:tcPr>
            <w:tcW w:w="1701" w:type="dxa"/>
            <w:vAlign w:val="center"/>
          </w:tcPr>
          <w:p>
            <w:pPr>
              <w:pStyle w:val="35"/>
            </w:pPr>
            <w:r>
              <w:t>N25°27'38.481"</w:t>
            </w:r>
          </w:p>
        </w:tc>
        <w:tc>
          <w:tcPr>
            <w:tcW w:w="1701" w:type="dxa"/>
          </w:tcPr>
          <w:p>
            <w:pPr>
              <w:pStyle w:val="35"/>
            </w:pPr>
            <w:r>
              <w:t>453137.2727</w:t>
            </w:r>
          </w:p>
        </w:tc>
        <w:tc>
          <w:tcPr>
            <w:tcW w:w="1701" w:type="dxa"/>
          </w:tcPr>
          <w:p>
            <w:pPr>
              <w:pStyle w:val="35"/>
            </w:pPr>
            <w:r>
              <w:t>2817169.532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Merge w:val="continue"/>
            <w:vAlign w:val="center"/>
          </w:tcPr>
          <w:p>
            <w:pPr>
              <w:pStyle w:val="35"/>
            </w:pPr>
          </w:p>
        </w:tc>
        <w:tc>
          <w:tcPr>
            <w:tcW w:w="709" w:type="dxa"/>
            <w:vAlign w:val="center"/>
          </w:tcPr>
          <w:p>
            <w:pPr>
              <w:pStyle w:val="35"/>
            </w:pPr>
            <w:r>
              <w:t>E07</w:t>
            </w:r>
          </w:p>
        </w:tc>
        <w:tc>
          <w:tcPr>
            <w:tcW w:w="1701" w:type="dxa"/>
            <w:vAlign w:val="center"/>
          </w:tcPr>
          <w:p>
            <w:pPr>
              <w:pStyle w:val="35"/>
            </w:pPr>
            <w:r>
              <w:t>E104°31'53.493"</w:t>
            </w:r>
          </w:p>
        </w:tc>
        <w:tc>
          <w:tcPr>
            <w:tcW w:w="1701" w:type="dxa"/>
            <w:vAlign w:val="center"/>
          </w:tcPr>
          <w:p>
            <w:pPr>
              <w:pStyle w:val="35"/>
            </w:pPr>
            <w:r>
              <w:t>N25°27'32.106"</w:t>
            </w:r>
          </w:p>
        </w:tc>
        <w:tc>
          <w:tcPr>
            <w:tcW w:w="1701" w:type="dxa"/>
          </w:tcPr>
          <w:p>
            <w:pPr>
              <w:pStyle w:val="35"/>
            </w:pPr>
            <w:r>
              <w:t>452884.3305</w:t>
            </w:r>
          </w:p>
        </w:tc>
        <w:tc>
          <w:tcPr>
            <w:tcW w:w="1701" w:type="dxa"/>
          </w:tcPr>
          <w:p>
            <w:pPr>
              <w:pStyle w:val="35"/>
            </w:pPr>
            <w:r>
              <w:t>2816974.269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E08</w:t>
            </w:r>
          </w:p>
        </w:tc>
        <w:tc>
          <w:tcPr>
            <w:tcW w:w="1701" w:type="dxa"/>
            <w:vAlign w:val="center"/>
          </w:tcPr>
          <w:p>
            <w:pPr>
              <w:pStyle w:val="35"/>
            </w:pPr>
            <w:r>
              <w:t>E104°31'50.939"</w:t>
            </w:r>
          </w:p>
        </w:tc>
        <w:tc>
          <w:tcPr>
            <w:tcW w:w="1701" w:type="dxa"/>
            <w:vAlign w:val="center"/>
          </w:tcPr>
          <w:p>
            <w:pPr>
              <w:pStyle w:val="35"/>
            </w:pPr>
            <w:r>
              <w:t>N25°27'33.742"</w:t>
            </w:r>
          </w:p>
        </w:tc>
        <w:tc>
          <w:tcPr>
            <w:tcW w:w="1701" w:type="dxa"/>
          </w:tcPr>
          <w:p>
            <w:pPr>
              <w:pStyle w:val="35"/>
            </w:pPr>
            <w:r>
              <w:t>452813.1537</w:t>
            </w:r>
          </w:p>
        </w:tc>
        <w:tc>
          <w:tcPr>
            <w:tcW w:w="1701" w:type="dxa"/>
          </w:tcPr>
          <w:p>
            <w:pPr>
              <w:pStyle w:val="35"/>
            </w:pPr>
            <w:r>
              <w:t>2817024.85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E09</w:t>
            </w:r>
          </w:p>
        </w:tc>
        <w:tc>
          <w:tcPr>
            <w:tcW w:w="1701" w:type="dxa"/>
            <w:vAlign w:val="center"/>
          </w:tcPr>
          <w:p>
            <w:pPr>
              <w:pStyle w:val="35"/>
            </w:pPr>
            <w:r>
              <w:t>E104°31'46.403"</w:t>
            </w:r>
          </w:p>
        </w:tc>
        <w:tc>
          <w:tcPr>
            <w:tcW w:w="1701" w:type="dxa"/>
            <w:vAlign w:val="center"/>
          </w:tcPr>
          <w:p>
            <w:pPr>
              <w:pStyle w:val="35"/>
            </w:pPr>
            <w:r>
              <w:t>N25°27'33.614"</w:t>
            </w:r>
          </w:p>
        </w:tc>
        <w:tc>
          <w:tcPr>
            <w:tcW w:w="1701" w:type="dxa"/>
          </w:tcPr>
          <w:p>
            <w:pPr>
              <w:pStyle w:val="35"/>
            </w:pPr>
            <w:r>
              <w:t>452686.4217</w:t>
            </w:r>
          </w:p>
        </w:tc>
        <w:tc>
          <w:tcPr>
            <w:tcW w:w="1701" w:type="dxa"/>
          </w:tcPr>
          <w:p>
            <w:pPr>
              <w:pStyle w:val="35"/>
            </w:pPr>
            <w:r>
              <w:t>2817021.365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E10</w:t>
            </w:r>
          </w:p>
        </w:tc>
        <w:tc>
          <w:tcPr>
            <w:tcW w:w="1701" w:type="dxa"/>
            <w:vAlign w:val="center"/>
          </w:tcPr>
          <w:p>
            <w:pPr>
              <w:pStyle w:val="35"/>
            </w:pPr>
            <w:r>
              <w:t>E104°31'39.438"</w:t>
            </w:r>
          </w:p>
        </w:tc>
        <w:tc>
          <w:tcPr>
            <w:tcW w:w="1701" w:type="dxa"/>
            <w:vAlign w:val="center"/>
          </w:tcPr>
          <w:p>
            <w:pPr>
              <w:pStyle w:val="35"/>
            </w:pPr>
            <w:r>
              <w:t>N25°27'32.454"</w:t>
            </w:r>
          </w:p>
        </w:tc>
        <w:tc>
          <w:tcPr>
            <w:tcW w:w="1701" w:type="dxa"/>
          </w:tcPr>
          <w:p>
            <w:pPr>
              <w:pStyle w:val="35"/>
            </w:pPr>
            <w:r>
              <w:t>452491.7203</w:t>
            </w:r>
          </w:p>
        </w:tc>
        <w:tc>
          <w:tcPr>
            <w:tcW w:w="1701" w:type="dxa"/>
          </w:tcPr>
          <w:p>
            <w:pPr>
              <w:pStyle w:val="35"/>
            </w:pPr>
            <w:r>
              <w:t>2816986.35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Merge w:val="continue"/>
            <w:vAlign w:val="center"/>
          </w:tcPr>
          <w:p>
            <w:pPr>
              <w:pStyle w:val="35"/>
            </w:pPr>
          </w:p>
        </w:tc>
        <w:tc>
          <w:tcPr>
            <w:tcW w:w="709" w:type="dxa"/>
            <w:vAlign w:val="center"/>
          </w:tcPr>
          <w:p>
            <w:pPr>
              <w:pStyle w:val="35"/>
            </w:pPr>
            <w:r>
              <w:t>E11</w:t>
            </w:r>
          </w:p>
        </w:tc>
        <w:tc>
          <w:tcPr>
            <w:tcW w:w="1701" w:type="dxa"/>
            <w:vAlign w:val="center"/>
          </w:tcPr>
          <w:p>
            <w:pPr>
              <w:pStyle w:val="35"/>
            </w:pPr>
            <w:r>
              <w:t>E104°31'39.330"</w:t>
            </w:r>
          </w:p>
        </w:tc>
        <w:tc>
          <w:tcPr>
            <w:tcW w:w="1701" w:type="dxa"/>
            <w:vAlign w:val="center"/>
          </w:tcPr>
          <w:p>
            <w:pPr>
              <w:pStyle w:val="35"/>
            </w:pPr>
            <w:r>
              <w:t>N25°27'37.223"</w:t>
            </w:r>
          </w:p>
        </w:tc>
        <w:tc>
          <w:tcPr>
            <w:tcW w:w="1701" w:type="dxa"/>
          </w:tcPr>
          <w:p>
            <w:pPr>
              <w:pStyle w:val="35"/>
            </w:pPr>
            <w:r>
              <w:t>452489.2274</w:t>
            </w:r>
          </w:p>
        </w:tc>
        <w:tc>
          <w:tcPr>
            <w:tcW w:w="1701" w:type="dxa"/>
          </w:tcPr>
          <w:p>
            <w:pPr>
              <w:pStyle w:val="35"/>
            </w:pPr>
            <w:r>
              <w:t>2817133.125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E12</w:t>
            </w:r>
          </w:p>
        </w:tc>
        <w:tc>
          <w:tcPr>
            <w:tcW w:w="1701" w:type="dxa"/>
            <w:vAlign w:val="center"/>
          </w:tcPr>
          <w:p>
            <w:pPr>
              <w:pStyle w:val="35"/>
            </w:pPr>
            <w:r>
              <w:t>E104°31'38.174"</w:t>
            </w:r>
          </w:p>
        </w:tc>
        <w:tc>
          <w:tcPr>
            <w:tcW w:w="1701" w:type="dxa"/>
            <w:vAlign w:val="center"/>
          </w:tcPr>
          <w:p>
            <w:pPr>
              <w:pStyle w:val="35"/>
            </w:pPr>
            <w:r>
              <w:t>N25°27'40.574"</w:t>
            </w:r>
          </w:p>
        </w:tc>
        <w:tc>
          <w:tcPr>
            <w:tcW w:w="1701" w:type="dxa"/>
          </w:tcPr>
          <w:p>
            <w:pPr>
              <w:pStyle w:val="35"/>
            </w:pPr>
            <w:r>
              <w:t>452457.2921</w:t>
            </w:r>
          </w:p>
        </w:tc>
        <w:tc>
          <w:tcPr>
            <w:tcW w:w="1701" w:type="dxa"/>
          </w:tcPr>
          <w:p>
            <w:pPr>
              <w:pStyle w:val="35"/>
            </w:pPr>
            <w:r>
              <w:t>2817236.339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E13</w:t>
            </w:r>
          </w:p>
        </w:tc>
        <w:tc>
          <w:tcPr>
            <w:tcW w:w="1701" w:type="dxa"/>
            <w:vAlign w:val="center"/>
          </w:tcPr>
          <w:p>
            <w:pPr>
              <w:pStyle w:val="35"/>
            </w:pPr>
            <w:r>
              <w:t>E104°31'38.163"</w:t>
            </w:r>
          </w:p>
        </w:tc>
        <w:tc>
          <w:tcPr>
            <w:tcW w:w="1701" w:type="dxa"/>
            <w:vAlign w:val="center"/>
          </w:tcPr>
          <w:p>
            <w:pPr>
              <w:pStyle w:val="35"/>
            </w:pPr>
            <w:r>
              <w:t>N25°27'49.034"</w:t>
            </w:r>
          </w:p>
        </w:tc>
        <w:tc>
          <w:tcPr>
            <w:tcW w:w="1701" w:type="dxa"/>
          </w:tcPr>
          <w:p>
            <w:pPr>
              <w:pStyle w:val="35"/>
            </w:pPr>
            <w:r>
              <w:t>452457.9126</w:t>
            </w:r>
          </w:p>
        </w:tc>
        <w:tc>
          <w:tcPr>
            <w:tcW w:w="1701" w:type="dxa"/>
          </w:tcPr>
          <w:p>
            <w:pPr>
              <w:pStyle w:val="35"/>
            </w:pPr>
            <w:r>
              <w:t>2817496.683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E14</w:t>
            </w:r>
          </w:p>
        </w:tc>
        <w:tc>
          <w:tcPr>
            <w:tcW w:w="1701" w:type="dxa"/>
            <w:vAlign w:val="center"/>
          </w:tcPr>
          <w:p>
            <w:pPr>
              <w:pStyle w:val="35"/>
            </w:pPr>
            <w:r>
              <w:t>E104°31'35.089"</w:t>
            </w:r>
          </w:p>
        </w:tc>
        <w:tc>
          <w:tcPr>
            <w:tcW w:w="1701" w:type="dxa"/>
            <w:vAlign w:val="center"/>
          </w:tcPr>
          <w:p>
            <w:pPr>
              <w:pStyle w:val="35"/>
            </w:pPr>
            <w:r>
              <w:t>N25°27'52.379"</w:t>
            </w:r>
          </w:p>
        </w:tc>
        <w:tc>
          <w:tcPr>
            <w:tcW w:w="1701" w:type="dxa"/>
          </w:tcPr>
          <w:p>
            <w:pPr>
              <w:pStyle w:val="35"/>
            </w:pPr>
            <w:r>
              <w:t>452372.4017</w:t>
            </w:r>
          </w:p>
        </w:tc>
        <w:tc>
          <w:tcPr>
            <w:tcW w:w="1701" w:type="dxa"/>
          </w:tcPr>
          <w:p>
            <w:pPr>
              <w:pStyle w:val="35"/>
            </w:pPr>
            <w:r>
              <w:t>2817599.916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Merge w:val="continue"/>
            <w:vAlign w:val="center"/>
          </w:tcPr>
          <w:p>
            <w:pPr>
              <w:pStyle w:val="35"/>
            </w:pPr>
          </w:p>
        </w:tc>
        <w:tc>
          <w:tcPr>
            <w:tcW w:w="709" w:type="dxa"/>
            <w:vAlign w:val="center"/>
          </w:tcPr>
          <w:p>
            <w:pPr>
              <w:pStyle w:val="35"/>
            </w:pPr>
            <w:r>
              <w:t>E15</w:t>
            </w:r>
          </w:p>
        </w:tc>
        <w:tc>
          <w:tcPr>
            <w:tcW w:w="1701" w:type="dxa"/>
            <w:vAlign w:val="center"/>
          </w:tcPr>
          <w:p>
            <w:pPr>
              <w:pStyle w:val="35"/>
            </w:pPr>
            <w:r>
              <w:t>E104°31'34.158"</w:t>
            </w:r>
          </w:p>
        </w:tc>
        <w:tc>
          <w:tcPr>
            <w:tcW w:w="1701" w:type="dxa"/>
            <w:vAlign w:val="center"/>
          </w:tcPr>
          <w:p>
            <w:pPr>
              <w:pStyle w:val="35"/>
            </w:pPr>
            <w:r>
              <w:t>N25°27'55.944"</w:t>
            </w:r>
          </w:p>
        </w:tc>
        <w:tc>
          <w:tcPr>
            <w:tcW w:w="1701" w:type="dxa"/>
          </w:tcPr>
          <w:p>
            <w:pPr>
              <w:pStyle w:val="35"/>
            </w:pPr>
            <w:r>
              <w:t>452346.7606</w:t>
            </w:r>
          </w:p>
        </w:tc>
        <w:tc>
          <w:tcPr>
            <w:tcW w:w="1701" w:type="dxa"/>
          </w:tcPr>
          <w:p>
            <w:pPr>
              <w:pStyle w:val="35"/>
            </w:pPr>
            <w:r>
              <w:t>2817709.72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E16</w:t>
            </w:r>
          </w:p>
        </w:tc>
        <w:tc>
          <w:tcPr>
            <w:tcW w:w="1701" w:type="dxa"/>
            <w:vAlign w:val="center"/>
          </w:tcPr>
          <w:p>
            <w:pPr>
              <w:pStyle w:val="35"/>
            </w:pPr>
            <w:r>
              <w:t>E104°31'38.815"</w:t>
            </w:r>
          </w:p>
        </w:tc>
        <w:tc>
          <w:tcPr>
            <w:tcW w:w="1701" w:type="dxa"/>
            <w:vAlign w:val="center"/>
          </w:tcPr>
          <w:p>
            <w:pPr>
              <w:pStyle w:val="35"/>
            </w:pPr>
            <w:r>
              <w:t>N25°27'54.164"</w:t>
            </w:r>
          </w:p>
        </w:tc>
        <w:tc>
          <w:tcPr>
            <w:tcW w:w="1701" w:type="dxa"/>
          </w:tcPr>
          <w:p>
            <w:pPr>
              <w:pStyle w:val="35"/>
            </w:pPr>
            <w:r>
              <w:t>452476.6685</w:t>
            </w:r>
          </w:p>
        </w:tc>
        <w:tc>
          <w:tcPr>
            <w:tcW w:w="1701" w:type="dxa"/>
          </w:tcPr>
          <w:p>
            <w:pPr>
              <w:pStyle w:val="35"/>
            </w:pPr>
            <w:r>
              <w:t>2817654.485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E17</w:t>
            </w:r>
          </w:p>
        </w:tc>
        <w:tc>
          <w:tcPr>
            <w:tcW w:w="1701" w:type="dxa"/>
            <w:vAlign w:val="center"/>
          </w:tcPr>
          <w:p>
            <w:pPr>
              <w:pStyle w:val="35"/>
            </w:pPr>
            <w:r>
              <w:t>E104°31'45.134"</w:t>
            </w:r>
          </w:p>
        </w:tc>
        <w:tc>
          <w:tcPr>
            <w:tcW w:w="1701" w:type="dxa"/>
            <w:vAlign w:val="center"/>
          </w:tcPr>
          <w:p>
            <w:pPr>
              <w:pStyle w:val="35"/>
            </w:pPr>
            <w:r>
              <w:t>N25°28'2.384"</w:t>
            </w:r>
          </w:p>
        </w:tc>
        <w:tc>
          <w:tcPr>
            <w:tcW w:w="1701" w:type="dxa"/>
          </w:tcPr>
          <w:p>
            <w:pPr>
              <w:pStyle w:val="35"/>
            </w:pPr>
            <w:r>
              <w:t>452654.1015</w:t>
            </w:r>
          </w:p>
        </w:tc>
        <w:tc>
          <w:tcPr>
            <w:tcW w:w="1701" w:type="dxa"/>
          </w:tcPr>
          <w:p>
            <w:pPr>
              <w:pStyle w:val="35"/>
            </w:pPr>
            <w:r>
              <w:t>2817906.821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pStyle w:val="35"/>
            </w:pPr>
          </w:p>
        </w:tc>
        <w:tc>
          <w:tcPr>
            <w:tcW w:w="709" w:type="dxa"/>
            <w:vAlign w:val="center"/>
          </w:tcPr>
          <w:p>
            <w:pPr>
              <w:pStyle w:val="35"/>
            </w:pPr>
            <w:r>
              <w:t>E18</w:t>
            </w:r>
          </w:p>
        </w:tc>
        <w:tc>
          <w:tcPr>
            <w:tcW w:w="1701" w:type="dxa"/>
            <w:vAlign w:val="center"/>
          </w:tcPr>
          <w:p>
            <w:pPr>
              <w:pStyle w:val="35"/>
            </w:pPr>
            <w:r>
              <w:t>E104°31'49.870"</w:t>
            </w:r>
          </w:p>
        </w:tc>
        <w:tc>
          <w:tcPr>
            <w:tcW w:w="1701" w:type="dxa"/>
            <w:vAlign w:val="center"/>
          </w:tcPr>
          <w:p>
            <w:pPr>
              <w:pStyle w:val="35"/>
            </w:pPr>
            <w:r>
              <w:t>N25°28'5.355"</w:t>
            </w:r>
          </w:p>
        </w:tc>
        <w:tc>
          <w:tcPr>
            <w:tcW w:w="1701" w:type="dxa"/>
          </w:tcPr>
          <w:p>
            <w:pPr>
              <w:pStyle w:val="35"/>
            </w:pPr>
            <w:r>
              <w:t>452786.7077</w:t>
            </w:r>
          </w:p>
        </w:tc>
        <w:tc>
          <w:tcPr>
            <w:tcW w:w="1701" w:type="dxa"/>
          </w:tcPr>
          <w:p>
            <w:pPr>
              <w:pStyle w:val="35"/>
            </w:pPr>
            <w:r>
              <w:t>2817997.787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vMerge w:val="continue"/>
            <w:vAlign w:val="center"/>
          </w:tcPr>
          <w:p>
            <w:pPr>
              <w:pStyle w:val="35"/>
            </w:pPr>
          </w:p>
        </w:tc>
        <w:tc>
          <w:tcPr>
            <w:tcW w:w="709" w:type="dxa"/>
            <w:vAlign w:val="center"/>
          </w:tcPr>
          <w:p>
            <w:pPr>
              <w:pStyle w:val="35"/>
            </w:pPr>
            <w:r>
              <w:t>E19</w:t>
            </w:r>
          </w:p>
        </w:tc>
        <w:tc>
          <w:tcPr>
            <w:tcW w:w="1701" w:type="dxa"/>
            <w:vAlign w:val="center"/>
          </w:tcPr>
          <w:p>
            <w:pPr>
              <w:pStyle w:val="35"/>
            </w:pPr>
            <w:r>
              <w:t>E104°31'55.320"</w:t>
            </w:r>
          </w:p>
        </w:tc>
        <w:tc>
          <w:tcPr>
            <w:tcW w:w="1701" w:type="dxa"/>
            <w:vAlign w:val="center"/>
          </w:tcPr>
          <w:p>
            <w:pPr>
              <w:pStyle w:val="35"/>
            </w:pPr>
            <w:r>
              <w:t>N25°28'6.312"</w:t>
            </w:r>
          </w:p>
        </w:tc>
        <w:tc>
          <w:tcPr>
            <w:tcW w:w="1701" w:type="dxa"/>
          </w:tcPr>
          <w:p>
            <w:pPr>
              <w:pStyle w:val="35"/>
            </w:pPr>
            <w:r>
              <w:t>452939.0583</w:t>
            </w:r>
          </w:p>
        </w:tc>
        <w:tc>
          <w:tcPr>
            <w:tcW w:w="1701" w:type="dxa"/>
          </w:tcPr>
          <w:p>
            <w:pPr>
              <w:pStyle w:val="35"/>
            </w:pPr>
            <w:r>
              <w:t>2818026.677</w:t>
            </w:r>
          </w:p>
        </w:tc>
      </w:tr>
    </w:tbl>
    <w:p>
      <w:pPr>
        <w:ind w:firstLine="0" w:firstLineChars="0"/>
        <w:jc w:val="left"/>
        <w:rPr>
          <w:rFonts w:cs="Times New Roman"/>
          <w:sz w:val="21"/>
        </w:rPr>
      </w:pPr>
      <w:r>
        <w:rPr>
          <w:rFonts w:hint="eastAsia" w:cs="Times New Roman"/>
          <w:sz w:val="21"/>
        </w:rPr>
        <w:t>坐标系：CGCS2000 3 degree Gauss Kruger CM 105E</w:t>
      </w:r>
    </w:p>
    <w:p>
      <w:pPr>
        <w:ind w:firstLine="480"/>
      </w:pPr>
    </w:p>
    <w:p>
      <w:pPr>
        <w:pStyle w:val="4"/>
        <w:rPr>
          <w:rFonts w:cs="Times New Roman"/>
        </w:rPr>
      </w:pPr>
      <w:bookmarkStart w:id="120" w:name="_Toc19691455"/>
      <w:bookmarkStart w:id="121" w:name="_Toc12747"/>
      <w:r>
        <w:rPr>
          <w:rFonts w:cs="Times New Roman"/>
        </w:rPr>
        <w:t>4.5  保护区内土地利用现状</w:t>
      </w:r>
      <w:bookmarkEnd w:id="120"/>
      <w:bookmarkEnd w:id="121"/>
    </w:p>
    <w:p>
      <w:pPr>
        <w:ind w:firstLine="480"/>
        <w:rPr>
          <w:rFonts w:cs="Times New Roman"/>
        </w:rPr>
      </w:pPr>
      <w:r>
        <w:rPr>
          <w:rFonts w:cs="Times New Roman"/>
        </w:rPr>
        <w:t>大竹林水库一级保护区内，旱地面积9.29 hm</w:t>
      </w:r>
      <w:r>
        <w:rPr>
          <w:rFonts w:cs="Times New Roman"/>
          <w:vertAlign w:val="superscript"/>
        </w:rPr>
        <w:t>2</w:t>
      </w:r>
      <w:r>
        <w:rPr>
          <w:rFonts w:cs="Times New Roman"/>
        </w:rPr>
        <w:t>，占一级保护区面积26.55%；乔木林地面积19.82 hm</w:t>
      </w:r>
      <w:r>
        <w:rPr>
          <w:rFonts w:cs="Times New Roman"/>
          <w:vertAlign w:val="superscript"/>
        </w:rPr>
        <w:t>2</w:t>
      </w:r>
      <w:r>
        <w:rPr>
          <w:rFonts w:cs="Times New Roman"/>
        </w:rPr>
        <w:t>，占一级保护区面积56.64%；灌木林地面积2.11 hm</w:t>
      </w:r>
      <w:r>
        <w:rPr>
          <w:rFonts w:cs="Times New Roman"/>
          <w:vertAlign w:val="superscript"/>
        </w:rPr>
        <w:t>2</w:t>
      </w:r>
      <w:r>
        <w:rPr>
          <w:rFonts w:cs="Times New Roman"/>
        </w:rPr>
        <w:t>，占一级保护区面积6.03%；公用设施用地面积0.03 hm</w:t>
      </w:r>
      <w:r>
        <w:rPr>
          <w:rFonts w:cs="Times New Roman"/>
          <w:vertAlign w:val="superscript"/>
        </w:rPr>
        <w:t>2</w:t>
      </w:r>
      <w:r>
        <w:rPr>
          <w:rFonts w:cs="Times New Roman"/>
        </w:rPr>
        <w:t>，占一级保护区面积0.09%；水库水面面积3.37 hm</w:t>
      </w:r>
      <w:r>
        <w:rPr>
          <w:rFonts w:cs="Times New Roman"/>
          <w:vertAlign w:val="superscript"/>
        </w:rPr>
        <w:t>2</w:t>
      </w:r>
      <w:r>
        <w:rPr>
          <w:rFonts w:cs="Times New Roman"/>
        </w:rPr>
        <w:t>，占一级保护区面积9.63%；水工建筑用地面积0.08 hm</w:t>
      </w:r>
      <w:r>
        <w:rPr>
          <w:rFonts w:cs="Times New Roman"/>
          <w:vertAlign w:val="superscript"/>
        </w:rPr>
        <w:t>2</w:t>
      </w:r>
      <w:r>
        <w:rPr>
          <w:rFonts w:cs="Times New Roman"/>
        </w:rPr>
        <w:t>，占一级保护区面积0.23%；裸土地面积0.29 hm</w:t>
      </w:r>
      <w:r>
        <w:rPr>
          <w:rFonts w:cs="Times New Roman"/>
          <w:vertAlign w:val="superscript"/>
        </w:rPr>
        <w:t>2</w:t>
      </w:r>
      <w:r>
        <w:rPr>
          <w:rFonts w:cs="Times New Roman"/>
        </w:rPr>
        <w:t>，占一级保护区面积0.83%。</w:t>
      </w:r>
    </w:p>
    <w:p>
      <w:pPr>
        <w:ind w:firstLine="480"/>
        <w:rPr>
          <w:rFonts w:cs="Times New Roman"/>
        </w:rPr>
      </w:pPr>
      <w:r>
        <w:rPr>
          <w:rFonts w:cs="Times New Roman"/>
        </w:rPr>
        <w:t>大竹林一级保护区内主要以旱地、乔木林地土地利用方式为主，两者占一级保护区面积的83.19%；一级保护区内旱地面积为9.29 hm</w:t>
      </w:r>
      <w:r>
        <w:rPr>
          <w:rFonts w:cs="Times New Roman"/>
          <w:vertAlign w:val="superscript"/>
        </w:rPr>
        <w:t>2</w:t>
      </w:r>
      <w:r>
        <w:rPr>
          <w:rFonts w:cs="Times New Roman"/>
        </w:rPr>
        <w:t>，主要分布在水库北侧山腰，主要种植作物为玉米，由于其坡度大，与水库距离近，短期内管理单位应严格禁止其使用无机肥和有机肥，长期内管理单位可以考虑退耕育林以涵养水源。</w:t>
      </w:r>
    </w:p>
    <w:p>
      <w:pPr>
        <w:ind w:firstLine="480"/>
        <w:rPr>
          <w:rFonts w:cs="Times New Roman"/>
        </w:rPr>
      </w:pPr>
      <w:r>
        <w:rPr>
          <w:rFonts w:cs="Times New Roman"/>
        </w:rPr>
        <w:t>大竹林水库二级保护区内，旱地面积22.67hm</w:t>
      </w:r>
      <w:r>
        <w:rPr>
          <w:rFonts w:cs="Times New Roman"/>
          <w:vertAlign w:val="superscript"/>
        </w:rPr>
        <w:t>2</w:t>
      </w:r>
      <w:r>
        <w:rPr>
          <w:rFonts w:cs="Times New Roman"/>
        </w:rPr>
        <w:t>，占二级保护区面积36.17%；乔木林地面积37.33 hm</w:t>
      </w:r>
      <w:r>
        <w:rPr>
          <w:rFonts w:cs="Times New Roman"/>
          <w:vertAlign w:val="superscript"/>
        </w:rPr>
        <w:t>2</w:t>
      </w:r>
      <w:r>
        <w:rPr>
          <w:rFonts w:cs="Times New Roman"/>
        </w:rPr>
        <w:t>，占二级保护区面积59.57%；灌木林地面积2.35 hm</w:t>
      </w:r>
      <w:r>
        <w:rPr>
          <w:rFonts w:cs="Times New Roman"/>
          <w:vertAlign w:val="superscript"/>
        </w:rPr>
        <w:t>2</w:t>
      </w:r>
      <w:r>
        <w:rPr>
          <w:rFonts w:cs="Times New Roman"/>
        </w:rPr>
        <w:t>，占二级保护区面积3.75%；农村道路面积0.18 hm</w:t>
      </w:r>
      <w:r>
        <w:rPr>
          <w:rFonts w:cs="Times New Roman"/>
          <w:vertAlign w:val="superscript"/>
        </w:rPr>
        <w:t>2</w:t>
      </w:r>
      <w:r>
        <w:rPr>
          <w:rFonts w:cs="Times New Roman"/>
        </w:rPr>
        <w:t>，占二级保护区面积0.29%；设施农用地面积0.14 hm</w:t>
      </w:r>
      <w:r>
        <w:rPr>
          <w:rFonts w:cs="Times New Roman"/>
          <w:vertAlign w:val="superscript"/>
        </w:rPr>
        <w:t>2</w:t>
      </w:r>
      <w:r>
        <w:rPr>
          <w:rFonts w:cs="Times New Roman"/>
        </w:rPr>
        <w:t>，占二级保护区面积0.22%。</w:t>
      </w:r>
    </w:p>
    <w:p>
      <w:pPr>
        <w:ind w:firstLine="480"/>
        <w:rPr>
          <w:rFonts w:cs="Times New Roman"/>
        </w:rPr>
      </w:pPr>
      <w:r>
        <w:rPr>
          <w:rFonts w:cs="Times New Roman"/>
        </w:rPr>
        <w:t>二级保护区内主要以旱地和乔木林地土地利用方式为主，两者占二级保护区面积的95.74%。二级保护区内旱地面积22.67 hm</w:t>
      </w:r>
      <w:r>
        <w:rPr>
          <w:rFonts w:cs="Times New Roman"/>
          <w:vertAlign w:val="superscript"/>
        </w:rPr>
        <w:t>2</w:t>
      </w:r>
      <w:r>
        <w:rPr>
          <w:rFonts w:cs="Times New Roman"/>
        </w:rPr>
        <w:t>，主要分布在都格自然村东面山腰，主要种植作物为玉米，在水库运行时期，应该严格控制此区域无机肥和有机肥使用。位于都格自然村东边的养殖小区，其主体建筑物在道路西侧，不位于流域范围内，但其污染物应该严加管控，严格遵从污染排污规定；养殖小区的一处堆粪场位于道路东侧，已经处于大竹林水库流域内，由于养殖小区还未运行，其暂未排污，并未对水库水质产生影响，但应当在养殖小区运行前，拆迁至流域范围外。</w:t>
      </w:r>
    </w:p>
    <w:p>
      <w:pPr>
        <w:pStyle w:val="42"/>
        <w:spacing w:before="166" w:after="166"/>
      </w:pPr>
      <w:r>
        <w:t>表4-4  保护区内土地利用现状表</w:t>
      </w:r>
    </w:p>
    <w:p>
      <w:pPr>
        <w:ind w:firstLine="0" w:firstLineChars="0"/>
        <w:jc w:val="right"/>
        <w:rPr>
          <w:rFonts w:cs="Times New Roman"/>
          <w:sz w:val="21"/>
          <w:szCs w:val="20"/>
        </w:rPr>
      </w:pPr>
      <w:r>
        <w:rPr>
          <w:rFonts w:cs="Times New Roman"/>
          <w:sz w:val="21"/>
          <w:szCs w:val="20"/>
        </w:rPr>
        <w:t>单位：hm</w:t>
      </w:r>
      <w:r>
        <w:rPr>
          <w:rFonts w:cs="Times New Roman"/>
          <w:sz w:val="21"/>
          <w:szCs w:val="20"/>
          <w:vertAlign w:val="superscript"/>
        </w:rPr>
        <w:t>2</w:t>
      </w:r>
      <w:r>
        <w:rPr>
          <w:rFonts w:cs="Times New Roman"/>
          <w:sz w:val="21"/>
          <w:szCs w:val="20"/>
        </w:rPr>
        <w:t>、%</w:t>
      </w:r>
    </w:p>
    <w:tbl>
      <w:tblPr>
        <w:tblStyle w:val="2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pStyle w:val="35"/>
            </w:pPr>
            <w:r>
              <w:t>保护区级别</w:t>
            </w:r>
          </w:p>
        </w:tc>
        <w:tc>
          <w:tcPr>
            <w:tcW w:w="2074" w:type="dxa"/>
          </w:tcPr>
          <w:p>
            <w:pPr>
              <w:pStyle w:val="35"/>
            </w:pPr>
            <w:r>
              <w:t>土地类别</w:t>
            </w:r>
          </w:p>
        </w:tc>
        <w:tc>
          <w:tcPr>
            <w:tcW w:w="2074" w:type="dxa"/>
          </w:tcPr>
          <w:p>
            <w:pPr>
              <w:pStyle w:val="35"/>
            </w:pPr>
            <w:r>
              <w:t>面积</w:t>
            </w:r>
          </w:p>
        </w:tc>
        <w:tc>
          <w:tcPr>
            <w:tcW w:w="2074" w:type="dxa"/>
          </w:tcPr>
          <w:p>
            <w:pPr>
              <w:pStyle w:val="35"/>
            </w:pPr>
            <w: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Merge w:val="restart"/>
            <w:vAlign w:val="center"/>
          </w:tcPr>
          <w:p>
            <w:pPr>
              <w:pStyle w:val="35"/>
            </w:pPr>
            <w:r>
              <w:t>一</w:t>
            </w:r>
          </w:p>
          <w:p>
            <w:pPr>
              <w:pStyle w:val="35"/>
            </w:pPr>
            <w:r>
              <w:t>级</w:t>
            </w:r>
          </w:p>
          <w:p>
            <w:pPr>
              <w:pStyle w:val="35"/>
            </w:pPr>
            <w:r>
              <w:t>保</w:t>
            </w:r>
          </w:p>
          <w:p>
            <w:pPr>
              <w:pStyle w:val="35"/>
            </w:pPr>
            <w:r>
              <w:t>护</w:t>
            </w:r>
          </w:p>
          <w:p>
            <w:pPr>
              <w:pStyle w:val="35"/>
            </w:pPr>
            <w:r>
              <w:t>区</w:t>
            </w:r>
          </w:p>
        </w:tc>
        <w:tc>
          <w:tcPr>
            <w:tcW w:w="2074" w:type="dxa"/>
          </w:tcPr>
          <w:p>
            <w:pPr>
              <w:pStyle w:val="35"/>
            </w:pPr>
            <w:r>
              <w:t>旱地</w:t>
            </w:r>
          </w:p>
        </w:tc>
        <w:tc>
          <w:tcPr>
            <w:tcW w:w="2074" w:type="dxa"/>
          </w:tcPr>
          <w:p>
            <w:pPr>
              <w:pStyle w:val="35"/>
            </w:pPr>
            <w:r>
              <w:t>9.29</w:t>
            </w:r>
          </w:p>
        </w:tc>
        <w:tc>
          <w:tcPr>
            <w:tcW w:w="2074" w:type="dxa"/>
          </w:tcPr>
          <w:p>
            <w:pPr>
              <w:pStyle w:val="35"/>
            </w:pPr>
            <w:r>
              <w:t>26.55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Merge w:val="continue"/>
          </w:tcPr>
          <w:p>
            <w:pPr>
              <w:pStyle w:val="35"/>
            </w:pPr>
          </w:p>
        </w:tc>
        <w:tc>
          <w:tcPr>
            <w:tcW w:w="2074" w:type="dxa"/>
          </w:tcPr>
          <w:p>
            <w:pPr>
              <w:pStyle w:val="35"/>
            </w:pPr>
            <w:r>
              <w:t>乔木林地</w:t>
            </w:r>
          </w:p>
        </w:tc>
        <w:tc>
          <w:tcPr>
            <w:tcW w:w="2074" w:type="dxa"/>
          </w:tcPr>
          <w:p>
            <w:pPr>
              <w:pStyle w:val="35"/>
            </w:pPr>
            <w:r>
              <w:t>19.82</w:t>
            </w:r>
          </w:p>
        </w:tc>
        <w:tc>
          <w:tcPr>
            <w:tcW w:w="2074" w:type="dxa"/>
          </w:tcPr>
          <w:p>
            <w:pPr>
              <w:pStyle w:val="35"/>
            </w:pPr>
            <w:r>
              <w:t>56.64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74" w:type="dxa"/>
            <w:vMerge w:val="continue"/>
          </w:tcPr>
          <w:p>
            <w:pPr>
              <w:pStyle w:val="35"/>
            </w:pPr>
          </w:p>
        </w:tc>
        <w:tc>
          <w:tcPr>
            <w:tcW w:w="2074" w:type="dxa"/>
          </w:tcPr>
          <w:p>
            <w:pPr>
              <w:pStyle w:val="35"/>
            </w:pPr>
            <w:r>
              <w:t>灌木林地</w:t>
            </w:r>
          </w:p>
        </w:tc>
        <w:tc>
          <w:tcPr>
            <w:tcW w:w="2074" w:type="dxa"/>
          </w:tcPr>
          <w:p>
            <w:pPr>
              <w:pStyle w:val="35"/>
            </w:pPr>
            <w:r>
              <w:t>2.11</w:t>
            </w:r>
          </w:p>
        </w:tc>
        <w:tc>
          <w:tcPr>
            <w:tcW w:w="2074" w:type="dxa"/>
          </w:tcPr>
          <w:p>
            <w:pPr>
              <w:pStyle w:val="35"/>
            </w:pPr>
            <w: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Merge w:val="continue"/>
          </w:tcPr>
          <w:p>
            <w:pPr>
              <w:pStyle w:val="35"/>
            </w:pPr>
          </w:p>
        </w:tc>
        <w:tc>
          <w:tcPr>
            <w:tcW w:w="2074" w:type="dxa"/>
          </w:tcPr>
          <w:p>
            <w:pPr>
              <w:pStyle w:val="35"/>
            </w:pPr>
            <w:r>
              <w:t>公用设施用地</w:t>
            </w:r>
          </w:p>
        </w:tc>
        <w:tc>
          <w:tcPr>
            <w:tcW w:w="2074" w:type="dxa"/>
          </w:tcPr>
          <w:p>
            <w:pPr>
              <w:pStyle w:val="35"/>
            </w:pPr>
            <w:r>
              <w:t>0.03</w:t>
            </w:r>
          </w:p>
        </w:tc>
        <w:tc>
          <w:tcPr>
            <w:tcW w:w="2074" w:type="dxa"/>
          </w:tcPr>
          <w:p>
            <w:pPr>
              <w:pStyle w:val="35"/>
            </w:pPr>
            <w: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Merge w:val="continue"/>
          </w:tcPr>
          <w:p>
            <w:pPr>
              <w:pStyle w:val="35"/>
            </w:pPr>
          </w:p>
        </w:tc>
        <w:tc>
          <w:tcPr>
            <w:tcW w:w="2074" w:type="dxa"/>
          </w:tcPr>
          <w:p>
            <w:pPr>
              <w:pStyle w:val="35"/>
            </w:pPr>
            <w:r>
              <w:t>水库水面</w:t>
            </w:r>
          </w:p>
        </w:tc>
        <w:tc>
          <w:tcPr>
            <w:tcW w:w="2074" w:type="dxa"/>
          </w:tcPr>
          <w:p>
            <w:pPr>
              <w:pStyle w:val="35"/>
            </w:pPr>
            <w:r>
              <w:t>3.37</w:t>
            </w:r>
          </w:p>
        </w:tc>
        <w:tc>
          <w:tcPr>
            <w:tcW w:w="2074" w:type="dxa"/>
          </w:tcPr>
          <w:p>
            <w:pPr>
              <w:pStyle w:val="35"/>
            </w:pPr>
            <w:r>
              <w:t>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Merge w:val="continue"/>
          </w:tcPr>
          <w:p>
            <w:pPr>
              <w:pStyle w:val="35"/>
            </w:pPr>
          </w:p>
        </w:tc>
        <w:tc>
          <w:tcPr>
            <w:tcW w:w="2074" w:type="dxa"/>
          </w:tcPr>
          <w:p>
            <w:pPr>
              <w:pStyle w:val="35"/>
            </w:pPr>
            <w:r>
              <w:t>水工建筑用地</w:t>
            </w:r>
          </w:p>
        </w:tc>
        <w:tc>
          <w:tcPr>
            <w:tcW w:w="2074" w:type="dxa"/>
          </w:tcPr>
          <w:p>
            <w:pPr>
              <w:pStyle w:val="35"/>
            </w:pPr>
            <w:r>
              <w:t>0.08</w:t>
            </w:r>
          </w:p>
        </w:tc>
        <w:tc>
          <w:tcPr>
            <w:tcW w:w="2074" w:type="dxa"/>
          </w:tcPr>
          <w:p>
            <w:pPr>
              <w:pStyle w:val="35"/>
            </w:pPr>
            <w: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74" w:type="dxa"/>
            <w:vMerge w:val="continue"/>
          </w:tcPr>
          <w:p>
            <w:pPr>
              <w:pStyle w:val="35"/>
            </w:pPr>
          </w:p>
        </w:tc>
        <w:tc>
          <w:tcPr>
            <w:tcW w:w="2074" w:type="dxa"/>
          </w:tcPr>
          <w:p>
            <w:pPr>
              <w:pStyle w:val="35"/>
            </w:pPr>
            <w:r>
              <w:t>裸土地</w:t>
            </w:r>
          </w:p>
        </w:tc>
        <w:tc>
          <w:tcPr>
            <w:tcW w:w="2074" w:type="dxa"/>
          </w:tcPr>
          <w:p>
            <w:pPr>
              <w:pStyle w:val="35"/>
            </w:pPr>
            <w:r>
              <w:t>0.29</w:t>
            </w:r>
          </w:p>
        </w:tc>
        <w:tc>
          <w:tcPr>
            <w:tcW w:w="2074" w:type="dxa"/>
          </w:tcPr>
          <w:p>
            <w:pPr>
              <w:pStyle w:val="35"/>
            </w:pPr>
            <w: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gridSpan w:val="2"/>
          </w:tcPr>
          <w:p>
            <w:pPr>
              <w:pStyle w:val="35"/>
            </w:pPr>
            <w:r>
              <w:t>合计</w:t>
            </w:r>
          </w:p>
        </w:tc>
        <w:tc>
          <w:tcPr>
            <w:tcW w:w="2074" w:type="dxa"/>
          </w:tcPr>
          <w:p>
            <w:pPr>
              <w:pStyle w:val="35"/>
            </w:pPr>
            <w:r>
              <w:t>34.99</w:t>
            </w:r>
          </w:p>
        </w:tc>
        <w:tc>
          <w:tcPr>
            <w:tcW w:w="2074" w:type="dxa"/>
          </w:tcPr>
          <w:p>
            <w:pPr>
              <w:pStyle w:val="35"/>
            </w:pPr>
            <w: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Merge w:val="restart"/>
            <w:vAlign w:val="center"/>
          </w:tcPr>
          <w:p>
            <w:pPr>
              <w:pStyle w:val="35"/>
            </w:pPr>
            <w:r>
              <w:t>二</w:t>
            </w:r>
          </w:p>
          <w:p>
            <w:pPr>
              <w:pStyle w:val="35"/>
            </w:pPr>
            <w:r>
              <w:t>级</w:t>
            </w:r>
          </w:p>
          <w:p>
            <w:pPr>
              <w:pStyle w:val="35"/>
            </w:pPr>
            <w:r>
              <w:t>保</w:t>
            </w:r>
          </w:p>
          <w:p>
            <w:pPr>
              <w:pStyle w:val="35"/>
            </w:pPr>
            <w:r>
              <w:t>护</w:t>
            </w:r>
          </w:p>
          <w:p>
            <w:pPr>
              <w:pStyle w:val="35"/>
            </w:pPr>
            <w:r>
              <w:t>区</w:t>
            </w:r>
          </w:p>
        </w:tc>
        <w:tc>
          <w:tcPr>
            <w:tcW w:w="2074" w:type="dxa"/>
          </w:tcPr>
          <w:p>
            <w:pPr>
              <w:pStyle w:val="35"/>
            </w:pPr>
            <w:r>
              <w:t>旱地</w:t>
            </w:r>
          </w:p>
        </w:tc>
        <w:tc>
          <w:tcPr>
            <w:tcW w:w="2074" w:type="dxa"/>
          </w:tcPr>
          <w:p>
            <w:pPr>
              <w:pStyle w:val="35"/>
            </w:pPr>
            <w:r>
              <w:t>22.67</w:t>
            </w:r>
          </w:p>
        </w:tc>
        <w:tc>
          <w:tcPr>
            <w:tcW w:w="2074" w:type="dxa"/>
          </w:tcPr>
          <w:p>
            <w:pPr>
              <w:pStyle w:val="35"/>
            </w:pPr>
            <w:r>
              <w:t>36.17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Merge w:val="continue"/>
          </w:tcPr>
          <w:p>
            <w:pPr>
              <w:pStyle w:val="35"/>
            </w:pPr>
          </w:p>
        </w:tc>
        <w:tc>
          <w:tcPr>
            <w:tcW w:w="2074" w:type="dxa"/>
          </w:tcPr>
          <w:p>
            <w:pPr>
              <w:pStyle w:val="35"/>
            </w:pPr>
            <w:r>
              <w:t>乔木林地</w:t>
            </w:r>
          </w:p>
        </w:tc>
        <w:tc>
          <w:tcPr>
            <w:tcW w:w="2074" w:type="dxa"/>
          </w:tcPr>
          <w:p>
            <w:pPr>
              <w:pStyle w:val="35"/>
            </w:pPr>
            <w:r>
              <w:t>37.33</w:t>
            </w:r>
          </w:p>
        </w:tc>
        <w:tc>
          <w:tcPr>
            <w:tcW w:w="2074" w:type="dxa"/>
          </w:tcPr>
          <w:p>
            <w:pPr>
              <w:pStyle w:val="35"/>
            </w:pPr>
            <w:r>
              <w:t>59.57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74" w:type="dxa"/>
            <w:vMerge w:val="continue"/>
          </w:tcPr>
          <w:p>
            <w:pPr>
              <w:pStyle w:val="35"/>
            </w:pPr>
          </w:p>
        </w:tc>
        <w:tc>
          <w:tcPr>
            <w:tcW w:w="2074" w:type="dxa"/>
          </w:tcPr>
          <w:p>
            <w:pPr>
              <w:pStyle w:val="35"/>
            </w:pPr>
            <w:r>
              <w:t>灌木林地</w:t>
            </w:r>
          </w:p>
        </w:tc>
        <w:tc>
          <w:tcPr>
            <w:tcW w:w="2074" w:type="dxa"/>
          </w:tcPr>
          <w:p>
            <w:pPr>
              <w:pStyle w:val="35"/>
            </w:pPr>
            <w:r>
              <w:t>2.35</w:t>
            </w:r>
          </w:p>
        </w:tc>
        <w:tc>
          <w:tcPr>
            <w:tcW w:w="2074" w:type="dxa"/>
          </w:tcPr>
          <w:p>
            <w:pPr>
              <w:pStyle w:val="35"/>
            </w:pPr>
            <w: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Merge w:val="continue"/>
          </w:tcPr>
          <w:p>
            <w:pPr>
              <w:pStyle w:val="35"/>
            </w:pPr>
          </w:p>
        </w:tc>
        <w:tc>
          <w:tcPr>
            <w:tcW w:w="2074" w:type="dxa"/>
          </w:tcPr>
          <w:p>
            <w:pPr>
              <w:pStyle w:val="35"/>
            </w:pPr>
            <w:r>
              <w:t>农村道路</w:t>
            </w:r>
          </w:p>
        </w:tc>
        <w:tc>
          <w:tcPr>
            <w:tcW w:w="2074" w:type="dxa"/>
          </w:tcPr>
          <w:p>
            <w:pPr>
              <w:pStyle w:val="35"/>
            </w:pPr>
            <w:r>
              <w:t>0.18</w:t>
            </w:r>
          </w:p>
        </w:tc>
        <w:tc>
          <w:tcPr>
            <w:tcW w:w="2074" w:type="dxa"/>
          </w:tcPr>
          <w:p>
            <w:pPr>
              <w:pStyle w:val="35"/>
            </w:pPr>
            <w: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Merge w:val="continue"/>
          </w:tcPr>
          <w:p>
            <w:pPr>
              <w:pStyle w:val="35"/>
            </w:pPr>
          </w:p>
        </w:tc>
        <w:tc>
          <w:tcPr>
            <w:tcW w:w="2074" w:type="dxa"/>
          </w:tcPr>
          <w:p>
            <w:pPr>
              <w:pStyle w:val="35"/>
            </w:pPr>
            <w:r>
              <w:t>设施农用地</w:t>
            </w:r>
          </w:p>
        </w:tc>
        <w:tc>
          <w:tcPr>
            <w:tcW w:w="2074" w:type="dxa"/>
          </w:tcPr>
          <w:p>
            <w:pPr>
              <w:pStyle w:val="35"/>
            </w:pPr>
            <w:r>
              <w:t>0.14</w:t>
            </w:r>
          </w:p>
        </w:tc>
        <w:tc>
          <w:tcPr>
            <w:tcW w:w="2074" w:type="dxa"/>
          </w:tcPr>
          <w:p>
            <w:pPr>
              <w:pStyle w:val="35"/>
            </w:pPr>
            <w: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gridSpan w:val="2"/>
          </w:tcPr>
          <w:p>
            <w:pPr>
              <w:pStyle w:val="35"/>
            </w:pPr>
            <w:r>
              <w:t>合计</w:t>
            </w:r>
          </w:p>
        </w:tc>
        <w:tc>
          <w:tcPr>
            <w:tcW w:w="2074" w:type="dxa"/>
          </w:tcPr>
          <w:p>
            <w:pPr>
              <w:pStyle w:val="35"/>
            </w:pPr>
            <w:r>
              <w:t>62.67</w:t>
            </w:r>
          </w:p>
        </w:tc>
        <w:tc>
          <w:tcPr>
            <w:tcW w:w="2074" w:type="dxa"/>
          </w:tcPr>
          <w:p>
            <w:pPr>
              <w:pStyle w:val="35"/>
            </w:pPr>
            <w:r>
              <w:t>100.00</w:t>
            </w:r>
          </w:p>
        </w:tc>
      </w:tr>
    </w:tbl>
    <w:p>
      <w:pPr>
        <w:pStyle w:val="3"/>
      </w:pPr>
      <w:bookmarkStart w:id="122" w:name="_Toc5501_WPSOffice_Level1"/>
      <w:bookmarkStart w:id="123" w:name="_Toc19691456"/>
      <w:bookmarkStart w:id="124" w:name="_Toc6309"/>
      <w:bookmarkStart w:id="125" w:name="_Toc17294_WPSOffice_Level1"/>
      <w:r>
        <w:rPr>
          <w:rFonts w:hint="eastAsia"/>
        </w:rPr>
        <w:t xml:space="preserve">第五章 </w:t>
      </w:r>
      <w:r>
        <w:t xml:space="preserve"> </w:t>
      </w:r>
      <w:r>
        <w:rPr>
          <w:rFonts w:hint="eastAsia"/>
        </w:rPr>
        <w:t>保护区规范化建设与管理要求</w:t>
      </w:r>
      <w:bookmarkEnd w:id="122"/>
      <w:bookmarkEnd w:id="123"/>
      <w:bookmarkEnd w:id="124"/>
      <w:bookmarkEnd w:id="125"/>
    </w:p>
    <w:p>
      <w:pPr>
        <w:pStyle w:val="4"/>
      </w:pPr>
      <w:bookmarkStart w:id="126" w:name="_Toc15892"/>
      <w:bookmarkStart w:id="127" w:name="_Toc19691457"/>
      <w:r>
        <w:rPr>
          <w:rFonts w:hint="eastAsia"/>
        </w:rPr>
        <w:t>5</w:t>
      </w:r>
      <w:r>
        <w:t xml:space="preserve">.1  </w:t>
      </w:r>
      <w:bookmarkStart w:id="128" w:name="_Hlk23074393"/>
      <w:r>
        <w:rPr>
          <w:rFonts w:hint="eastAsia"/>
        </w:rPr>
        <w:t>法律法规体系建设</w:t>
      </w:r>
      <w:bookmarkEnd w:id="126"/>
      <w:bookmarkEnd w:id="127"/>
      <w:bookmarkEnd w:id="128"/>
    </w:p>
    <w:p>
      <w:pPr>
        <w:ind w:firstLine="480"/>
        <w:rPr>
          <w:rFonts w:ascii="宋体" w:hAnsi="宋体" w:cs="宋体"/>
          <w:kern w:val="0"/>
          <w:szCs w:val="24"/>
        </w:rPr>
      </w:pPr>
      <w:r>
        <w:rPr>
          <w:rFonts w:hint="eastAsia" w:ascii="宋体" w:hAnsi="宋体" w:cs="宋体"/>
          <w:szCs w:val="24"/>
        </w:rPr>
        <w:t>大竹林水库</w:t>
      </w:r>
      <w:r>
        <w:rPr>
          <w:rFonts w:hint="eastAsia" w:ascii="宋体" w:hAnsi="宋体" w:cs="宋体"/>
          <w:kern w:val="0"/>
          <w:szCs w:val="24"/>
        </w:rPr>
        <w:t>饮用水源地目前均未建立完整的环境保护管理办法，也未建立相应的监测实施方案和应急预案。</w:t>
      </w:r>
    </w:p>
    <w:p>
      <w:pPr>
        <w:ind w:firstLine="480"/>
        <w:rPr>
          <w:rFonts w:ascii="宋体" w:hAnsi="宋体" w:cs="宋体"/>
          <w:szCs w:val="24"/>
        </w:rPr>
      </w:pPr>
      <w:r>
        <w:rPr>
          <w:rFonts w:hint="eastAsia" w:ascii="宋体" w:hAnsi="宋体" w:cs="宋体"/>
          <w:kern w:val="0"/>
          <w:szCs w:val="24"/>
        </w:rPr>
        <w:t>对此，应进一步完善</w:t>
      </w:r>
      <w:r>
        <w:rPr>
          <w:rFonts w:hint="eastAsia" w:ascii="宋体" w:hAnsi="宋体" w:cs="宋体"/>
          <w:szCs w:val="24"/>
        </w:rPr>
        <w:t>大竹林水库</w:t>
      </w:r>
      <w:r>
        <w:rPr>
          <w:rFonts w:hint="eastAsia" w:ascii="宋体" w:hAnsi="宋体" w:cs="宋体"/>
          <w:kern w:val="0"/>
          <w:szCs w:val="24"/>
        </w:rPr>
        <w:t>环境管理体系，制定《</w:t>
      </w:r>
      <w:r>
        <w:rPr>
          <w:rFonts w:hint="eastAsia" w:ascii="宋体" w:hAnsi="宋体" w:cs="宋体"/>
          <w:szCs w:val="24"/>
        </w:rPr>
        <w:t>大竹林水库</w:t>
      </w:r>
      <w:r>
        <w:rPr>
          <w:rFonts w:hint="eastAsia" w:ascii="宋体" w:hAnsi="宋体" w:cs="宋体"/>
          <w:kern w:val="0"/>
          <w:szCs w:val="24"/>
        </w:rPr>
        <w:t>饮用水源地环境保护管理办法》，通过制度化、规范化的环境管理制度对</w:t>
      </w:r>
      <w:r>
        <w:rPr>
          <w:rFonts w:hint="eastAsia" w:ascii="宋体" w:hAnsi="宋体" w:cs="宋体"/>
          <w:szCs w:val="24"/>
        </w:rPr>
        <w:t>大竹林水库</w:t>
      </w:r>
      <w:r>
        <w:rPr>
          <w:rFonts w:hint="eastAsia" w:ascii="宋体" w:hAnsi="宋体" w:cs="宋体"/>
          <w:kern w:val="0"/>
          <w:szCs w:val="24"/>
        </w:rPr>
        <w:t>保护区范围内水体和土壤进行保护，按照《中华人民共和国水污染防治法》、《中华人民共和国水污染防治法实施细则》等法律法规规则的要求对现有污染源进行严格管控，对新建项目实施规范化审批和管理。同时，制定《</w:t>
      </w:r>
      <w:bookmarkStart w:id="129" w:name="_Hlk23075195"/>
      <w:r>
        <w:rPr>
          <w:rFonts w:hint="eastAsia" w:ascii="宋体" w:hAnsi="宋体" w:cs="宋体"/>
          <w:kern w:val="0"/>
          <w:szCs w:val="24"/>
        </w:rPr>
        <w:t>富源县</w:t>
      </w:r>
      <w:bookmarkEnd w:id="129"/>
      <w:r>
        <w:rPr>
          <w:rFonts w:hint="eastAsia" w:ascii="宋体" w:hAnsi="宋体" w:cs="宋体"/>
          <w:szCs w:val="24"/>
        </w:rPr>
        <w:t>大竹林水库</w:t>
      </w:r>
      <w:r>
        <w:rPr>
          <w:rFonts w:hint="eastAsia" w:ascii="宋体" w:hAnsi="宋体" w:cs="宋体"/>
          <w:kern w:val="0"/>
          <w:szCs w:val="24"/>
        </w:rPr>
        <w:t>环境监测实施方案》随时掌握水库水质现状。制定《富源县</w:t>
      </w:r>
      <w:r>
        <w:rPr>
          <w:rFonts w:hint="eastAsia" w:ascii="宋体" w:hAnsi="宋体" w:cs="宋体"/>
          <w:szCs w:val="24"/>
        </w:rPr>
        <w:t>大竹林水库</w:t>
      </w:r>
      <w:r>
        <w:rPr>
          <w:rFonts w:hint="eastAsia" w:ascii="宋体" w:hAnsi="宋体" w:cs="宋体"/>
          <w:kern w:val="0"/>
          <w:szCs w:val="24"/>
        </w:rPr>
        <w:t>饮用水源地突发环境事件应急预案》做好</w:t>
      </w:r>
      <w:r>
        <w:rPr>
          <w:rFonts w:hint="eastAsia" w:ascii="宋体" w:hAnsi="宋体" w:cs="宋体"/>
          <w:szCs w:val="24"/>
        </w:rPr>
        <w:t>大竹林水库</w:t>
      </w:r>
      <w:r>
        <w:rPr>
          <w:rFonts w:hint="eastAsia" w:ascii="宋体" w:hAnsi="宋体" w:cs="宋体"/>
          <w:kern w:val="0"/>
          <w:szCs w:val="24"/>
        </w:rPr>
        <w:t>饮用水源地环境风险的排查和预防工作，加强对</w:t>
      </w:r>
      <w:r>
        <w:rPr>
          <w:rFonts w:hint="eastAsia" w:ascii="宋体" w:hAnsi="宋体" w:cs="宋体"/>
          <w:szCs w:val="24"/>
        </w:rPr>
        <w:t>大竹林水库</w:t>
      </w:r>
      <w:r>
        <w:rPr>
          <w:rFonts w:hint="eastAsia" w:ascii="宋体" w:hAnsi="宋体" w:cs="宋体"/>
          <w:kern w:val="0"/>
          <w:szCs w:val="24"/>
        </w:rPr>
        <w:t>饮用水源地环境风险的应对，坚决杜绝环境污染隐患，确保饮用水质安全。</w:t>
      </w:r>
    </w:p>
    <w:p>
      <w:pPr>
        <w:pStyle w:val="4"/>
      </w:pPr>
      <w:bookmarkStart w:id="130" w:name="_Toc7611"/>
      <w:bookmarkStart w:id="131" w:name="_Toc19691458"/>
      <w:r>
        <w:rPr>
          <w:rFonts w:hint="eastAsia"/>
        </w:rPr>
        <w:t>5</w:t>
      </w:r>
      <w:r>
        <w:t xml:space="preserve">.2  </w:t>
      </w:r>
      <w:r>
        <w:rPr>
          <w:rFonts w:hint="eastAsia"/>
        </w:rPr>
        <w:t>监测能力建设</w:t>
      </w:r>
      <w:bookmarkEnd w:id="130"/>
      <w:bookmarkEnd w:id="131"/>
    </w:p>
    <w:p>
      <w:pPr>
        <w:ind w:firstLine="480"/>
        <w:rPr>
          <w:shd w:val="clear" w:color="auto" w:fill="FFFFFF"/>
        </w:rPr>
      </w:pPr>
      <w:r>
        <w:rPr>
          <w:rFonts w:hint="eastAsia"/>
        </w:rPr>
        <w:t>2017年7月与2018年5月，富源县水务局对大竹林水库水质进行检测</w:t>
      </w:r>
      <w:r>
        <w:rPr>
          <w:rFonts w:hint="eastAsia"/>
          <w:shd w:val="clear" w:color="auto" w:fill="FFFFFF"/>
        </w:rPr>
        <w:t>，主要监测项目包括《地表水环境质量标准》（GB3838-2002）中基本项目和补充项目，基本上按饮用水源地水质监测要求建立监测制度，但监测能力有待加强。</w:t>
      </w:r>
    </w:p>
    <w:p>
      <w:pPr>
        <w:ind w:firstLine="480"/>
      </w:pPr>
      <w:r>
        <w:rPr>
          <w:rFonts w:hint="eastAsia" w:ascii="宋体" w:hAnsi="宋体" w:cs="宋体"/>
          <w:szCs w:val="24"/>
          <w:shd w:val="clear" w:color="auto" w:fill="FFFFFF"/>
        </w:rPr>
        <w:t>对此，</w:t>
      </w:r>
      <w:r>
        <w:rPr>
          <w:rFonts w:hint="eastAsia" w:ascii="宋体" w:hAnsi="宋体" w:cs="宋体"/>
          <w:szCs w:val="24"/>
        </w:rPr>
        <w:t>大竹林</w:t>
      </w:r>
      <w:r>
        <w:rPr>
          <w:rFonts w:hint="eastAsia" w:ascii="宋体" w:hAnsi="宋体" w:cs="宋体"/>
          <w:szCs w:val="24"/>
          <w:shd w:val="clear" w:color="auto" w:fill="FFFFFF"/>
        </w:rPr>
        <w:t>水库饮用水源地应进一步完善饮用水源地水质监测制度，完善饮用水源地水质监测项目，按时限要求完成饮用水源地水质全项监测和分析，必要时可考虑在线监测能力方面的建设。同时，加强饮用水源地环境应急监测能力的建设，确保突发环境事件发生时的应急监测能力。</w:t>
      </w:r>
    </w:p>
    <w:p>
      <w:pPr>
        <w:pStyle w:val="4"/>
      </w:pPr>
      <w:bookmarkStart w:id="132" w:name="_Toc19691459"/>
      <w:bookmarkStart w:id="133" w:name="_Toc13595"/>
      <w:r>
        <w:rPr>
          <w:rFonts w:hint="eastAsia"/>
        </w:rPr>
        <w:t>5</w:t>
      </w:r>
      <w:r>
        <w:t xml:space="preserve">.3  </w:t>
      </w:r>
      <w:r>
        <w:rPr>
          <w:rFonts w:hint="eastAsia"/>
        </w:rPr>
        <w:t>治理方面措施</w:t>
      </w:r>
      <w:bookmarkEnd w:id="132"/>
      <w:bookmarkEnd w:id="133"/>
    </w:p>
    <w:p>
      <w:pPr>
        <w:ind w:firstLine="480"/>
        <w:rPr>
          <w:rFonts w:cs="Times New Roman"/>
          <w:szCs w:val="24"/>
        </w:rPr>
      </w:pPr>
      <w:r>
        <w:rPr>
          <w:rFonts w:hint="eastAsia"/>
        </w:rPr>
        <w:t>建议养殖小区重新选址，养殖小区的一处堆粪场位于道路东侧，已经处于大竹林水库径流区内，堆粪场应迁出水库径流区，或者做好防渗措施</w:t>
      </w:r>
      <w:r>
        <w:rPr>
          <w:rFonts w:hint="eastAsia" w:ascii="宋体" w:hAnsi="宋体" w:cs="宋体"/>
          <w:kern w:val="0"/>
          <w:szCs w:val="24"/>
        </w:rPr>
        <w:t>，保证</w:t>
      </w:r>
      <w:r>
        <w:rPr>
          <w:rFonts w:hint="eastAsia"/>
        </w:rPr>
        <w:t>堆粪场的渗滤液不会流入大竹林水库，</w:t>
      </w:r>
      <w:r>
        <w:rPr>
          <w:rFonts w:hint="eastAsia" w:ascii="宋体" w:hAnsi="宋体" w:cs="宋体"/>
          <w:kern w:val="0"/>
          <w:szCs w:val="24"/>
        </w:rPr>
        <w:t>且养殖小区应修建污水和雨水管道，保证生活污水、生产废水和雨水不排入</w:t>
      </w:r>
      <w:r>
        <w:rPr>
          <w:rFonts w:hint="eastAsia"/>
        </w:rPr>
        <w:t>大竹林水库径流区内</w:t>
      </w:r>
      <w:r>
        <w:rPr>
          <w:rFonts w:hint="eastAsia" w:ascii="宋体" w:hAnsi="宋体" w:cs="宋体"/>
          <w:kern w:val="0"/>
          <w:szCs w:val="24"/>
        </w:rPr>
        <w:t>。一级保护区内的耕地应退耕还林，对水库保护区范围内的耕地，通过宣传教育，让老百姓做到科学施肥和合理喷洒农药，一定程度上减轻农药面源污染。对此，需进一步强化科学施肥、喷洒农药及合理回收农用地膜等工作的宣传，同时教会农民科学种植的技术，减轻农业面源污染。同时，在汇水区适当地方建设人工湿地，增强水体的自净能力，强化对水体的污染治理工作。</w:t>
      </w:r>
      <w:r>
        <w:rPr>
          <w:rFonts w:hint="eastAsia"/>
        </w:rPr>
        <w:t>大竹林水库径流区与云南省富源县石坝子金多金属矿详查勘查项目存在重叠，</w:t>
      </w:r>
      <w:r>
        <w:rPr>
          <w:rFonts w:hint="eastAsia" w:cs="Times New Roman"/>
          <w:szCs w:val="24"/>
        </w:rPr>
        <w:t>矿区开采时，必须做好水库保护工作，实时监测水库水质。</w:t>
      </w:r>
    </w:p>
    <w:p>
      <w:pPr>
        <w:pStyle w:val="4"/>
      </w:pPr>
      <w:bookmarkStart w:id="134" w:name="_Toc19691460"/>
      <w:bookmarkStart w:id="135" w:name="_Toc6510"/>
      <w:r>
        <w:rPr>
          <w:rFonts w:hint="eastAsia"/>
        </w:rPr>
        <w:t>5</w:t>
      </w:r>
      <w:r>
        <w:t xml:space="preserve">.4  </w:t>
      </w:r>
      <w:r>
        <w:rPr>
          <w:rFonts w:hint="eastAsia"/>
        </w:rPr>
        <w:t>环境管理措施</w:t>
      </w:r>
      <w:bookmarkEnd w:id="134"/>
      <w:bookmarkEnd w:id="135"/>
    </w:p>
    <w:p>
      <w:pPr>
        <w:pStyle w:val="2"/>
        <w:ind w:firstLine="480"/>
        <w:rPr>
          <w:rFonts w:hint="default" w:eastAsia="仿宋"/>
        </w:rPr>
      </w:pPr>
      <w:r>
        <w:rPr>
          <w:rFonts w:hAnsi="宋体" w:cs="宋体"/>
          <w:sz w:val="24"/>
          <w:szCs w:val="24"/>
        </w:rPr>
        <w:t>大竹林</w:t>
      </w:r>
      <w:r>
        <w:rPr>
          <w:rFonts w:hAnsi="宋体" w:cs="宋体"/>
          <w:kern w:val="0"/>
          <w:sz w:val="24"/>
          <w:szCs w:val="24"/>
        </w:rPr>
        <w:t>水库隶属于富源县富村镇人民政府管理，是富村镇的集中式饮用水源地。一直以来，富村镇人民政府和相关部门应</w:t>
      </w:r>
      <w:r>
        <w:rPr>
          <w:rFonts w:hAnsi="宋体" w:cs="宋体"/>
          <w:sz w:val="24"/>
          <w:szCs w:val="24"/>
        </w:rPr>
        <w:t>进一步加大大竹林</w:t>
      </w:r>
      <w:r>
        <w:rPr>
          <w:rFonts w:hAnsi="宋体" w:cs="宋体"/>
          <w:kern w:val="0"/>
          <w:sz w:val="24"/>
          <w:szCs w:val="24"/>
        </w:rPr>
        <w:t>水库</w:t>
      </w:r>
      <w:r>
        <w:rPr>
          <w:rFonts w:hAnsi="宋体" w:cs="宋体"/>
          <w:sz w:val="24"/>
          <w:szCs w:val="24"/>
        </w:rPr>
        <w:t>饮用水源地保护力度。完善饮用水源地保护设施，设立防护网、界桩、保护标志、制定管理条例，建立健全饮用水源安全预警制度，定期发布饮用水源地水质监测信息。加强饮用水源地环境监管，按分级保护要求，坚决取缔饮用水源一级保护区内的排污口，禁止在二级保护区新增排污口，严格控制保护区内经济开发活动，禁止在水源保护区建设有污染物排放和破坏生态的项目。积极调整水源保护区的农业产业结构，推广绿色农业和生态农业，减少化肥农药的施用量和农业废弃物的污染。因地制宜，建立水源地保护标志，防止水源污染。</w:t>
      </w:r>
    </w:p>
    <w:p>
      <w:pPr>
        <w:pStyle w:val="4"/>
      </w:pPr>
      <w:bookmarkStart w:id="136" w:name="_Toc17615"/>
      <w:bookmarkStart w:id="137" w:name="_Toc19691461"/>
      <w:r>
        <w:rPr>
          <w:rFonts w:hint="eastAsia"/>
        </w:rPr>
        <w:t>5</w:t>
      </w:r>
      <w:r>
        <w:t xml:space="preserve">.5  </w:t>
      </w:r>
      <w:r>
        <w:rPr>
          <w:rFonts w:hint="eastAsia"/>
        </w:rPr>
        <w:t>制度管理措施</w:t>
      </w:r>
      <w:bookmarkEnd w:id="136"/>
      <w:bookmarkEnd w:id="137"/>
    </w:p>
    <w:p>
      <w:pPr>
        <w:pStyle w:val="2"/>
        <w:ind w:firstLine="480"/>
        <w:rPr>
          <w:rFonts w:hint="default" w:hAnsi="宋体" w:cs="宋体"/>
          <w:sz w:val="24"/>
          <w:szCs w:val="24"/>
          <w:shd w:val="clear" w:color="auto" w:fill="FFFFFF"/>
        </w:rPr>
      </w:pPr>
      <w:r>
        <w:rPr>
          <w:rFonts w:hAnsi="宋体" w:cs="宋体"/>
          <w:sz w:val="24"/>
          <w:szCs w:val="24"/>
        </w:rPr>
        <w:t>大竹林</w:t>
      </w:r>
      <w:r>
        <w:rPr>
          <w:rFonts w:hAnsi="宋体" w:cs="宋体"/>
          <w:sz w:val="24"/>
          <w:szCs w:val="24"/>
          <w:shd w:val="clear" w:color="auto" w:fill="FFFFFF"/>
        </w:rPr>
        <w:t>水库环境管理方面的制度不完善，环境保护检查基本上按照要求进行，但执法检查制度方面的制度有待加强制定和落实。</w:t>
      </w:r>
    </w:p>
    <w:p>
      <w:pPr>
        <w:pStyle w:val="2"/>
        <w:ind w:firstLine="480"/>
        <w:rPr>
          <w:rFonts w:hint="default" w:hAnsi="宋体" w:cs="宋体"/>
          <w:sz w:val="24"/>
          <w:szCs w:val="24"/>
        </w:rPr>
      </w:pPr>
      <w:r>
        <w:rPr>
          <w:rFonts w:hAnsi="宋体" w:cs="宋体"/>
          <w:sz w:val="24"/>
          <w:szCs w:val="24"/>
          <w:shd w:val="clear" w:color="auto" w:fill="FFFFFF"/>
        </w:rPr>
        <w:t>加强对</w:t>
      </w:r>
      <w:r>
        <w:rPr>
          <w:rFonts w:hAnsi="宋体" w:cs="宋体"/>
          <w:sz w:val="24"/>
          <w:szCs w:val="24"/>
        </w:rPr>
        <w:t>大竹林</w:t>
      </w:r>
      <w:r>
        <w:rPr>
          <w:rFonts w:hAnsi="宋体" w:cs="宋体"/>
          <w:sz w:val="24"/>
          <w:szCs w:val="24"/>
          <w:shd w:val="clear" w:color="auto" w:fill="FFFFFF"/>
        </w:rPr>
        <w:t>水库饮用水源地保护的规范化管理，认真落实相关管理办法和制度，实施严格的考核制度，实行一票否决制。进一步理顺环境管理具体机构，防治水源地污染，确保水质安全。加大舆论宣传力度，提高群众对饮用水源地保护工作的重视程度，自觉抵制饮用水源地保护区违法行为。</w:t>
      </w:r>
    </w:p>
    <w:p>
      <w:pPr>
        <w:pStyle w:val="4"/>
      </w:pPr>
      <w:bookmarkStart w:id="138" w:name="_Toc29328"/>
      <w:bookmarkStart w:id="139" w:name="_Toc19691462"/>
      <w:r>
        <w:rPr>
          <w:rFonts w:hint="eastAsia"/>
        </w:rPr>
        <w:t>5</w:t>
      </w:r>
      <w:r>
        <w:t xml:space="preserve">.6  </w:t>
      </w:r>
      <w:r>
        <w:rPr>
          <w:rFonts w:hint="eastAsia"/>
        </w:rPr>
        <w:t>保护区管理措施</w:t>
      </w:r>
      <w:bookmarkEnd w:id="138"/>
      <w:bookmarkEnd w:id="139"/>
    </w:p>
    <w:p>
      <w:pPr>
        <w:pStyle w:val="2"/>
        <w:ind w:firstLine="480"/>
        <w:rPr>
          <w:rFonts w:hint="default" w:hAnsi="宋体" w:cs="宋体"/>
          <w:sz w:val="24"/>
          <w:szCs w:val="24"/>
          <w:shd w:val="clear" w:color="auto" w:fill="FFFFFF"/>
        </w:rPr>
      </w:pPr>
      <w:r>
        <w:rPr>
          <w:rFonts w:hAnsi="宋体" w:cs="宋体"/>
          <w:sz w:val="24"/>
          <w:szCs w:val="24"/>
          <w:shd w:val="clear" w:color="auto" w:fill="FFFFFF"/>
        </w:rPr>
        <w:t>富村镇积极开展水环境精细化管理，依据《曲靖市人民政府关于加强环境监管执法的实施意见》，严格落实水库管理责任制，加大水库管护力度；成立2</w:t>
      </w:r>
      <w:r>
        <w:rPr>
          <w:rFonts w:ascii="仿宋" w:hAnsi="仿宋" w:eastAsia="仿宋" w:cs="仿宋"/>
          <w:sz w:val="24"/>
          <w:szCs w:val="24"/>
          <w:shd w:val="clear" w:color="auto" w:fill="FFFFFF"/>
        </w:rPr>
        <w:t>～</w:t>
      </w:r>
      <w:r>
        <w:rPr>
          <w:rFonts w:hAnsi="宋体" w:cs="宋体"/>
          <w:sz w:val="24"/>
          <w:szCs w:val="24"/>
          <w:shd w:val="clear" w:color="auto" w:fill="FFFFFF"/>
        </w:rPr>
        <w:t>3人组成的水库管理小组，定期巡查并打捞库区内垃圾、动植物残体，及时清除库区周边垃圾，降低污染物入湖风险。</w:t>
      </w:r>
    </w:p>
    <w:p>
      <w:pPr>
        <w:ind w:firstLine="480"/>
        <w:rPr>
          <w:rFonts w:ascii="宋体" w:hAnsi="宋体" w:cs="宋体"/>
          <w:szCs w:val="24"/>
        </w:rPr>
      </w:pPr>
      <w:r>
        <w:rPr>
          <w:rFonts w:hint="eastAsia" w:ascii="宋体" w:hAnsi="宋体" w:cs="宋体"/>
          <w:szCs w:val="24"/>
          <w:shd w:val="clear" w:color="auto" w:fill="FFFFFF"/>
        </w:rPr>
        <w:t>针对富村镇集中式饮用水保护区划定一级和二级保护区范围后，为确保饮水安全，积极有效地处理好区域生态与发展之间的关系，将《</w:t>
      </w:r>
      <w:r>
        <w:rPr>
          <w:rFonts w:hint="eastAsia" w:ascii="宋体" w:hAnsi="宋体" w:cs="宋体"/>
          <w:szCs w:val="24"/>
        </w:rPr>
        <w:t>大竹林</w:t>
      </w:r>
      <w:r>
        <w:rPr>
          <w:rFonts w:hint="eastAsia" w:ascii="宋体" w:hAnsi="宋体" w:cs="宋体"/>
          <w:szCs w:val="24"/>
          <w:shd w:val="clear" w:color="auto" w:fill="FFFFFF"/>
        </w:rPr>
        <w:t>水库饮用水水源保护区划分技术报告》作为各级政府部门开发审批的依据，严格落实饮用水源地保护区相关要求。</w:t>
      </w:r>
    </w:p>
    <w:p>
      <w:pPr>
        <w:pStyle w:val="4"/>
      </w:pPr>
      <w:bookmarkStart w:id="140" w:name="_Toc19691463"/>
      <w:bookmarkStart w:id="141" w:name="_Toc28369"/>
      <w:r>
        <w:rPr>
          <w:rFonts w:hint="eastAsia"/>
        </w:rPr>
        <w:t>5</w:t>
      </w:r>
      <w:r>
        <w:t xml:space="preserve">.7  </w:t>
      </w:r>
      <w:r>
        <w:rPr>
          <w:rFonts w:hint="eastAsia"/>
        </w:rPr>
        <w:t>保护区建设投资估算</w:t>
      </w:r>
      <w:bookmarkEnd w:id="140"/>
      <w:bookmarkEnd w:id="141"/>
    </w:p>
    <w:p>
      <w:pPr>
        <w:ind w:firstLine="480"/>
      </w:pPr>
      <w:r>
        <w:rPr>
          <w:rFonts w:hint="eastAsia" w:ascii="宋体" w:hAnsi="宋体" w:cs="宋体"/>
          <w:szCs w:val="24"/>
          <w:shd w:val="clear" w:color="auto" w:fill="FFFFFF"/>
        </w:rPr>
        <w:t>根据农村饮用水水源地环境保护项目建设与投资指南，进行</w:t>
      </w:r>
      <w:r>
        <w:rPr>
          <w:rFonts w:hint="eastAsia"/>
        </w:rPr>
        <w:t>保护区建设投资估算。</w:t>
      </w:r>
    </w:p>
    <w:p>
      <w:pPr>
        <w:pStyle w:val="5"/>
        <w:rPr>
          <w:shd w:val="clear" w:color="auto" w:fill="FFFFFF"/>
        </w:rPr>
      </w:pPr>
      <w:bookmarkStart w:id="142" w:name="_Toc19691464"/>
      <w:bookmarkStart w:id="143" w:name="_Toc27119"/>
      <w:r>
        <w:rPr>
          <w:rFonts w:hint="eastAsia"/>
        </w:rPr>
        <w:t>5</w:t>
      </w:r>
      <w:r>
        <w:t>.7</w:t>
      </w:r>
      <w:r>
        <w:rPr>
          <w:rFonts w:hint="eastAsia"/>
        </w:rPr>
        <w:t>.1</w:t>
      </w:r>
      <w:r>
        <w:t xml:space="preserve">  </w:t>
      </w:r>
      <w:r>
        <w:rPr>
          <w:rFonts w:eastAsia="宋体"/>
          <w:shd w:val="clear" w:color="auto" w:fill="FFFFFF"/>
        </w:rPr>
        <w:t>保护标志投资</w:t>
      </w:r>
      <w:bookmarkEnd w:id="142"/>
      <w:bookmarkEnd w:id="143"/>
    </w:p>
    <w:p>
      <w:pPr>
        <w:ind w:firstLine="480"/>
      </w:pPr>
      <w:r>
        <w:rPr>
          <w:rFonts w:hint="eastAsia"/>
        </w:rPr>
        <w:t>饮用水水源保护区标志包括界标、交通警示牌和宣传牌。各类饮用水水源地均须设置警示标志。饮用水水源保护区界标一般设立于保护区陆域界线的端点处。随保护区域形状不同，在相应形状顶端设置界标，如：多边形即设置在多边形的顶点；弧形设置在弧顶切点；圆形设置在外切正方形的端点，并结合水源地护栏围网等隔离防护工程设立界标。根据环境管理需要在人群易见、活动处（如交叉路口，绿地休闲区等）设立界标。饮用水水源保护区界标的设立应综合考虑饮用水水源一级保护区、二级保护区和准保护区的界标设立数量和分布进行设置。饮用水水源保护区交通警示牌设在保护区的道路或航道的进入点及驶出点。饮用水水源保护区道路警示牌设置于一级保护区、二级保护区和准保护区范围内的主干道、高速公路等道路旁。饮用水水源保护区宣传 牌的设立位置可根据实际需要在适当的位置设立饮用水源保护区宣传牌。各地方政府可根据实际需求设计宣传牌上的图形和文字，如介绍当地饮用水水源保护区的地形地貌、保护现状、管理要求等。</w:t>
      </w:r>
    </w:p>
    <w:p>
      <w:pPr>
        <w:pStyle w:val="42"/>
        <w:spacing w:before="166" w:after="166"/>
      </w:pPr>
      <w:r>
        <w:rPr>
          <w:shd w:val="clear" w:color="auto" w:fill="FFFFFF"/>
        </w:rPr>
        <w:t xml:space="preserve">表 </w:t>
      </w:r>
      <w:r>
        <w:rPr>
          <w:rFonts w:hint="eastAsia"/>
          <w:shd w:val="clear" w:color="auto" w:fill="FFFFFF"/>
        </w:rPr>
        <w:t>5-</w:t>
      </w:r>
      <w:r>
        <w:rPr>
          <w:shd w:val="clear" w:color="auto" w:fill="FFFFFF"/>
        </w:rPr>
        <w:t>1  农村饮用水源地保护标志投资参考</w:t>
      </w:r>
    </w:p>
    <w:tbl>
      <w:tblPr>
        <w:tblStyle w:val="26"/>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5"/>
        <w:gridCol w:w="1658"/>
        <w:gridCol w:w="1658"/>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5" w:type="dxa"/>
          </w:tcPr>
          <w:p>
            <w:pPr>
              <w:pStyle w:val="35"/>
            </w:pPr>
            <w:r>
              <w:rPr>
                <w:rFonts w:hint="eastAsia"/>
              </w:rPr>
              <w:t>建设内容</w:t>
            </w:r>
          </w:p>
        </w:tc>
        <w:tc>
          <w:tcPr>
            <w:tcW w:w="1658" w:type="dxa"/>
          </w:tcPr>
          <w:p>
            <w:pPr>
              <w:pStyle w:val="35"/>
            </w:pPr>
            <w:r>
              <w:rPr>
                <w:rFonts w:hint="eastAsia"/>
              </w:rPr>
              <w:t>数量</w:t>
            </w:r>
          </w:p>
        </w:tc>
        <w:tc>
          <w:tcPr>
            <w:tcW w:w="1658" w:type="dxa"/>
          </w:tcPr>
          <w:p>
            <w:pPr>
              <w:pStyle w:val="35"/>
            </w:pPr>
            <w:r>
              <w:rPr>
                <w:rFonts w:hint="eastAsia"/>
              </w:rPr>
              <w:t>单价（元）</w:t>
            </w:r>
          </w:p>
        </w:tc>
        <w:tc>
          <w:tcPr>
            <w:tcW w:w="1659" w:type="dxa"/>
          </w:tcPr>
          <w:p>
            <w:pPr>
              <w:pStyle w:val="35"/>
            </w:pPr>
            <w:r>
              <w:rPr>
                <w:rFonts w:hint="eastAsia"/>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5" w:type="dxa"/>
          </w:tcPr>
          <w:p>
            <w:pPr>
              <w:pStyle w:val="35"/>
            </w:pPr>
            <w:r>
              <w:rPr>
                <w:rFonts w:hint="eastAsia"/>
              </w:rPr>
              <w:t>1、保护区边界标识牌</w:t>
            </w:r>
          </w:p>
        </w:tc>
        <w:tc>
          <w:tcPr>
            <w:tcW w:w="1658" w:type="dxa"/>
          </w:tcPr>
          <w:p>
            <w:pPr>
              <w:pStyle w:val="35"/>
            </w:pPr>
            <w:r>
              <w:rPr>
                <w:rFonts w:hint="eastAsia"/>
              </w:rPr>
              <w:t>3</w:t>
            </w:r>
            <w:r>
              <w:t>1</w:t>
            </w:r>
          </w:p>
        </w:tc>
        <w:tc>
          <w:tcPr>
            <w:tcW w:w="1658" w:type="dxa"/>
          </w:tcPr>
          <w:p>
            <w:pPr>
              <w:pStyle w:val="35"/>
            </w:pPr>
            <w:r>
              <w:t>300</w:t>
            </w:r>
          </w:p>
        </w:tc>
        <w:tc>
          <w:tcPr>
            <w:tcW w:w="1659" w:type="dxa"/>
          </w:tcPr>
          <w:p>
            <w:pPr>
              <w:pStyle w:val="35"/>
            </w:pPr>
            <w:r>
              <w:rPr>
                <w:rFonts w:hint="eastAsia"/>
              </w:rPr>
              <w:t>9</w:t>
            </w:r>
            <w: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5" w:type="dxa"/>
          </w:tcPr>
          <w:p>
            <w:pPr>
              <w:pStyle w:val="35"/>
            </w:pPr>
            <w:r>
              <w:rPr>
                <w:rFonts w:hint="eastAsia"/>
              </w:rPr>
              <w:t>2、交通警示牌</w:t>
            </w:r>
          </w:p>
        </w:tc>
        <w:tc>
          <w:tcPr>
            <w:tcW w:w="1658" w:type="dxa"/>
          </w:tcPr>
          <w:p>
            <w:pPr>
              <w:pStyle w:val="35"/>
            </w:pPr>
            <w:r>
              <w:t>2</w:t>
            </w:r>
          </w:p>
        </w:tc>
        <w:tc>
          <w:tcPr>
            <w:tcW w:w="1658" w:type="dxa"/>
          </w:tcPr>
          <w:p>
            <w:pPr>
              <w:pStyle w:val="35"/>
            </w:pPr>
            <w:r>
              <w:t>800</w:t>
            </w:r>
          </w:p>
        </w:tc>
        <w:tc>
          <w:tcPr>
            <w:tcW w:w="1659" w:type="dxa"/>
          </w:tcPr>
          <w:p>
            <w:pPr>
              <w:pStyle w:val="35"/>
            </w:pPr>
            <w:r>
              <w:rPr>
                <w:rFonts w:hint="eastAsia"/>
              </w:rPr>
              <w:t>1</w:t>
            </w:r>
            <w: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15" w:type="dxa"/>
          </w:tcPr>
          <w:p>
            <w:pPr>
              <w:pStyle w:val="35"/>
            </w:pPr>
            <w:r>
              <w:rPr>
                <w:rFonts w:hint="eastAsia"/>
              </w:rPr>
              <w:t>3、宣传牌</w:t>
            </w:r>
          </w:p>
        </w:tc>
        <w:tc>
          <w:tcPr>
            <w:tcW w:w="1658" w:type="dxa"/>
          </w:tcPr>
          <w:p>
            <w:pPr>
              <w:pStyle w:val="35"/>
            </w:pPr>
            <w:r>
              <w:rPr>
                <w:rFonts w:hint="eastAsia"/>
              </w:rPr>
              <w:t>2</w:t>
            </w:r>
          </w:p>
        </w:tc>
        <w:tc>
          <w:tcPr>
            <w:tcW w:w="1658" w:type="dxa"/>
          </w:tcPr>
          <w:p>
            <w:pPr>
              <w:pStyle w:val="35"/>
            </w:pPr>
            <w:r>
              <w:rPr>
                <w:rFonts w:hint="eastAsia"/>
              </w:rPr>
              <w:t>8</w:t>
            </w:r>
            <w:r>
              <w:t>00</w:t>
            </w:r>
          </w:p>
        </w:tc>
        <w:tc>
          <w:tcPr>
            <w:tcW w:w="1659" w:type="dxa"/>
          </w:tcPr>
          <w:p>
            <w:pPr>
              <w:pStyle w:val="35"/>
            </w:pPr>
            <w:r>
              <w:rPr>
                <w:rFonts w:hint="eastAsia"/>
              </w:rPr>
              <w:t>1</w:t>
            </w:r>
            <w: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5" w:type="dxa"/>
          </w:tcPr>
          <w:p>
            <w:pPr>
              <w:pStyle w:val="35"/>
            </w:pPr>
            <w:r>
              <w:rPr>
                <w:rFonts w:hint="eastAsia"/>
              </w:rPr>
              <w:t>合计</w:t>
            </w:r>
          </w:p>
        </w:tc>
        <w:tc>
          <w:tcPr>
            <w:tcW w:w="1658" w:type="dxa"/>
            <w:tcBorders>
              <w:tl2br w:val="single" w:color="auto" w:sz="4" w:space="0"/>
            </w:tcBorders>
          </w:tcPr>
          <w:p>
            <w:pPr>
              <w:pStyle w:val="35"/>
            </w:pPr>
          </w:p>
        </w:tc>
        <w:tc>
          <w:tcPr>
            <w:tcW w:w="1658" w:type="dxa"/>
            <w:tcBorders>
              <w:tl2br w:val="single" w:color="auto" w:sz="4" w:space="0"/>
            </w:tcBorders>
          </w:tcPr>
          <w:p>
            <w:pPr>
              <w:pStyle w:val="35"/>
            </w:pPr>
          </w:p>
        </w:tc>
        <w:tc>
          <w:tcPr>
            <w:tcW w:w="1659" w:type="dxa"/>
          </w:tcPr>
          <w:p>
            <w:pPr>
              <w:pStyle w:val="35"/>
            </w:pPr>
            <w:r>
              <w:rPr>
                <w:rFonts w:hint="eastAsia"/>
              </w:rPr>
              <w:t>1</w:t>
            </w:r>
            <w:r>
              <w:t>2500</w:t>
            </w:r>
          </w:p>
        </w:tc>
      </w:tr>
    </w:tbl>
    <w:p>
      <w:pPr>
        <w:pStyle w:val="2"/>
        <w:ind w:firstLine="420"/>
        <w:rPr>
          <w:rFonts w:hint="default"/>
        </w:rPr>
      </w:pPr>
    </w:p>
    <w:p>
      <w:pPr>
        <w:pStyle w:val="5"/>
        <w:rPr>
          <w:shd w:val="clear" w:color="auto" w:fill="FFFFFF"/>
        </w:rPr>
      </w:pPr>
      <w:bookmarkStart w:id="144" w:name="_Toc26534"/>
      <w:bookmarkStart w:id="145" w:name="_Toc19691465"/>
      <w:r>
        <w:rPr>
          <w:rFonts w:hint="eastAsia"/>
        </w:rPr>
        <w:t>5</w:t>
      </w:r>
      <w:r>
        <w:t>.7</w:t>
      </w:r>
      <w:r>
        <w:rPr>
          <w:rFonts w:hint="eastAsia"/>
        </w:rPr>
        <w:t>.2</w:t>
      </w:r>
      <w:r>
        <w:t xml:space="preserve">  </w:t>
      </w:r>
      <w:r>
        <w:rPr>
          <w:shd w:val="clear" w:color="auto" w:fill="FFFFFF"/>
        </w:rPr>
        <w:t>保护隔离防护投资</w:t>
      </w:r>
      <w:bookmarkEnd w:id="144"/>
      <w:bookmarkEnd w:id="145"/>
    </w:p>
    <w:p>
      <w:pPr>
        <w:ind w:firstLine="480"/>
        <w:rPr>
          <w:shd w:val="clear" w:color="auto" w:fill="FFFFFF"/>
        </w:rPr>
      </w:pPr>
      <w:r>
        <w:rPr>
          <w:rFonts w:hint="eastAsia"/>
          <w:shd w:val="clear" w:color="auto" w:fill="FFFFFF"/>
        </w:rPr>
        <w:t>为防止人类活动造成不利影响，按照 HJ/T 338-2007 划分的保护区和保护范围，依据水源地的自然地理、环境特征和环境管理需要，在人群活动较为频繁的一级保护区水域外围边界应设置隔离防护设施。该设施包括物理防护和生物防护，前者包括护栏、隔离网、隔离墙；鉴于隔离墙对生态环境的不利影响，推荐采用护栏、隔离网。</w:t>
      </w:r>
    </w:p>
    <w:p>
      <w:pPr>
        <w:ind w:firstLine="480"/>
        <w:rPr>
          <w:shd w:val="clear" w:color="auto" w:fill="FFFFFF"/>
        </w:rPr>
      </w:pPr>
      <w:r>
        <w:rPr>
          <w:rFonts w:hint="eastAsia"/>
          <w:shd w:val="clear" w:color="auto" w:fill="FFFFFF"/>
        </w:rPr>
        <w:t>物理隔离防护设施应遵循耐久、经济的原则。目前应用较多的护栏和隔离网，是电焊网片护栏和勾花隔离网。参照高速公路隔离网设计，饮用水水源地的防护栏规格为高度</w:t>
      </w:r>
      <w:r>
        <w:rPr>
          <w:rFonts w:cs="Times New Roman"/>
          <w:shd w:val="clear" w:color="auto" w:fill="FFFFFF"/>
        </w:rPr>
        <w:t xml:space="preserve"> 1.7 m，顶部 0.2 m 向内倾</w:t>
      </w:r>
      <w:r>
        <w:rPr>
          <w:rFonts w:hint="eastAsia"/>
          <w:shd w:val="clear" w:color="auto" w:fill="FFFFFF"/>
        </w:rPr>
        <w:t xml:space="preserve">斜。   </w:t>
      </w:r>
    </w:p>
    <w:p>
      <w:pPr>
        <w:pStyle w:val="42"/>
        <w:spacing w:before="166" w:after="166"/>
      </w:pPr>
      <w:r>
        <w:rPr>
          <w:rFonts w:hint="eastAsia"/>
          <w:shd w:val="clear" w:color="auto" w:fill="FFFFFF"/>
        </w:rPr>
        <w:t>表 5-2 农村饮用水源地隔离防护投资参考</w:t>
      </w:r>
      <w:r>
        <w:rPr>
          <w:rFonts w:hint="eastAsia"/>
        </w:rPr>
        <w:t xml:space="preserve"> </w:t>
      </w:r>
    </w:p>
    <w:tbl>
      <w:tblPr>
        <w:tblStyle w:val="26"/>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5"/>
        <w:gridCol w:w="1658"/>
        <w:gridCol w:w="1658"/>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5" w:type="dxa"/>
          </w:tcPr>
          <w:p>
            <w:pPr>
              <w:pStyle w:val="35"/>
            </w:pPr>
            <w:r>
              <w:t>建设内容</w:t>
            </w:r>
          </w:p>
        </w:tc>
        <w:tc>
          <w:tcPr>
            <w:tcW w:w="1658" w:type="dxa"/>
          </w:tcPr>
          <w:p>
            <w:pPr>
              <w:pStyle w:val="35"/>
            </w:pPr>
            <w:r>
              <w:t>数量</w:t>
            </w:r>
          </w:p>
        </w:tc>
        <w:tc>
          <w:tcPr>
            <w:tcW w:w="1658" w:type="dxa"/>
          </w:tcPr>
          <w:p>
            <w:pPr>
              <w:pStyle w:val="35"/>
            </w:pPr>
            <w:r>
              <w:t>单价（</w:t>
            </w:r>
            <w:r>
              <w:rPr>
                <w:rFonts w:hint="eastAsia"/>
              </w:rPr>
              <w:t>元</w:t>
            </w:r>
            <w:r>
              <w:t>）</w:t>
            </w:r>
          </w:p>
        </w:tc>
        <w:tc>
          <w:tcPr>
            <w:tcW w:w="1659" w:type="dxa"/>
          </w:tcPr>
          <w:p>
            <w:pPr>
              <w:pStyle w:val="35"/>
            </w:pPr>
            <w:r>
              <w:t>金额（</w:t>
            </w:r>
            <w:r>
              <w:rPr>
                <w:rFonts w:hint="eastAsia"/>
              </w:rPr>
              <w:t>元</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5" w:type="dxa"/>
          </w:tcPr>
          <w:p>
            <w:pPr>
              <w:pStyle w:val="35"/>
            </w:pPr>
            <w:r>
              <w:rPr>
                <w:rFonts w:hint="eastAsia"/>
              </w:rPr>
              <w:t>1</w:t>
            </w:r>
            <w:r>
              <w:t>、</w:t>
            </w:r>
            <w:r>
              <w:rPr>
                <w:rFonts w:hint="eastAsia"/>
              </w:rPr>
              <w:t>铁网防护栏</w:t>
            </w:r>
          </w:p>
        </w:tc>
        <w:tc>
          <w:tcPr>
            <w:tcW w:w="1658" w:type="dxa"/>
          </w:tcPr>
          <w:p>
            <w:pPr>
              <w:pStyle w:val="35"/>
            </w:pPr>
            <w:r>
              <w:t>300</w:t>
            </w:r>
          </w:p>
        </w:tc>
        <w:tc>
          <w:tcPr>
            <w:tcW w:w="1658" w:type="dxa"/>
          </w:tcPr>
          <w:p>
            <w:pPr>
              <w:pStyle w:val="35"/>
            </w:pPr>
            <w:r>
              <w:t>180</w:t>
            </w:r>
          </w:p>
        </w:tc>
        <w:tc>
          <w:tcPr>
            <w:tcW w:w="1659" w:type="dxa"/>
          </w:tcPr>
          <w:p>
            <w:pPr>
              <w:pStyle w:val="35"/>
            </w:pPr>
            <w:r>
              <w:t>54000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5" w:type="dxa"/>
          </w:tcPr>
          <w:p>
            <w:pPr>
              <w:pStyle w:val="35"/>
            </w:pPr>
            <w:r>
              <w:rPr>
                <w:rFonts w:hint="eastAsia"/>
              </w:rPr>
              <w:t>2</w:t>
            </w:r>
            <w:r>
              <w:t>、</w:t>
            </w:r>
            <w:r>
              <w:rPr>
                <w:rFonts w:hint="eastAsia"/>
              </w:rPr>
              <w:t>运行维护费</w:t>
            </w:r>
          </w:p>
        </w:tc>
        <w:tc>
          <w:tcPr>
            <w:tcW w:w="1658" w:type="dxa"/>
          </w:tcPr>
          <w:p>
            <w:pPr>
              <w:pStyle w:val="35"/>
            </w:pPr>
            <w:r>
              <w:t>300</w:t>
            </w:r>
          </w:p>
        </w:tc>
        <w:tc>
          <w:tcPr>
            <w:tcW w:w="1658" w:type="dxa"/>
          </w:tcPr>
          <w:p>
            <w:pPr>
              <w:pStyle w:val="35"/>
            </w:pPr>
            <w:r>
              <w:t>5</w:t>
            </w:r>
          </w:p>
        </w:tc>
        <w:tc>
          <w:tcPr>
            <w:tcW w:w="1659" w:type="dxa"/>
          </w:tcPr>
          <w:p>
            <w:pPr>
              <w:pStyle w:val="35"/>
            </w:pPr>
            <w: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15" w:type="dxa"/>
          </w:tcPr>
          <w:p>
            <w:pPr>
              <w:pStyle w:val="35"/>
            </w:pPr>
            <w:r>
              <w:t>合计</w:t>
            </w:r>
          </w:p>
        </w:tc>
        <w:tc>
          <w:tcPr>
            <w:tcW w:w="1658" w:type="dxa"/>
            <w:tcBorders>
              <w:tl2br w:val="single" w:color="auto" w:sz="4" w:space="0"/>
            </w:tcBorders>
          </w:tcPr>
          <w:p>
            <w:pPr>
              <w:pStyle w:val="35"/>
            </w:pPr>
          </w:p>
        </w:tc>
        <w:tc>
          <w:tcPr>
            <w:tcW w:w="1658" w:type="dxa"/>
            <w:tcBorders>
              <w:tl2br w:val="single" w:color="auto" w:sz="4" w:space="0"/>
            </w:tcBorders>
          </w:tcPr>
          <w:p>
            <w:pPr>
              <w:pStyle w:val="35"/>
            </w:pPr>
          </w:p>
        </w:tc>
        <w:tc>
          <w:tcPr>
            <w:tcW w:w="1659" w:type="dxa"/>
          </w:tcPr>
          <w:p>
            <w:pPr>
              <w:pStyle w:val="35"/>
            </w:pPr>
            <w:r>
              <w:t>55500</w:t>
            </w:r>
          </w:p>
        </w:tc>
      </w:tr>
    </w:tbl>
    <w:p>
      <w:pPr>
        <w:pStyle w:val="2"/>
        <w:ind w:firstLine="0" w:firstLineChars="0"/>
        <w:rPr>
          <w:rFonts w:hint="default"/>
        </w:rPr>
      </w:pPr>
    </w:p>
    <w:p>
      <w:pPr>
        <w:pStyle w:val="5"/>
        <w:rPr>
          <w:rFonts w:cs="Times New Roman"/>
          <w:shd w:val="clear" w:color="auto" w:fill="FFFFFF"/>
        </w:rPr>
      </w:pPr>
      <w:bookmarkStart w:id="146" w:name="_Toc19691466"/>
      <w:bookmarkStart w:id="147" w:name="_Toc9536"/>
      <w:r>
        <w:rPr>
          <w:rFonts w:hint="eastAsia"/>
        </w:rPr>
        <w:t>5</w:t>
      </w:r>
      <w:r>
        <w:t>.7</w:t>
      </w:r>
      <w:r>
        <w:rPr>
          <w:rFonts w:hint="eastAsia"/>
        </w:rPr>
        <w:t>.3</w:t>
      </w:r>
      <w:r>
        <w:t xml:space="preserve">  </w:t>
      </w:r>
      <w:r>
        <w:rPr>
          <w:rFonts w:hint="eastAsia"/>
        </w:rPr>
        <w:t>耕地恢复成林地</w:t>
      </w:r>
      <w:r>
        <w:rPr>
          <w:rFonts w:ascii="黑体" w:hAnsi="黑体" w:cs="Times New Roman"/>
          <w:shd w:val="clear" w:color="auto" w:fill="FFFFFF"/>
        </w:rPr>
        <w:t>投资</w:t>
      </w:r>
      <w:bookmarkEnd w:id="146"/>
      <w:bookmarkEnd w:id="147"/>
    </w:p>
    <w:p>
      <w:pPr>
        <w:ind w:firstLine="480"/>
      </w:pPr>
      <w:r>
        <w:rPr>
          <w:rFonts w:hint="eastAsia"/>
        </w:rPr>
        <w:t>一级保护区内旱地面积为9.29hm</w:t>
      </w:r>
      <w:r>
        <w:rPr>
          <w:vertAlign w:val="superscript"/>
        </w:rPr>
        <w:t>2</w:t>
      </w:r>
      <w:r>
        <w:rPr>
          <w:rFonts w:hint="eastAsia"/>
        </w:rPr>
        <w:t>，主要分布在水库北侧山腰，主要种植作物为玉米，由于其坡度大，与水库距离近，管理单位应考虑退耕育林以涵养水源。</w:t>
      </w:r>
    </w:p>
    <w:p>
      <w:pPr>
        <w:pStyle w:val="42"/>
        <w:spacing w:before="166" w:after="166"/>
        <w:rPr>
          <w:shd w:val="clear" w:color="auto" w:fill="FFFFFF"/>
        </w:rPr>
      </w:pPr>
      <w:r>
        <w:rPr>
          <w:shd w:val="clear" w:color="auto" w:fill="FFFFFF"/>
        </w:rPr>
        <w:t xml:space="preserve">表 </w:t>
      </w:r>
      <w:r>
        <w:rPr>
          <w:rFonts w:hint="eastAsia"/>
          <w:shd w:val="clear" w:color="auto" w:fill="FFFFFF"/>
        </w:rPr>
        <w:t>5-</w:t>
      </w:r>
      <w:r>
        <w:rPr>
          <w:shd w:val="clear" w:color="auto" w:fill="FFFFFF"/>
        </w:rPr>
        <w:t xml:space="preserve">3 </w:t>
      </w:r>
      <w:r>
        <w:rPr>
          <w:rFonts w:hint="eastAsia"/>
        </w:rPr>
        <w:t>耕地恢复成林地</w:t>
      </w:r>
      <w:r>
        <w:rPr>
          <w:shd w:val="clear" w:color="auto" w:fill="FFFFFF"/>
        </w:rPr>
        <w:t>投资参考</w:t>
      </w:r>
      <w:bookmarkStart w:id="148" w:name="_Toc19691467"/>
    </w:p>
    <w:tbl>
      <w:tblPr>
        <w:tblStyle w:val="26"/>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5"/>
        <w:gridCol w:w="1658"/>
        <w:gridCol w:w="1658"/>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5" w:type="dxa"/>
          </w:tcPr>
          <w:p>
            <w:pPr>
              <w:pStyle w:val="35"/>
            </w:pPr>
            <w:r>
              <w:t>建设内容</w:t>
            </w:r>
          </w:p>
        </w:tc>
        <w:tc>
          <w:tcPr>
            <w:tcW w:w="1658" w:type="dxa"/>
          </w:tcPr>
          <w:p>
            <w:pPr>
              <w:pStyle w:val="35"/>
            </w:pPr>
            <w:r>
              <w:t>数量</w:t>
            </w:r>
          </w:p>
        </w:tc>
        <w:tc>
          <w:tcPr>
            <w:tcW w:w="1658" w:type="dxa"/>
          </w:tcPr>
          <w:p>
            <w:pPr>
              <w:pStyle w:val="35"/>
            </w:pPr>
            <w:r>
              <w:t>单价（</w:t>
            </w:r>
            <w:r>
              <w:rPr>
                <w:rFonts w:hint="eastAsia"/>
              </w:rPr>
              <w:t>元</w:t>
            </w:r>
            <w:r>
              <w:t>）</w:t>
            </w:r>
          </w:p>
        </w:tc>
        <w:tc>
          <w:tcPr>
            <w:tcW w:w="1659" w:type="dxa"/>
          </w:tcPr>
          <w:p>
            <w:pPr>
              <w:pStyle w:val="35"/>
            </w:pPr>
            <w:r>
              <w:t>金额（</w:t>
            </w:r>
            <w:r>
              <w:rPr>
                <w:rFonts w:hint="eastAsia"/>
              </w:rPr>
              <w:t>元</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5" w:type="dxa"/>
          </w:tcPr>
          <w:p>
            <w:pPr>
              <w:pStyle w:val="35"/>
            </w:pPr>
            <w:r>
              <w:rPr>
                <w:rFonts w:hint="eastAsia"/>
              </w:rPr>
              <w:t>1</w:t>
            </w:r>
            <w:r>
              <w:t>、</w:t>
            </w:r>
            <w:r>
              <w:rPr>
                <w:rFonts w:hint="eastAsia"/>
              </w:rPr>
              <w:t>树苗</w:t>
            </w:r>
          </w:p>
        </w:tc>
        <w:tc>
          <w:tcPr>
            <w:tcW w:w="1658" w:type="dxa"/>
          </w:tcPr>
          <w:p>
            <w:pPr>
              <w:pStyle w:val="35"/>
            </w:pPr>
            <w:r>
              <w:rPr>
                <w:rFonts w:hint="eastAsia"/>
              </w:rPr>
              <w:t>1</w:t>
            </w:r>
            <w:r>
              <w:t>4000</w:t>
            </w:r>
          </w:p>
        </w:tc>
        <w:tc>
          <w:tcPr>
            <w:tcW w:w="1658" w:type="dxa"/>
          </w:tcPr>
          <w:p>
            <w:pPr>
              <w:pStyle w:val="35"/>
            </w:pPr>
            <w:r>
              <w:t>5</w:t>
            </w:r>
          </w:p>
        </w:tc>
        <w:tc>
          <w:tcPr>
            <w:tcW w:w="1659" w:type="dxa"/>
          </w:tcPr>
          <w:p>
            <w:pPr>
              <w:pStyle w:val="35"/>
            </w:pPr>
            <w:r>
              <w:t>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5" w:type="dxa"/>
          </w:tcPr>
          <w:p>
            <w:pPr>
              <w:pStyle w:val="35"/>
            </w:pPr>
            <w:r>
              <w:t>合计</w:t>
            </w:r>
          </w:p>
        </w:tc>
        <w:tc>
          <w:tcPr>
            <w:tcW w:w="1658" w:type="dxa"/>
            <w:tcBorders>
              <w:tl2br w:val="single" w:color="auto" w:sz="4" w:space="0"/>
            </w:tcBorders>
          </w:tcPr>
          <w:p>
            <w:pPr>
              <w:pStyle w:val="35"/>
            </w:pPr>
          </w:p>
        </w:tc>
        <w:tc>
          <w:tcPr>
            <w:tcW w:w="1658" w:type="dxa"/>
            <w:tcBorders>
              <w:tl2br w:val="single" w:color="auto" w:sz="4" w:space="0"/>
            </w:tcBorders>
          </w:tcPr>
          <w:p>
            <w:pPr>
              <w:pStyle w:val="35"/>
            </w:pPr>
          </w:p>
        </w:tc>
        <w:tc>
          <w:tcPr>
            <w:tcW w:w="1659" w:type="dxa"/>
          </w:tcPr>
          <w:p>
            <w:pPr>
              <w:pStyle w:val="35"/>
            </w:pPr>
            <w:r>
              <w:t>70000</w:t>
            </w:r>
          </w:p>
        </w:tc>
      </w:tr>
    </w:tbl>
    <w:p>
      <w:pPr>
        <w:pStyle w:val="2"/>
        <w:ind w:firstLine="420"/>
        <w:rPr>
          <w:rFonts w:hint="default"/>
        </w:rPr>
      </w:pPr>
    </w:p>
    <w:p>
      <w:pPr>
        <w:pStyle w:val="5"/>
      </w:pPr>
      <w:bookmarkStart w:id="149" w:name="_Toc31845"/>
      <w:r>
        <w:rPr>
          <w:rFonts w:hint="eastAsia"/>
        </w:rPr>
        <w:t>5</w:t>
      </w:r>
      <w:r>
        <w:t>.7</w:t>
      </w:r>
      <w:r>
        <w:rPr>
          <w:rFonts w:hint="eastAsia"/>
        </w:rPr>
        <w:t>.4</w:t>
      </w:r>
      <w:r>
        <w:t xml:space="preserve">  </w:t>
      </w:r>
      <w:r>
        <w:rPr>
          <w:rFonts w:hint="eastAsia"/>
        </w:rPr>
        <w:t>总投资</w:t>
      </w:r>
      <w:bookmarkEnd w:id="148"/>
      <w:bookmarkEnd w:id="149"/>
    </w:p>
    <w:p>
      <w:pPr>
        <w:pStyle w:val="14"/>
        <w:ind w:firstLine="480"/>
        <w:rPr>
          <w:rFonts w:ascii="Times New Roman"/>
          <w:sz w:val="24"/>
        </w:rPr>
      </w:pPr>
      <w:r>
        <w:rPr>
          <w:rFonts w:hint="eastAsia"/>
          <w:sz w:val="24"/>
        </w:rPr>
        <w:t>保护标志投资</w:t>
      </w:r>
      <w:r>
        <w:rPr>
          <w:rFonts w:hint="eastAsia"/>
          <w:sz w:val="24"/>
          <w:shd w:val="clear" w:color="auto" w:fill="FFFFFF"/>
        </w:rPr>
        <w:t>约1</w:t>
      </w:r>
      <w:r>
        <w:rPr>
          <w:sz w:val="24"/>
          <w:shd w:val="clear" w:color="auto" w:fill="FFFFFF"/>
        </w:rPr>
        <w:t>2500</w:t>
      </w:r>
      <w:r>
        <w:rPr>
          <w:rFonts w:hint="eastAsia"/>
          <w:sz w:val="24"/>
          <w:shd w:val="clear" w:color="auto" w:fill="FFFFFF"/>
        </w:rPr>
        <w:t>元，保护隔离防护投资</w:t>
      </w:r>
      <w:r>
        <w:rPr>
          <w:rFonts w:hint="eastAsia" w:ascii="Times New Roman"/>
          <w:sz w:val="24"/>
        </w:rPr>
        <w:t>约</w:t>
      </w:r>
      <w:r>
        <w:rPr>
          <w:rFonts w:ascii="Times New Roman"/>
          <w:sz w:val="24"/>
        </w:rPr>
        <w:t>55500</w:t>
      </w:r>
      <w:r>
        <w:rPr>
          <w:rFonts w:hint="eastAsia" w:ascii="Times New Roman"/>
          <w:sz w:val="24"/>
        </w:rPr>
        <w:t>元，耕地恢复成林地投资</w:t>
      </w:r>
      <w:r>
        <w:rPr>
          <w:rFonts w:hint="eastAsia"/>
          <w:sz w:val="24"/>
          <w:shd w:val="clear" w:color="auto" w:fill="FFFFFF"/>
        </w:rPr>
        <w:t>约</w:t>
      </w:r>
      <w:r>
        <w:rPr>
          <w:rFonts w:ascii="Times New Roman"/>
          <w:sz w:val="24"/>
        </w:rPr>
        <w:t>70000</w:t>
      </w:r>
      <w:r>
        <w:rPr>
          <w:rFonts w:hint="eastAsia"/>
          <w:sz w:val="24"/>
          <w:shd w:val="clear" w:color="auto" w:fill="FFFFFF"/>
        </w:rPr>
        <w:t>元，人工成本约60000元，大约需要总投资19.</w:t>
      </w:r>
      <w:r>
        <w:rPr>
          <w:sz w:val="24"/>
          <w:shd w:val="clear" w:color="auto" w:fill="FFFFFF"/>
        </w:rPr>
        <w:t>8</w:t>
      </w:r>
      <w:r>
        <w:rPr>
          <w:rFonts w:hint="eastAsia"/>
          <w:sz w:val="24"/>
          <w:shd w:val="clear" w:color="auto" w:fill="FFFFFF"/>
        </w:rPr>
        <w:t>万元。</w:t>
      </w:r>
    </w:p>
    <w:p>
      <w:pPr>
        <w:pStyle w:val="3"/>
      </w:pPr>
      <w:bookmarkStart w:id="150" w:name="_Toc27280"/>
      <w:bookmarkStart w:id="151" w:name="_Toc28391_WPSOffice_Level1"/>
      <w:bookmarkStart w:id="152" w:name="_Toc19691468"/>
      <w:bookmarkStart w:id="153" w:name="_Toc17159_WPSOffice_Level1"/>
      <w:r>
        <w:rPr>
          <w:rFonts w:hint="eastAsia"/>
        </w:rPr>
        <w:t xml:space="preserve">第六章 </w:t>
      </w:r>
      <w:r>
        <w:t xml:space="preserve"> </w:t>
      </w:r>
      <w:r>
        <w:rPr>
          <w:rFonts w:hint="eastAsia"/>
        </w:rPr>
        <w:t>结论和建议</w:t>
      </w:r>
      <w:bookmarkEnd w:id="150"/>
      <w:bookmarkEnd w:id="151"/>
      <w:bookmarkEnd w:id="152"/>
      <w:bookmarkEnd w:id="153"/>
    </w:p>
    <w:p>
      <w:pPr>
        <w:pStyle w:val="4"/>
      </w:pPr>
      <w:bookmarkStart w:id="154" w:name="_Toc19691469"/>
      <w:bookmarkStart w:id="155" w:name="_Toc6897"/>
      <w:r>
        <w:rPr>
          <w:rFonts w:hint="eastAsia"/>
        </w:rPr>
        <w:t>6</w:t>
      </w:r>
      <w:r>
        <w:t xml:space="preserve">.1  </w:t>
      </w:r>
      <w:r>
        <w:rPr>
          <w:rFonts w:hint="eastAsia"/>
        </w:rPr>
        <w:t>结论</w:t>
      </w:r>
      <w:bookmarkEnd w:id="154"/>
      <w:bookmarkEnd w:id="155"/>
    </w:p>
    <w:p>
      <w:pPr>
        <w:pStyle w:val="5"/>
      </w:pPr>
      <w:bookmarkStart w:id="156" w:name="_Toc22547"/>
      <w:bookmarkStart w:id="157" w:name="_Toc19691470"/>
      <w:r>
        <w:rPr>
          <w:rFonts w:hint="eastAsia"/>
        </w:rPr>
        <w:t>6</w:t>
      </w:r>
      <w:r>
        <w:t xml:space="preserve">.1.1  </w:t>
      </w:r>
      <w:r>
        <w:rPr>
          <w:rFonts w:hint="eastAsia"/>
        </w:rPr>
        <w:t>区域自然环境和社会环境调查结论</w:t>
      </w:r>
      <w:bookmarkEnd w:id="156"/>
      <w:bookmarkEnd w:id="157"/>
    </w:p>
    <w:p>
      <w:pPr>
        <w:ind w:firstLine="480"/>
      </w:pPr>
      <w:r>
        <w:rPr>
          <w:lang w:val="zh-CN"/>
        </w:rPr>
        <w:t>大竹林水库位于富源县富村镇干龙潭村委会境内</w:t>
      </w:r>
      <w:r>
        <w:t>，距离富村镇44公里（东经：</w:t>
      </w:r>
      <w:r>
        <w:rPr>
          <w:lang w:val="zh-CN"/>
        </w:rPr>
        <w:t>104.535582106，</w:t>
      </w:r>
      <w:r>
        <w:t>北纬：25.467288117）海拔为1835m。水库设计正常蓄水位1795m，正常库容28.2万m³，校核洪水位1797.1m，相应库容36.2万m³，水库现坝顶高程1797.3m，。流域形状为扇形，</w:t>
      </w:r>
      <w:r>
        <w:rPr>
          <w:lang w:val="zh-CN"/>
        </w:rPr>
        <w:t>本区多年平均降雨量1600.4毫米，汛期5到10月降雨占全年86.8%，降雨年内分配不均，单点暴雨突出，小范围易形成山洪灾害。年平均水面蒸发量1050.0毫米，年平均日照1840小时，年平均气温14.5℃。</w:t>
      </w:r>
    </w:p>
    <w:p>
      <w:pPr>
        <w:ind w:firstLine="480"/>
        <w:rPr>
          <w:rFonts w:cs="Times New Roman"/>
          <w:szCs w:val="24"/>
        </w:rPr>
      </w:pPr>
      <w:r>
        <w:rPr>
          <w:rFonts w:cs="Times New Roman"/>
          <w:kern w:val="0"/>
          <w:szCs w:val="24"/>
          <w:lang w:val="zh-CN"/>
        </w:rPr>
        <w:t>大竹林</w:t>
      </w:r>
      <w:r>
        <w:rPr>
          <w:rFonts w:cs="Times New Roman"/>
          <w:kern w:val="0"/>
          <w:szCs w:val="24"/>
        </w:rPr>
        <w:t>水库流域内不</w:t>
      </w:r>
      <w:r>
        <w:rPr>
          <w:rFonts w:hint="eastAsia" w:cs="Times New Roman"/>
          <w:kern w:val="0"/>
          <w:szCs w:val="24"/>
        </w:rPr>
        <w:t>包含</w:t>
      </w:r>
      <w:r>
        <w:rPr>
          <w:rFonts w:cs="Times New Roman"/>
          <w:kern w:val="0"/>
          <w:szCs w:val="24"/>
        </w:rPr>
        <w:t>村庄。</w:t>
      </w:r>
    </w:p>
    <w:p>
      <w:pPr>
        <w:pStyle w:val="5"/>
      </w:pPr>
      <w:bookmarkStart w:id="158" w:name="_Toc19691471"/>
      <w:bookmarkStart w:id="159" w:name="_Toc14602"/>
      <w:r>
        <w:rPr>
          <w:rFonts w:hint="eastAsia"/>
        </w:rPr>
        <w:t>6</w:t>
      </w:r>
      <w:r>
        <w:t xml:space="preserve">.1.2  </w:t>
      </w:r>
      <w:r>
        <w:rPr>
          <w:rFonts w:hint="eastAsia"/>
        </w:rPr>
        <w:t>饮用水源地保护区环境质量调查结论</w:t>
      </w:r>
      <w:bookmarkEnd w:id="158"/>
      <w:bookmarkEnd w:id="159"/>
    </w:p>
    <w:p>
      <w:pPr>
        <w:ind w:firstLine="600" w:firstLineChars="0"/>
        <w:rPr>
          <w:rFonts w:cs="Times New Roman"/>
          <w:szCs w:val="24"/>
        </w:rPr>
      </w:pPr>
      <w:r>
        <w:rPr>
          <w:rFonts w:cs="Times New Roman"/>
          <w:szCs w:val="24"/>
        </w:rPr>
        <w:t>竹林水库饮用水源地水质指标均达到《地表水环境质量标准》（GB3838-2002）Ⅲ类水质标准要求；补充项目均达到《地表水环境质量标准》（GB3838-2002）集中式生活饮用水地表水水源地补充项目标准要求。</w:t>
      </w:r>
    </w:p>
    <w:p>
      <w:pPr>
        <w:ind w:firstLine="480"/>
      </w:pPr>
      <w:r>
        <w:t>大竹林水库饮用水源地水质总体良好，均达到饮用水源地水质要求的水质标准。定性评价为良好。</w:t>
      </w:r>
    </w:p>
    <w:p>
      <w:pPr>
        <w:pStyle w:val="5"/>
      </w:pPr>
      <w:bookmarkStart w:id="160" w:name="_Toc19691472"/>
      <w:bookmarkStart w:id="161" w:name="_Toc900"/>
      <w:r>
        <w:rPr>
          <w:rFonts w:hint="eastAsia"/>
        </w:rPr>
        <w:t>6</w:t>
      </w:r>
      <w:r>
        <w:t xml:space="preserve">.1.3  </w:t>
      </w:r>
      <w:r>
        <w:rPr>
          <w:rFonts w:hint="eastAsia"/>
        </w:rPr>
        <w:t>饮用水源保护区生态环境及污染源调查结论</w:t>
      </w:r>
      <w:bookmarkEnd w:id="160"/>
      <w:bookmarkEnd w:id="161"/>
    </w:p>
    <w:p>
      <w:pPr>
        <w:ind w:firstLine="480"/>
        <w:rPr>
          <w:shd w:val="clear" w:color="auto" w:fill="FFFFFF"/>
        </w:rPr>
      </w:pPr>
      <w:r>
        <w:rPr>
          <w:rFonts w:hint="eastAsia"/>
        </w:rPr>
        <w:t>大竹林水库一级保护区内，旱地面积7</w:t>
      </w:r>
      <w:r>
        <w:t xml:space="preserve">.00 </w:t>
      </w:r>
      <w:r>
        <w:rPr>
          <w:rFonts w:hint="eastAsia"/>
        </w:rPr>
        <w:t>hm</w:t>
      </w:r>
      <w:r>
        <w:rPr>
          <w:vertAlign w:val="superscript"/>
        </w:rPr>
        <w:t>2</w:t>
      </w:r>
      <w:r>
        <w:rPr>
          <w:rFonts w:hint="eastAsia"/>
        </w:rPr>
        <w:t>，占一级保护区面积2</w:t>
      </w:r>
      <w:r>
        <w:t>0.01</w:t>
      </w:r>
      <w:r>
        <w:rPr>
          <w:rFonts w:hint="eastAsia"/>
        </w:rPr>
        <w:t>%；乔木林地面积1</w:t>
      </w:r>
      <w:r>
        <w:t xml:space="preserve">9.82 </w:t>
      </w:r>
      <w:r>
        <w:rPr>
          <w:rFonts w:hint="eastAsia"/>
        </w:rPr>
        <w:t>hm</w:t>
      </w:r>
      <w:r>
        <w:rPr>
          <w:vertAlign w:val="superscript"/>
        </w:rPr>
        <w:t>2</w:t>
      </w:r>
      <w:r>
        <w:rPr>
          <w:rFonts w:hint="eastAsia"/>
        </w:rPr>
        <w:t>，占一级保护区面积5</w:t>
      </w:r>
      <w:r>
        <w:t>6.64</w:t>
      </w:r>
      <w:r>
        <w:rPr>
          <w:rFonts w:hint="eastAsia"/>
        </w:rPr>
        <w:t>%；灌木林地面积2</w:t>
      </w:r>
      <w:r>
        <w:t xml:space="preserve">.11 </w:t>
      </w:r>
      <w:r>
        <w:rPr>
          <w:rFonts w:hint="eastAsia"/>
        </w:rPr>
        <w:t>hm</w:t>
      </w:r>
      <w:r>
        <w:rPr>
          <w:vertAlign w:val="superscript"/>
        </w:rPr>
        <w:t>2</w:t>
      </w:r>
      <w:r>
        <w:rPr>
          <w:rFonts w:hint="eastAsia"/>
        </w:rPr>
        <w:t>，占一级保护区面积6</w:t>
      </w:r>
      <w:r>
        <w:t>.03</w:t>
      </w:r>
      <w:r>
        <w:rPr>
          <w:rFonts w:hint="eastAsia"/>
        </w:rPr>
        <w:t>%；其他草地面积2</w:t>
      </w:r>
      <w:r>
        <w:t xml:space="preserve">.29 </w:t>
      </w:r>
      <w:r>
        <w:rPr>
          <w:rFonts w:hint="eastAsia"/>
        </w:rPr>
        <w:t>hm</w:t>
      </w:r>
      <w:r>
        <w:rPr>
          <w:vertAlign w:val="superscript"/>
        </w:rPr>
        <w:t>2</w:t>
      </w:r>
      <w:r>
        <w:rPr>
          <w:rFonts w:hint="eastAsia"/>
        </w:rPr>
        <w:t>，占一级保护区面积6</w:t>
      </w:r>
      <w:r>
        <w:t>.54</w:t>
      </w:r>
      <w:r>
        <w:rPr>
          <w:rFonts w:hint="eastAsia"/>
        </w:rPr>
        <w:t>%；农村宅基地面积0</w:t>
      </w:r>
      <w:r>
        <w:t xml:space="preserve">.03 </w:t>
      </w:r>
      <w:r>
        <w:rPr>
          <w:rFonts w:hint="eastAsia"/>
        </w:rPr>
        <w:t>hm</w:t>
      </w:r>
      <w:r>
        <w:rPr>
          <w:vertAlign w:val="superscript"/>
        </w:rPr>
        <w:t>2</w:t>
      </w:r>
      <w:r>
        <w:rPr>
          <w:rFonts w:hint="eastAsia"/>
        </w:rPr>
        <w:t>，占一级保护区面积0</w:t>
      </w:r>
      <w:r>
        <w:t>.09</w:t>
      </w:r>
      <w:r>
        <w:rPr>
          <w:rFonts w:hint="eastAsia"/>
        </w:rPr>
        <w:t>%；水库水面面积3</w:t>
      </w:r>
      <w:r>
        <w:t xml:space="preserve">.37 </w:t>
      </w:r>
      <w:r>
        <w:rPr>
          <w:rFonts w:hint="eastAsia"/>
        </w:rPr>
        <w:t>hm</w:t>
      </w:r>
      <w:r>
        <w:rPr>
          <w:vertAlign w:val="superscript"/>
        </w:rPr>
        <w:t>2</w:t>
      </w:r>
      <w:r>
        <w:rPr>
          <w:rFonts w:hint="eastAsia"/>
        </w:rPr>
        <w:t>，占一级保护区面积9</w:t>
      </w:r>
      <w:r>
        <w:t>.63</w:t>
      </w:r>
      <w:r>
        <w:rPr>
          <w:rFonts w:hint="eastAsia"/>
        </w:rPr>
        <w:t>%；水工建筑用地面积0</w:t>
      </w:r>
      <w:r>
        <w:t xml:space="preserve">.08 </w:t>
      </w:r>
      <w:r>
        <w:rPr>
          <w:rFonts w:hint="eastAsia"/>
        </w:rPr>
        <w:t>hm</w:t>
      </w:r>
      <w:r>
        <w:rPr>
          <w:vertAlign w:val="superscript"/>
        </w:rPr>
        <w:t>2</w:t>
      </w:r>
      <w:r>
        <w:rPr>
          <w:rFonts w:hint="eastAsia"/>
        </w:rPr>
        <w:t>，占一级保护区面积0</w:t>
      </w:r>
      <w:r>
        <w:t>.23</w:t>
      </w:r>
      <w:r>
        <w:rPr>
          <w:rFonts w:hint="eastAsia"/>
        </w:rPr>
        <w:t>%；裸土地面积0</w:t>
      </w:r>
      <w:r>
        <w:t xml:space="preserve">.29 </w:t>
      </w:r>
      <w:r>
        <w:rPr>
          <w:rFonts w:hint="eastAsia"/>
        </w:rPr>
        <w:t>hm</w:t>
      </w:r>
      <w:r>
        <w:rPr>
          <w:vertAlign w:val="superscript"/>
        </w:rPr>
        <w:t>2</w:t>
      </w:r>
      <w:r>
        <w:rPr>
          <w:rFonts w:hint="eastAsia"/>
        </w:rPr>
        <w:t>，占一级保护区面积0</w:t>
      </w:r>
      <w:r>
        <w:t>.83</w:t>
      </w:r>
      <w:r>
        <w:rPr>
          <w:rFonts w:hint="eastAsia"/>
        </w:rPr>
        <w:t>%。大竹林水库二级保护区内，旱地面积1</w:t>
      </w:r>
      <w:r>
        <w:t xml:space="preserve">5.13 </w:t>
      </w:r>
      <w:r>
        <w:rPr>
          <w:rFonts w:hint="eastAsia"/>
        </w:rPr>
        <w:t>hm</w:t>
      </w:r>
      <w:r>
        <w:rPr>
          <w:vertAlign w:val="superscript"/>
        </w:rPr>
        <w:t>2</w:t>
      </w:r>
      <w:r>
        <w:rPr>
          <w:rFonts w:hint="eastAsia"/>
        </w:rPr>
        <w:t>，占二级保护区面积2</w:t>
      </w:r>
      <w:r>
        <w:t>4.24</w:t>
      </w:r>
      <w:r>
        <w:rPr>
          <w:rFonts w:hint="eastAsia"/>
        </w:rPr>
        <w:t>%；乔木林地面积3</w:t>
      </w:r>
      <w:r>
        <w:t xml:space="preserve">7.08 </w:t>
      </w:r>
      <w:r>
        <w:rPr>
          <w:rFonts w:hint="eastAsia"/>
        </w:rPr>
        <w:t>hm</w:t>
      </w:r>
      <w:r>
        <w:rPr>
          <w:vertAlign w:val="superscript"/>
        </w:rPr>
        <w:t>2</w:t>
      </w:r>
      <w:r>
        <w:rPr>
          <w:rFonts w:hint="eastAsia"/>
        </w:rPr>
        <w:t>，占二级保护区面积5</w:t>
      </w:r>
      <w:r>
        <w:t>9.42</w:t>
      </w:r>
      <w:r>
        <w:rPr>
          <w:rFonts w:hint="eastAsia"/>
        </w:rPr>
        <w:t>%；灌木林地面积6</w:t>
      </w:r>
      <w:r>
        <w:t xml:space="preserve">.94 </w:t>
      </w:r>
      <w:r>
        <w:rPr>
          <w:rFonts w:hint="eastAsia"/>
        </w:rPr>
        <w:t>hm</w:t>
      </w:r>
      <w:r>
        <w:rPr>
          <w:vertAlign w:val="superscript"/>
        </w:rPr>
        <w:t>2</w:t>
      </w:r>
      <w:r>
        <w:rPr>
          <w:rFonts w:hint="eastAsia"/>
        </w:rPr>
        <w:t>，占二级保护区面积1</w:t>
      </w:r>
      <w:r>
        <w:t>1.12</w:t>
      </w:r>
      <w:r>
        <w:rPr>
          <w:rFonts w:hint="eastAsia"/>
        </w:rPr>
        <w:t>%；其他草地面积2</w:t>
      </w:r>
      <w:r>
        <w:t xml:space="preserve">.94 </w:t>
      </w:r>
      <w:r>
        <w:rPr>
          <w:rFonts w:hint="eastAsia"/>
        </w:rPr>
        <w:t>hm</w:t>
      </w:r>
      <w:r>
        <w:rPr>
          <w:vertAlign w:val="superscript"/>
        </w:rPr>
        <w:t>2</w:t>
      </w:r>
      <w:r>
        <w:rPr>
          <w:rFonts w:hint="eastAsia"/>
        </w:rPr>
        <w:t>，占二级保护区面积4</w:t>
      </w:r>
      <w:r>
        <w:t>.71</w:t>
      </w:r>
      <w:r>
        <w:rPr>
          <w:rFonts w:hint="eastAsia"/>
        </w:rPr>
        <w:t>%；其他草地2</w:t>
      </w:r>
      <w:r>
        <w:t xml:space="preserve">.94 </w:t>
      </w:r>
      <w:r>
        <w:rPr>
          <w:rFonts w:hint="eastAsia"/>
        </w:rPr>
        <w:t>hm</w:t>
      </w:r>
      <w:r>
        <w:rPr>
          <w:vertAlign w:val="superscript"/>
        </w:rPr>
        <w:t>2</w:t>
      </w:r>
      <w:r>
        <w:rPr>
          <w:rFonts w:hint="eastAsia"/>
        </w:rPr>
        <w:t>，占二级保护区面积4</w:t>
      </w:r>
      <w:r>
        <w:t>.71</w:t>
      </w:r>
      <w:r>
        <w:rPr>
          <w:rFonts w:hint="eastAsia"/>
        </w:rPr>
        <w:t>%；农村道路面积0</w:t>
      </w:r>
      <w:r>
        <w:t xml:space="preserve">.18 </w:t>
      </w:r>
      <w:r>
        <w:rPr>
          <w:rFonts w:hint="eastAsia"/>
        </w:rPr>
        <w:t>hm</w:t>
      </w:r>
      <w:r>
        <w:rPr>
          <w:vertAlign w:val="superscript"/>
        </w:rPr>
        <w:t>2</w:t>
      </w:r>
      <w:r>
        <w:rPr>
          <w:rFonts w:hint="eastAsia"/>
        </w:rPr>
        <w:t>，占二级保护区面积0</w:t>
      </w:r>
      <w:r>
        <w:t>.29</w:t>
      </w:r>
      <w:r>
        <w:rPr>
          <w:rFonts w:hint="eastAsia"/>
        </w:rPr>
        <w:t>%；设施农用地面积0</w:t>
      </w:r>
      <w:r>
        <w:t xml:space="preserve">.14 </w:t>
      </w:r>
      <w:r>
        <w:rPr>
          <w:rFonts w:hint="eastAsia"/>
        </w:rPr>
        <w:t>hm</w:t>
      </w:r>
      <w:r>
        <w:rPr>
          <w:vertAlign w:val="superscript"/>
        </w:rPr>
        <w:t>2</w:t>
      </w:r>
      <w:r>
        <w:rPr>
          <w:rFonts w:hint="eastAsia"/>
        </w:rPr>
        <w:t>，占二级保护区面积0</w:t>
      </w:r>
      <w:r>
        <w:t>.22</w:t>
      </w:r>
      <w:r>
        <w:rPr>
          <w:rFonts w:hint="eastAsia"/>
        </w:rPr>
        <w:t>%。</w:t>
      </w:r>
      <w:r>
        <w:rPr>
          <w:rFonts w:hint="eastAsia"/>
          <w:shd w:val="clear" w:color="auto" w:fill="FFFFFF"/>
        </w:rPr>
        <w:t>整个保护区水源涵养情况良好，水土流失率较低。</w:t>
      </w:r>
    </w:p>
    <w:p>
      <w:pPr>
        <w:ind w:firstLine="480"/>
        <w:rPr>
          <w:rFonts w:cs="Times New Roman"/>
        </w:rPr>
      </w:pPr>
      <w:r>
        <w:rPr>
          <w:rFonts w:hint="eastAsia"/>
          <w:shd w:val="clear" w:color="auto" w:fill="FFFFFF"/>
        </w:rPr>
        <w:t>在</w:t>
      </w:r>
      <w:r>
        <w:rPr>
          <w:rFonts w:hint="eastAsia"/>
        </w:rPr>
        <w:t>大竹林水库</w:t>
      </w:r>
      <w:r>
        <w:rPr>
          <w:rFonts w:hint="eastAsia"/>
          <w:shd w:val="clear" w:color="auto" w:fill="FFFFFF"/>
        </w:rPr>
        <w:t>水源保护区范围内，仅有一家养殖</w:t>
      </w:r>
      <w:r>
        <w:rPr>
          <w:rFonts w:hint="eastAsia" w:cs="Times New Roman"/>
        </w:rPr>
        <w:t>小区</w:t>
      </w:r>
      <w:r>
        <w:rPr>
          <w:rFonts w:hint="eastAsia"/>
          <w:shd w:val="clear" w:color="auto" w:fill="FFFFFF"/>
        </w:rPr>
        <w:t>，规模较小，且尚未运行，基本上无废水外排；因此，以总磷、总氮污染为主的农业农村面源污染是</w:t>
      </w:r>
      <w:r>
        <w:rPr>
          <w:rFonts w:hint="eastAsia"/>
        </w:rPr>
        <w:t>大竹林水库</w:t>
      </w:r>
      <w:r>
        <w:rPr>
          <w:rFonts w:hint="eastAsia"/>
          <w:shd w:val="clear" w:color="auto" w:fill="FFFFFF"/>
        </w:rPr>
        <w:t>区的主要污染源。</w:t>
      </w:r>
      <w:r>
        <w:rPr>
          <w:rFonts w:cs="Times New Roman"/>
        </w:rPr>
        <w:t>大竹林水库水源保护区内农业农村面源污染入湖量为</w:t>
      </w:r>
      <w:r>
        <w:rPr>
          <w:rFonts w:hint="eastAsia" w:cs="Times New Roman"/>
        </w:rPr>
        <w:t>：氨氮44.7 kg/a、总氮268.56 kg/a、总磷93.08 kg/a。</w:t>
      </w:r>
    </w:p>
    <w:p>
      <w:pPr>
        <w:pStyle w:val="5"/>
      </w:pPr>
      <w:bookmarkStart w:id="162" w:name="_Toc30887"/>
      <w:bookmarkStart w:id="163" w:name="_Toc19691473"/>
      <w:r>
        <w:rPr>
          <w:rFonts w:hint="eastAsia"/>
        </w:rPr>
        <w:t>6</w:t>
      </w:r>
      <w:r>
        <w:t xml:space="preserve">.1.4  </w:t>
      </w:r>
      <w:r>
        <w:rPr>
          <w:rFonts w:hint="eastAsia"/>
        </w:rPr>
        <w:t>水环境功能区与水源保护区划分结论</w:t>
      </w:r>
      <w:bookmarkEnd w:id="162"/>
      <w:bookmarkEnd w:id="163"/>
    </w:p>
    <w:p>
      <w:pPr>
        <w:ind w:firstLine="480"/>
      </w:pPr>
      <w:bookmarkStart w:id="164" w:name="_Toc19691474"/>
      <w:r>
        <w:t>大竹林水库一级保护区陆域范围北边以大坝东西两侧山脊线延伸200 m为界；东边基本以第二层面山山脊为界；南边以水库第一层面山为界；西边以第一层山山腰为界，由于西边地区旱地多，边界穿插在旱地、灌木林地和乔木林地之间。大竹林水库一级保护区陆域面积31.62 hm</w:t>
      </w:r>
      <w:r>
        <w:rPr>
          <w:vertAlign w:val="superscript"/>
        </w:rPr>
        <w:t>2</w:t>
      </w:r>
      <w:r>
        <w:t>，占流域总面积的35.83%</w:t>
      </w:r>
      <w:r>
        <w:rPr>
          <w:rFonts w:hint="eastAsia"/>
        </w:rPr>
        <w:t>。</w:t>
      </w:r>
    </w:p>
    <w:p>
      <w:pPr>
        <w:ind w:firstLine="480"/>
      </w:pPr>
      <w:r>
        <w:t>大竹林水库二级保护区陆域范围北边为环形山脊线；东边为干龙村南面耕地与林地交界处；东南边界为云南和贵州省界，长度为150 m左右；南边为与冷水沟水库分水岭；西边为都格自然村东部山梁。大竹林水库二级保护区陆域面积62.67hm</w:t>
      </w:r>
      <w:r>
        <w:rPr>
          <w:vertAlign w:val="superscript"/>
        </w:rPr>
        <w:t>2</w:t>
      </w:r>
      <w:r>
        <w:t>，占流域总面积的64.17%。</w:t>
      </w:r>
    </w:p>
    <w:p>
      <w:pPr>
        <w:pStyle w:val="5"/>
      </w:pPr>
      <w:bookmarkStart w:id="165" w:name="_Toc1400"/>
      <w:r>
        <w:rPr>
          <w:rFonts w:hint="eastAsia"/>
        </w:rPr>
        <w:t>6</w:t>
      </w:r>
      <w:r>
        <w:t xml:space="preserve">.1.5  </w:t>
      </w:r>
      <w:r>
        <w:rPr>
          <w:rFonts w:hint="eastAsia"/>
        </w:rPr>
        <w:t>饮用水源环境管理状况调查结论</w:t>
      </w:r>
      <w:bookmarkEnd w:id="164"/>
      <w:bookmarkEnd w:id="165"/>
    </w:p>
    <w:p>
      <w:pPr>
        <w:ind w:firstLine="480"/>
      </w:pPr>
      <w:r>
        <w:t>大竹林水库饮用水源地目前均未建立完整的环境保护管理办法，也未建立相应的监测实施方案和应急预案。</w:t>
      </w:r>
    </w:p>
    <w:p>
      <w:pPr>
        <w:ind w:firstLine="480"/>
        <w:rPr>
          <w:rFonts w:eastAsia="仿宋"/>
        </w:rPr>
      </w:pPr>
      <w:r>
        <w:t>大竹林</w:t>
      </w:r>
      <w:r>
        <w:rPr>
          <w:kern w:val="0"/>
        </w:rPr>
        <w:t>水库隶属于</w:t>
      </w:r>
      <w:r>
        <w:rPr>
          <w:rFonts w:hAnsi="宋体" w:cs="宋体"/>
          <w:kern w:val="0"/>
          <w:szCs w:val="24"/>
        </w:rPr>
        <w:t>富源县</w:t>
      </w:r>
      <w:r>
        <w:rPr>
          <w:rFonts w:hint="eastAsia" w:hAnsi="宋体" w:cs="宋体"/>
          <w:kern w:val="0"/>
          <w:szCs w:val="24"/>
        </w:rPr>
        <w:t>富村镇人民政府</w:t>
      </w:r>
      <w:r>
        <w:rPr>
          <w:kern w:val="0"/>
        </w:rPr>
        <w:t>管理，是富村镇的集中式饮用水源地。一</w:t>
      </w:r>
      <w:r>
        <w:rPr>
          <w:rFonts w:hint="eastAsia" w:hAnsi="宋体" w:cs="宋体"/>
          <w:kern w:val="0"/>
          <w:szCs w:val="24"/>
        </w:rPr>
        <w:t>富村镇人民政府及</w:t>
      </w:r>
      <w:r>
        <w:rPr>
          <w:kern w:val="0"/>
        </w:rPr>
        <w:t>相关部门</w:t>
      </w:r>
      <w:r>
        <w:rPr>
          <w:rFonts w:hint="eastAsia"/>
          <w:kern w:val="0"/>
        </w:rPr>
        <w:t xml:space="preserve">应 </w:t>
      </w:r>
      <w:r>
        <w:t>进一步加大大竹林</w:t>
      </w:r>
      <w:r>
        <w:rPr>
          <w:kern w:val="0"/>
        </w:rPr>
        <w:t>水库</w:t>
      </w:r>
      <w:r>
        <w:t>饮用水源地保护力度。完善饮用水源地保护设施，设立防护网、界桩、保护标志：制定管理条例，建立健全饮用水源安全预警制度，定期发布饮用水源地水质监测信息。加强饮用水源地环境监管，按分级保护要求，坚决取缔饮用水源一级保护区内的排污口，禁止在二级保护区新增排污口</w:t>
      </w:r>
      <w:r>
        <w:rPr>
          <w:rFonts w:hint="eastAsia"/>
        </w:rPr>
        <w:t>，</w:t>
      </w:r>
      <w:r>
        <w:t>严格控制保护区内经济开发活动，禁止在水源保护区建设有污染物排放和破坏生态的项目。积极调整水源保护区的农业产业结构，推广绿色农业和生态农业，减少化肥农药的施用量和农业废弃物的污染。因地制宜</w:t>
      </w:r>
      <w:r>
        <w:rPr>
          <w:rFonts w:hint="eastAsia"/>
        </w:rPr>
        <w:t>，</w:t>
      </w:r>
      <w:r>
        <w:t>建立水源地保护标志，防止水源污染。</w:t>
      </w:r>
    </w:p>
    <w:p>
      <w:pPr>
        <w:ind w:firstLine="480"/>
      </w:pPr>
      <w:r>
        <w:t>2017年7月与2018年5月，富富源县水务局对大竹林水库水质进行检测，主要监测项目包括《地表水环境质量标准》（GB3838-2002）中基本项目和补充项目，基本上按饮用水源地水质监测要求建立监测制度，但监测能力有待加强。大竹林水库环境管理方面的制度不完善，环境保护检查基本上按照要求进行，但执法检查制度方面的制度有待加强制定和落实。</w:t>
      </w:r>
    </w:p>
    <w:p>
      <w:pPr>
        <w:pStyle w:val="4"/>
      </w:pPr>
      <w:bookmarkStart w:id="166" w:name="_Toc7301"/>
      <w:bookmarkStart w:id="167" w:name="_Toc19691475"/>
      <w:r>
        <w:rPr>
          <w:rFonts w:hint="eastAsia"/>
        </w:rPr>
        <w:t>6</w:t>
      </w:r>
      <w:r>
        <w:t xml:space="preserve">.2  </w:t>
      </w:r>
      <w:r>
        <w:rPr>
          <w:rFonts w:hint="eastAsia"/>
        </w:rPr>
        <w:t>问题及建议</w:t>
      </w:r>
      <w:bookmarkEnd w:id="166"/>
      <w:bookmarkEnd w:id="167"/>
    </w:p>
    <w:p>
      <w:pPr>
        <w:pStyle w:val="5"/>
      </w:pPr>
      <w:bookmarkStart w:id="168" w:name="_Toc22607"/>
      <w:bookmarkStart w:id="169" w:name="_Toc490510982"/>
      <w:bookmarkStart w:id="170" w:name="_Toc19691476"/>
      <w:bookmarkStart w:id="171" w:name="_Toc4526"/>
      <w:r>
        <w:rPr>
          <w:rFonts w:hint="eastAsia"/>
        </w:rPr>
        <w:t>6</w:t>
      </w:r>
      <w:r>
        <w:t>.2.</w:t>
      </w:r>
      <w:r>
        <w:rPr>
          <w:rFonts w:hint="eastAsia"/>
        </w:rPr>
        <w:t>1</w:t>
      </w:r>
      <w:r>
        <w:t xml:space="preserve">  </w:t>
      </w:r>
      <w:r>
        <w:rPr>
          <w:rFonts w:hint="eastAsia"/>
        </w:rPr>
        <w:t>严厉查处饮用水源污染违法行为</w:t>
      </w:r>
      <w:bookmarkEnd w:id="168"/>
      <w:bookmarkEnd w:id="169"/>
      <w:bookmarkEnd w:id="170"/>
    </w:p>
    <w:p>
      <w:pPr>
        <w:ind w:firstLine="480"/>
        <w:rPr>
          <w:shd w:val="clear" w:color="auto" w:fill="FFFFFF"/>
        </w:rPr>
      </w:pPr>
      <w:r>
        <w:rPr>
          <w:rFonts w:hint="eastAsia"/>
          <w:shd w:val="clear" w:color="auto" w:fill="FFFFFF"/>
        </w:rPr>
        <w:t>针对可能造成饮用水水源污染的问题，要制定饮用水水源地保护管理办法，严格执行水源保护法律法规，加强执法队伍建设，加大执法监督力度，着力查处饮用水源水环境违法违规行为，促进水资源、水环境的良性循环，着力解决影响水环境和饮用水安全的突出问题，维护人民群众的切身利益。</w:t>
      </w:r>
    </w:p>
    <w:p>
      <w:pPr>
        <w:pStyle w:val="5"/>
      </w:pPr>
      <w:bookmarkStart w:id="172" w:name="_Toc13775"/>
      <w:bookmarkStart w:id="173" w:name="_Toc19691477"/>
      <w:bookmarkStart w:id="174" w:name="_Toc490510983"/>
      <w:r>
        <w:rPr>
          <w:rFonts w:hint="eastAsia"/>
        </w:rPr>
        <w:t>6.2.2</w:t>
      </w:r>
      <w:r>
        <w:t xml:space="preserve">  </w:t>
      </w:r>
      <w:r>
        <w:rPr>
          <w:rFonts w:hint="eastAsia"/>
        </w:rPr>
        <w:t>对饮用水源保护区的养殖</w:t>
      </w:r>
      <w:r>
        <w:rPr>
          <w:rFonts w:hint="eastAsia" w:cs="Times New Roman"/>
        </w:rPr>
        <w:t>小区</w:t>
      </w:r>
      <w:r>
        <w:rPr>
          <w:rFonts w:hint="eastAsia"/>
        </w:rPr>
        <w:t>要严格监管</w:t>
      </w:r>
      <w:bookmarkEnd w:id="172"/>
      <w:bookmarkEnd w:id="173"/>
      <w:bookmarkEnd w:id="174"/>
    </w:p>
    <w:p>
      <w:pPr>
        <w:ind w:firstLine="480"/>
        <w:rPr>
          <w:shd w:val="clear" w:color="auto" w:fill="FFFFFF"/>
        </w:rPr>
      </w:pPr>
      <w:r>
        <w:rPr>
          <w:rFonts w:hint="eastAsia"/>
        </w:rPr>
        <w:t>建议养殖小区重新选址，养殖小区的一处堆粪场位于道路东侧，已经处于大竹林水库径流区内，堆粪场应迁出水库径流区，或者做好防渗措施</w:t>
      </w:r>
      <w:r>
        <w:rPr>
          <w:rFonts w:hint="eastAsia" w:ascii="宋体" w:hAnsi="宋体" w:cs="宋体"/>
          <w:kern w:val="0"/>
          <w:szCs w:val="24"/>
        </w:rPr>
        <w:t>，保证</w:t>
      </w:r>
      <w:r>
        <w:rPr>
          <w:rFonts w:hint="eastAsia"/>
        </w:rPr>
        <w:t>堆粪场的渗滤液不会流入大竹林水库，</w:t>
      </w:r>
      <w:r>
        <w:rPr>
          <w:rFonts w:hint="eastAsia" w:ascii="宋体" w:hAnsi="宋体" w:cs="宋体"/>
          <w:kern w:val="0"/>
          <w:szCs w:val="24"/>
        </w:rPr>
        <w:t>且养殖小区应修建污水和雨水管道，保证生活污水、生产废水和雨水不排入</w:t>
      </w:r>
      <w:r>
        <w:rPr>
          <w:rFonts w:hint="eastAsia"/>
        </w:rPr>
        <w:t>大竹林水库径流区内</w:t>
      </w:r>
      <w:r>
        <w:rPr>
          <w:rFonts w:hint="eastAsia"/>
          <w:shd w:val="clear" w:color="auto" w:fill="FFFFFF"/>
        </w:rPr>
        <w:t>，严禁在二级保护区内从事任何可能造成生态破坏或污染水质的活动。同时，严格落实二级保护区内不得从事任何可能造成生态破坏或污染水质的活动，强化对保护区范围内的养殖</w:t>
      </w:r>
      <w:r>
        <w:rPr>
          <w:rFonts w:hint="eastAsia" w:cs="Times New Roman"/>
        </w:rPr>
        <w:t>小区</w:t>
      </w:r>
      <w:r>
        <w:rPr>
          <w:rFonts w:hint="eastAsia"/>
          <w:shd w:val="clear" w:color="auto" w:fill="FFFFFF"/>
        </w:rPr>
        <w:t>的监管工作，要求保护区范围内必须采取有效的污水处理措施和固废（生活垃圾、人畜粪便等）处置措施，不得对水体造成污染。</w:t>
      </w:r>
    </w:p>
    <w:p>
      <w:pPr>
        <w:pStyle w:val="5"/>
      </w:pPr>
      <w:bookmarkStart w:id="175" w:name="_Toc19691478"/>
      <w:bookmarkStart w:id="176" w:name="_Toc28583"/>
      <w:bookmarkStart w:id="177" w:name="_Toc490510984"/>
      <w:r>
        <w:rPr>
          <w:rFonts w:hint="eastAsia"/>
        </w:rPr>
        <w:t>6.2.3</w:t>
      </w:r>
      <w:r>
        <w:t xml:space="preserve">  </w:t>
      </w:r>
      <w:r>
        <w:rPr>
          <w:rFonts w:hint="eastAsia"/>
        </w:rPr>
        <w:t>项目审批要严守生态和发展两条底线</w:t>
      </w:r>
      <w:bookmarkEnd w:id="171"/>
      <w:bookmarkEnd w:id="175"/>
      <w:bookmarkEnd w:id="176"/>
      <w:bookmarkEnd w:id="177"/>
    </w:p>
    <w:p>
      <w:pPr>
        <w:ind w:firstLine="480"/>
      </w:pPr>
      <w:r>
        <w:rPr>
          <w:rFonts w:hint="eastAsia"/>
        </w:rPr>
        <w:t>在项目监管方面，要严格执行《饮用水水源保护区污染防治管理规定》（89环管字第201号），严格遵守一级和二级保护区规定，明确禁止在一、二级饮用水源保护区内的污染排放行为；扩大水源保护区面山、水体、河道等绿色生态空间，增强水源涵养能力；要严格水域岸线用途管制，土地开发利用应按照有关法律法规和技术标准要求，留足河道、湖泊的管理和保护范围。严把库区周边新建项目的环保审批关，对存在饮用水源污染隐患，达不到环保要求的项目一律不得审批；严守水源保护区生态和发展两条底线，确保饮水安全，合理有效开发利用饮用水资源。</w:t>
      </w:r>
    </w:p>
    <w:p>
      <w:pPr>
        <w:pStyle w:val="5"/>
      </w:pPr>
      <w:bookmarkStart w:id="178" w:name="_Toc19691479"/>
      <w:bookmarkStart w:id="179" w:name="_Toc29722"/>
      <w:bookmarkStart w:id="180" w:name="_Toc31808"/>
      <w:bookmarkStart w:id="181" w:name="_Toc490510985"/>
      <w:r>
        <w:rPr>
          <w:rFonts w:hint="eastAsia"/>
        </w:rPr>
        <w:t>6.2.4</w:t>
      </w:r>
      <w:r>
        <w:t xml:space="preserve">  </w:t>
      </w:r>
      <w:r>
        <w:rPr>
          <w:rFonts w:hint="eastAsia"/>
        </w:rPr>
        <w:t>完善风险源应急机制</w:t>
      </w:r>
      <w:bookmarkEnd w:id="178"/>
      <w:bookmarkEnd w:id="179"/>
      <w:bookmarkEnd w:id="180"/>
      <w:bookmarkEnd w:id="181"/>
    </w:p>
    <w:p>
      <w:pPr>
        <w:ind w:firstLine="480"/>
        <w:rPr>
          <w:shd w:val="clear" w:color="auto" w:fill="FFFFFF"/>
        </w:rPr>
      </w:pPr>
      <w:r>
        <w:rPr>
          <w:rFonts w:cs="Times New Roman"/>
        </w:rPr>
        <w:t>大竹林水库</w:t>
      </w:r>
      <w:r>
        <w:rPr>
          <w:rFonts w:hint="eastAsia"/>
          <w:shd w:val="clear" w:color="auto" w:fill="FFFFFF"/>
        </w:rPr>
        <w:t>的预警机制及应急措施不健全，一旦出现环境突发事件，将会对水源地构成重大危险。因此，要建立水源地重大风险源应急预案，成立应急指挥小组，明确相关部门职责，规范处置程序，一旦发生污染事件，果断及时采取必要和适当的响应行动，提高应急能力，最大限度地保障饮水安全。同时做好潜在事故发生的管理，配备专职人员，防止水源污染事件发生。</w:t>
      </w:r>
    </w:p>
    <w:p>
      <w:pPr>
        <w:pStyle w:val="5"/>
        <w:rPr>
          <w:rFonts w:ascii="宋体" w:hAnsi="宋体" w:cs="宋体"/>
        </w:rPr>
      </w:pPr>
      <w:bookmarkStart w:id="182" w:name="_Toc21637"/>
      <w:bookmarkStart w:id="183" w:name="_Toc19691480"/>
      <w:bookmarkStart w:id="184" w:name="_Toc490510986"/>
      <w:r>
        <w:t>6.2.5  加强对径流区范围内的整治</w:t>
      </w:r>
      <w:bookmarkEnd w:id="182"/>
      <w:bookmarkEnd w:id="183"/>
      <w:bookmarkEnd w:id="184"/>
    </w:p>
    <w:p>
      <w:pPr>
        <w:ind w:firstLine="480"/>
        <w:rPr>
          <w:shd w:val="clear" w:color="auto" w:fill="FFFFFF"/>
        </w:rPr>
      </w:pPr>
      <w:r>
        <w:rPr>
          <w:rFonts w:cs="Times New Roman"/>
        </w:rPr>
        <w:t>大竹林水库</w:t>
      </w:r>
      <w:r>
        <w:rPr>
          <w:rFonts w:hint="eastAsia"/>
          <w:shd w:val="clear" w:color="auto" w:fill="FFFFFF"/>
        </w:rPr>
        <w:t>饮用水源的主要污染源便是农业面源污染，为确保饮用水水质安全，一级保护区内耕地退耕还林，禁止在饮用水源保护区范围内进行规模化养殖，落实科学种植和水产养殖，避免养殖粪便、化肥农药、饲料等对水体带来污染隐患。</w:t>
      </w:r>
    </w:p>
    <w:p>
      <w:pPr>
        <w:pStyle w:val="5"/>
      </w:pPr>
      <w:bookmarkStart w:id="185" w:name="_Toc490510987"/>
      <w:bookmarkStart w:id="186" w:name="_Toc19691481"/>
      <w:bookmarkStart w:id="187" w:name="_Toc3128"/>
      <w:r>
        <w:rPr>
          <w:rFonts w:hint="eastAsia"/>
        </w:rPr>
        <w:t>6.2.6</w:t>
      </w:r>
      <w:r>
        <w:t xml:space="preserve">  </w:t>
      </w:r>
      <w:r>
        <w:rPr>
          <w:rFonts w:hint="eastAsia"/>
        </w:rPr>
        <w:t>完善饮用水源地保护区内的标示标牌工作</w:t>
      </w:r>
      <w:bookmarkEnd w:id="185"/>
      <w:bookmarkEnd w:id="186"/>
      <w:bookmarkEnd w:id="187"/>
    </w:p>
    <w:p>
      <w:pPr>
        <w:ind w:firstLine="480"/>
        <w:rPr>
          <w:shd w:val="clear" w:color="auto" w:fill="FFFFFF"/>
        </w:rPr>
      </w:pPr>
      <w:r>
        <w:rPr>
          <w:rFonts w:cs="Times New Roman"/>
        </w:rPr>
        <w:t>大竹林水库</w:t>
      </w:r>
      <w:r>
        <w:rPr>
          <w:rFonts w:hint="eastAsia"/>
          <w:shd w:val="clear" w:color="auto" w:fill="FFFFFF"/>
        </w:rPr>
        <w:t>水源地保护区内没有标识牌和警示牌，不能满足要求，对水源的保护管理和突发环境事件的预防不利。因此，待本饮用水源保护区划定报告批准实施后，要依据《饮用水源保护区标志技术要求》（HJ/T433-2008），在各级保护区规划界线处竖立界标；在进入饮用水源保护区的道路设置道路警示牌；在饮用水源保护区设置宣传牌；同时，做好饮用水源保护区标志的管理与维护工作。</w:t>
      </w:r>
    </w:p>
    <w:p>
      <w:pPr>
        <w:pStyle w:val="5"/>
      </w:pPr>
      <w:bookmarkStart w:id="188" w:name="_Toc19691482"/>
      <w:bookmarkStart w:id="189" w:name="_Toc490510988"/>
      <w:bookmarkStart w:id="190" w:name="_Toc13190"/>
      <w:r>
        <w:rPr>
          <w:rFonts w:hint="eastAsia"/>
        </w:rPr>
        <w:t>6.2.7</w:t>
      </w:r>
      <w:r>
        <w:t xml:space="preserve">  </w:t>
      </w:r>
      <w:r>
        <w:rPr>
          <w:rFonts w:hint="eastAsia"/>
        </w:rPr>
        <w:t>强化部门间联动协作机制，提高执法能力</w:t>
      </w:r>
      <w:bookmarkEnd w:id="188"/>
      <w:bookmarkEnd w:id="189"/>
      <w:bookmarkEnd w:id="190"/>
    </w:p>
    <w:p>
      <w:pPr>
        <w:ind w:firstLine="480"/>
        <w:rPr>
          <w:shd w:val="clear" w:color="auto" w:fill="FFFFFF"/>
        </w:rPr>
      </w:pPr>
      <w:r>
        <w:rPr>
          <w:rFonts w:hint="eastAsia"/>
          <w:shd w:val="clear" w:color="auto" w:fill="FFFFFF"/>
        </w:rPr>
        <w:t>各职能部门除认真履行各自职能依法监管外，应加强部门间的沟通与协作，建立联动协作机制，提高执法能力，严厉打击各种涉饮用水源地环境保护方面的违法行为，有效遏制各类环境污染事件，预防饮用水源地保护区范围内的突发环境事情，共同保护水源地水质的安全。</w:t>
      </w:r>
    </w:p>
    <w:p>
      <w:pPr>
        <w:pStyle w:val="5"/>
      </w:pPr>
      <w:bookmarkStart w:id="191" w:name="_Toc490510989"/>
      <w:bookmarkStart w:id="192" w:name="_Toc19691483"/>
      <w:bookmarkStart w:id="193" w:name="_Toc25242"/>
      <w:bookmarkStart w:id="194" w:name="_Toc10517"/>
      <w:r>
        <w:rPr>
          <w:rFonts w:hint="eastAsia"/>
        </w:rPr>
        <w:t>6.2.8</w:t>
      </w:r>
      <w:r>
        <w:t xml:space="preserve">  </w:t>
      </w:r>
      <w:r>
        <w:rPr>
          <w:rFonts w:hint="eastAsia"/>
        </w:rPr>
        <w:t>加大宣传保护及公众参与机制</w:t>
      </w:r>
      <w:bookmarkEnd w:id="191"/>
      <w:bookmarkEnd w:id="192"/>
      <w:bookmarkEnd w:id="193"/>
      <w:bookmarkEnd w:id="194"/>
    </w:p>
    <w:p>
      <w:pPr>
        <w:ind w:firstLine="480"/>
        <w:rPr>
          <w:shd w:val="clear" w:color="auto" w:fill="FFFFFF"/>
        </w:rPr>
      </w:pPr>
      <w:r>
        <w:rPr>
          <w:rFonts w:hint="eastAsia"/>
          <w:shd w:val="clear" w:color="auto" w:fill="FFFFFF"/>
        </w:rPr>
        <w:t>水源保护区居民主动参与环境保护与水源管理是构建水源保护区管理的基础，必须保障水源区居民从保护水源中取得合理的经济收益，才有可能引导水源保护区居民自觉保护水源。将水源保护绩效与经济收益相联系，水资源费反哺及财政转移支付与水源保护区生态建设、水源保护相挂钩，让水源保护区居民主动参与水源管理，防止水源污染与生态破坏事件，减少政府监督管理的行政开支。采用宣传片、广告、宣传牌、墙报、宣传册、讲座等方式，加强水源保护区内公众宣传教育工作，让群众参与到水源保护工作中来。</w:t>
      </w:r>
    </w:p>
    <w:sectPr>
      <w:footerReference r:id="rId12" w:type="first"/>
      <w:footerReference r:id="rId11" w:type="default"/>
      <w:pgSz w:w="11906" w:h="16838"/>
      <w:pgMar w:top="1440" w:right="1803" w:bottom="1440" w:left="1803" w:header="851" w:footer="992" w:gutter="0"/>
      <w:pgNumType w:fmt="numberInDash" w:start="1"/>
      <w:cols w:space="0" w:num="1"/>
      <w:titlePg/>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MingLiU_HKSCS">
    <w:altName w:val="Droid Sans Fallback"/>
    <w:panose1 w:val="02020500000000000000"/>
    <w:charset w:val="88"/>
    <w:family w:val="roman"/>
    <w:pitch w:val="default"/>
    <w:sig w:usb0="00000000" w:usb1="00000000" w:usb2="00000016" w:usb3="00000000" w:csb0="00100001" w:csb1="00000000"/>
  </w:font>
  <w:font w:name="等线 Light">
    <w:altName w:val="宋体"/>
    <w:panose1 w:val="02010600030101010101"/>
    <w:charset w:val="86"/>
    <w:family w:val="auto"/>
    <w:pitch w:val="default"/>
    <w:sig w:usb0="00000000" w:usb1="00000000" w:usb2="00000016" w:usb3="00000000" w:csb0="0004000F" w:csb1="00000000"/>
  </w:font>
  <w:font w:name="MingLiU">
    <w:altName w:val="Droid Sans Japanese"/>
    <w:panose1 w:val="02020509000000000000"/>
    <w:charset w:val="88"/>
    <w:family w:val="modern"/>
    <w:pitch w:val="default"/>
    <w:sig w:usb0="00000000" w:usb1="00000000" w:usb2="00000016" w:usb3="00000000" w:csb0="0010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等线">
    <w:altName w:val="宋体"/>
    <w:panose1 w:val="02010600030101010101"/>
    <w:charset w:val="86"/>
    <w:family w:val="auto"/>
    <w:pitch w:val="default"/>
    <w:sig w:usb0="00000000" w:usb1="00000000" w:usb2="00000016" w:usb3="00000000" w:csb0="0004000F" w:csb1="00000000"/>
  </w:font>
  <w:font w:name="Euphemia">
    <w:altName w:val="FreeSans"/>
    <w:panose1 w:val="020B0503040102020104"/>
    <w:charset w:val="00"/>
    <w:family w:val="swiss"/>
    <w:pitch w:val="variable"/>
    <w:sig w:usb0="00000000" w:usb1="00000000" w:usb2="00000000" w:usb3="00000000" w:csb0="00000000" w:csb1="00000000"/>
  </w:font>
  <w:font w:name="Droid Sans Fallback">
    <w:panose1 w:val="020B0502000000000001"/>
    <w:charset w:val="86"/>
    <w:family w:val="auto"/>
    <w:pitch w:val="default"/>
    <w:sig w:usb0="910002FF" w:usb1="2BDFFCFB" w:usb2="00000036" w:usb3="00000000" w:csb0="203F01FF" w:csb1="D7FF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Droid Sans Japanese">
    <w:panose1 w:val="020B0502000000000001"/>
    <w:charset w:val="00"/>
    <w:family w:val="auto"/>
    <w:pitch w:val="default"/>
    <w:sig w:usb0="80000000" w:usb1="08070000" w:usb2="00000010" w:usb3="00000000" w:csb0="00000001"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p>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- 2 -</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q+O8FQIAABkEAAAOAAAAAAAAAAEAIAAAADUBAABkcnMvZTJvRG9jLnhtbFBLBQYAAAAABgAG&#10;AFkBAAC8BQAAAAA=&#10;">
              <v:fill on="f" focussize="0,0"/>
              <v:stroke on="f" weight="0.5pt"/>
              <v:imagedata o:title=""/>
              <o:lock v:ext="edit" aspectratio="f"/>
              <v:textbox inset="0mm,0mm,0mm,0mm" style="mso-fit-shape-to-text:t;">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- 2 -</w:t>
                    </w:r>
                    <w:r>
                      <w:rPr>
                        <w:rFonts w:hint="eastAsia"/>
                      </w:rPr>
                      <w:fldChar w:fldCharType="end"/>
                    </w:r>
                  </w:p>
                </w:txbxContent>
              </v:textbox>
            </v:shape>
          </w:pict>
        </mc:Fallback>
      </mc:AlternateContent>
    </w:r>
  </w:p>
  <w:p>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1398480"/>
    </w:sdtPr>
    <w:sdtContent>
      <w:p>
        <w:pPr>
          <w:pStyle w:val="16"/>
          <w:spacing w:before="120" w:after="120"/>
          <w:ind w:firstLine="360"/>
          <w:jc w:val="center"/>
        </w:pPr>
        <w:r>
          <w:fldChar w:fldCharType="begin"/>
        </w:r>
        <w:r>
          <w:instrText xml:space="preserve">PAGE   \* MERGEFORMAT</w:instrText>
        </w:r>
        <w:r>
          <w:fldChar w:fldCharType="separate"/>
        </w:r>
        <w:r>
          <w:rPr>
            <w:lang w:val="zh-CN"/>
          </w:rPr>
          <w:t>2</w:t>
        </w:r>
        <w:r>
          <w:fldChar w:fldCharType="end"/>
        </w:r>
      </w:p>
    </w:sdtContent>
  </w:sdt>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documentProtection w:enforcement="0"/>
  <w:defaultTabStop w:val="420"/>
  <w:drawingGridHorizontalSpacing w:val="120"/>
  <w:drawingGridVerticalSpacing w:val="166"/>
  <w:displayVerticalDrawingGridEvery w:val="2"/>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F06"/>
    <w:rsid w:val="0003462A"/>
    <w:rsid w:val="000456BF"/>
    <w:rsid w:val="000914F4"/>
    <w:rsid w:val="000F38F6"/>
    <w:rsid w:val="00115045"/>
    <w:rsid w:val="001265D4"/>
    <w:rsid w:val="001413D2"/>
    <w:rsid w:val="00142194"/>
    <w:rsid w:val="00175318"/>
    <w:rsid w:val="001A46AA"/>
    <w:rsid w:val="001D7CED"/>
    <w:rsid w:val="001E2809"/>
    <w:rsid w:val="001E390B"/>
    <w:rsid w:val="00224ADE"/>
    <w:rsid w:val="00263750"/>
    <w:rsid w:val="00282489"/>
    <w:rsid w:val="00292BC2"/>
    <w:rsid w:val="002C5208"/>
    <w:rsid w:val="002E624B"/>
    <w:rsid w:val="003120E5"/>
    <w:rsid w:val="003357CA"/>
    <w:rsid w:val="00340023"/>
    <w:rsid w:val="00344F13"/>
    <w:rsid w:val="00386E8D"/>
    <w:rsid w:val="00406FAB"/>
    <w:rsid w:val="00413EB3"/>
    <w:rsid w:val="004140D6"/>
    <w:rsid w:val="00431502"/>
    <w:rsid w:val="004524BA"/>
    <w:rsid w:val="00453F6C"/>
    <w:rsid w:val="00471AC6"/>
    <w:rsid w:val="004B25A3"/>
    <w:rsid w:val="004B7CD3"/>
    <w:rsid w:val="00511B55"/>
    <w:rsid w:val="00537541"/>
    <w:rsid w:val="00540DC4"/>
    <w:rsid w:val="00546024"/>
    <w:rsid w:val="00610AD2"/>
    <w:rsid w:val="00691AC7"/>
    <w:rsid w:val="006C0F06"/>
    <w:rsid w:val="006D4631"/>
    <w:rsid w:val="00706428"/>
    <w:rsid w:val="0072221D"/>
    <w:rsid w:val="00736354"/>
    <w:rsid w:val="00757293"/>
    <w:rsid w:val="007664B9"/>
    <w:rsid w:val="007732C4"/>
    <w:rsid w:val="0078037C"/>
    <w:rsid w:val="00824EB2"/>
    <w:rsid w:val="00833344"/>
    <w:rsid w:val="00894064"/>
    <w:rsid w:val="008C0C9B"/>
    <w:rsid w:val="008C66BF"/>
    <w:rsid w:val="009B0D52"/>
    <w:rsid w:val="009E2B5A"/>
    <w:rsid w:val="009F4779"/>
    <w:rsid w:val="00A5709F"/>
    <w:rsid w:val="00A85D7C"/>
    <w:rsid w:val="00AC177C"/>
    <w:rsid w:val="00B11C58"/>
    <w:rsid w:val="00B2509D"/>
    <w:rsid w:val="00B250C1"/>
    <w:rsid w:val="00B46E14"/>
    <w:rsid w:val="00B97F10"/>
    <w:rsid w:val="00C5655C"/>
    <w:rsid w:val="00C727CE"/>
    <w:rsid w:val="00C92614"/>
    <w:rsid w:val="00CA7892"/>
    <w:rsid w:val="00E01279"/>
    <w:rsid w:val="00E0755D"/>
    <w:rsid w:val="00E340AE"/>
    <w:rsid w:val="00E534ED"/>
    <w:rsid w:val="00E5441D"/>
    <w:rsid w:val="00E76093"/>
    <w:rsid w:val="00EA66C8"/>
    <w:rsid w:val="00EC07B3"/>
    <w:rsid w:val="00EF4AAF"/>
    <w:rsid w:val="00F251F4"/>
    <w:rsid w:val="00F47AF2"/>
    <w:rsid w:val="00F5721E"/>
    <w:rsid w:val="00F77BE5"/>
    <w:rsid w:val="00FA0099"/>
    <w:rsid w:val="00FA0F20"/>
    <w:rsid w:val="02FE3E24"/>
    <w:rsid w:val="04B92529"/>
    <w:rsid w:val="056C4B4B"/>
    <w:rsid w:val="0D0B70D0"/>
    <w:rsid w:val="0E210E8D"/>
    <w:rsid w:val="0E9C339F"/>
    <w:rsid w:val="10841E29"/>
    <w:rsid w:val="10AD6CA7"/>
    <w:rsid w:val="12386CEB"/>
    <w:rsid w:val="17324779"/>
    <w:rsid w:val="18133FFA"/>
    <w:rsid w:val="18F06C95"/>
    <w:rsid w:val="1D187FE9"/>
    <w:rsid w:val="20286ACB"/>
    <w:rsid w:val="20AA3A85"/>
    <w:rsid w:val="2271742D"/>
    <w:rsid w:val="2CCA1C80"/>
    <w:rsid w:val="2F0876B3"/>
    <w:rsid w:val="2F7C62D8"/>
    <w:rsid w:val="34336303"/>
    <w:rsid w:val="36C11789"/>
    <w:rsid w:val="37314451"/>
    <w:rsid w:val="3D3D40BE"/>
    <w:rsid w:val="417F61C2"/>
    <w:rsid w:val="43D96A96"/>
    <w:rsid w:val="4A976925"/>
    <w:rsid w:val="4B651954"/>
    <w:rsid w:val="4B7F1AE3"/>
    <w:rsid w:val="50807C94"/>
    <w:rsid w:val="5F922169"/>
    <w:rsid w:val="679A7521"/>
    <w:rsid w:val="691C7976"/>
    <w:rsid w:val="6A2E1F88"/>
    <w:rsid w:val="6BE96DE1"/>
    <w:rsid w:val="70397A2A"/>
    <w:rsid w:val="706B3AE0"/>
    <w:rsid w:val="792250F6"/>
    <w:rsid w:val="7A21044C"/>
    <w:rsid w:val="7A852B5C"/>
    <w:rsid w:val="7BC1395F"/>
    <w:rsid w:val="7BDB727E"/>
    <w:rsid w:val="7FC60C00"/>
    <w:rsid w:val="EAEF32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MingLiU_HKSCS" w:hAnsi="MingLiU_HKSCS" w:eastAsia="MingLiU_HKSCS" w:cs="MingLiU_HKSCS"/>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3">
    <w:name w:val="heading 1"/>
    <w:basedOn w:val="1"/>
    <w:next w:val="1"/>
    <w:link w:val="32"/>
    <w:qFormat/>
    <w:uiPriority w:val="9"/>
    <w:pPr>
      <w:keepNext/>
      <w:keepLines/>
      <w:pageBreakBefore/>
      <w:spacing w:before="60" w:after="240"/>
      <w:ind w:firstLine="0" w:firstLineChars="0"/>
      <w:jc w:val="center"/>
      <w:outlineLvl w:val="0"/>
    </w:pPr>
    <w:rPr>
      <w:rFonts w:eastAsia="黑体"/>
      <w:b/>
      <w:bCs/>
      <w:kern w:val="44"/>
      <w:sz w:val="30"/>
      <w:szCs w:val="44"/>
    </w:rPr>
  </w:style>
  <w:style w:type="paragraph" w:styleId="4">
    <w:name w:val="heading 2"/>
    <w:basedOn w:val="1"/>
    <w:next w:val="1"/>
    <w:link w:val="33"/>
    <w:unhideWhenUsed/>
    <w:qFormat/>
    <w:uiPriority w:val="9"/>
    <w:pPr>
      <w:keepNext/>
      <w:keepLines/>
      <w:spacing w:before="60" w:after="60" w:line="240" w:lineRule="auto"/>
      <w:ind w:firstLine="0" w:firstLineChars="0"/>
      <w:outlineLvl w:val="1"/>
    </w:pPr>
    <w:rPr>
      <w:rFonts w:eastAsia="黑体" w:cstheme="majorBidi"/>
      <w:b/>
      <w:bCs/>
      <w:sz w:val="28"/>
      <w:szCs w:val="32"/>
    </w:rPr>
  </w:style>
  <w:style w:type="paragraph" w:styleId="5">
    <w:name w:val="heading 3"/>
    <w:basedOn w:val="1"/>
    <w:next w:val="1"/>
    <w:link w:val="34"/>
    <w:unhideWhenUsed/>
    <w:qFormat/>
    <w:uiPriority w:val="9"/>
    <w:pPr>
      <w:keepNext/>
      <w:keepLines/>
      <w:spacing w:before="60" w:after="60" w:line="240" w:lineRule="auto"/>
      <w:ind w:firstLine="0" w:firstLineChars="0"/>
      <w:outlineLvl w:val="2"/>
    </w:pPr>
    <w:rPr>
      <w:rFonts w:eastAsia="黑体"/>
      <w:b/>
      <w:bCs/>
      <w:szCs w:val="32"/>
    </w:rPr>
  </w:style>
  <w:style w:type="paragraph" w:styleId="6">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27">
    <w:name w:val="Default Paragraph Font"/>
    <w:unhideWhenUsed/>
    <w:qFormat/>
    <w:uiPriority w:val="1"/>
  </w:style>
  <w:style w:type="table" w:default="1" w:styleId="25">
    <w:name w:val="Normal Table"/>
    <w:unhideWhenUsed/>
    <w:qFormat/>
    <w:uiPriority w:val="99"/>
    <w:tblPr>
      <w:tblCellMar>
        <w:top w:w="0" w:type="dxa"/>
        <w:left w:w="108" w:type="dxa"/>
        <w:bottom w:w="0" w:type="dxa"/>
        <w:right w:w="108" w:type="dxa"/>
      </w:tblCellMar>
    </w:tblPr>
  </w:style>
  <w:style w:type="paragraph" w:styleId="2">
    <w:name w:val="Plain Text"/>
    <w:basedOn w:val="1"/>
    <w:link w:val="45"/>
    <w:qFormat/>
    <w:uiPriority w:val="99"/>
    <w:rPr>
      <w:rFonts w:hint="eastAsia" w:ascii="宋体" w:hAnsi="Courier New"/>
      <w:sz w:val="21"/>
    </w:rPr>
  </w:style>
  <w:style w:type="paragraph" w:styleId="7">
    <w:name w:val="toc 7"/>
    <w:basedOn w:val="1"/>
    <w:next w:val="1"/>
    <w:unhideWhenUsed/>
    <w:qFormat/>
    <w:uiPriority w:val="39"/>
    <w:pPr>
      <w:ind w:left="2520" w:leftChars="1200"/>
    </w:pPr>
  </w:style>
  <w:style w:type="paragraph" w:styleId="8">
    <w:name w:val="Normal Indent"/>
    <w:basedOn w:val="1"/>
    <w:link w:val="43"/>
    <w:qFormat/>
    <w:uiPriority w:val="0"/>
    <w:pPr>
      <w:snapToGrid w:val="0"/>
      <w:spacing w:line="480" w:lineRule="atLeast"/>
      <w:ind w:firstLine="567"/>
    </w:pPr>
    <w:rPr>
      <w:sz w:val="28"/>
      <w:szCs w:val="20"/>
    </w:rPr>
  </w:style>
  <w:style w:type="paragraph" w:styleId="9">
    <w:name w:val="annotation text"/>
    <w:basedOn w:val="1"/>
    <w:link w:val="39"/>
    <w:unhideWhenUsed/>
    <w:qFormat/>
    <w:uiPriority w:val="99"/>
    <w:pPr>
      <w:jc w:val="left"/>
    </w:pPr>
  </w:style>
  <w:style w:type="paragraph" w:styleId="10">
    <w:name w:val="Body Text Indent"/>
    <w:basedOn w:val="1"/>
    <w:unhideWhenUsed/>
    <w:qFormat/>
    <w:uiPriority w:val="99"/>
    <w:pPr>
      <w:spacing w:after="120"/>
      <w:ind w:left="420" w:leftChars="200"/>
    </w:pPr>
    <w:rPr>
      <w:szCs w:val="24"/>
    </w:rPr>
  </w:style>
  <w:style w:type="paragraph" w:styleId="11">
    <w:name w:val="toc 5"/>
    <w:basedOn w:val="1"/>
    <w:next w:val="1"/>
    <w:unhideWhenUsed/>
    <w:qFormat/>
    <w:uiPriority w:val="39"/>
    <w:pPr>
      <w:ind w:left="1680" w:leftChars="800"/>
    </w:pPr>
  </w:style>
  <w:style w:type="paragraph" w:styleId="12">
    <w:name w:val="toc 3"/>
    <w:basedOn w:val="1"/>
    <w:next w:val="1"/>
    <w:unhideWhenUsed/>
    <w:qFormat/>
    <w:uiPriority w:val="39"/>
    <w:pPr>
      <w:ind w:left="840" w:leftChars="400"/>
    </w:pPr>
  </w:style>
  <w:style w:type="paragraph" w:styleId="13">
    <w:name w:val="toc 8"/>
    <w:basedOn w:val="1"/>
    <w:next w:val="1"/>
    <w:unhideWhenUsed/>
    <w:qFormat/>
    <w:uiPriority w:val="39"/>
    <w:pPr>
      <w:ind w:left="2940" w:leftChars="1400"/>
    </w:pPr>
  </w:style>
  <w:style w:type="paragraph" w:styleId="14">
    <w:name w:val="Body Text Indent 2"/>
    <w:basedOn w:val="1"/>
    <w:qFormat/>
    <w:uiPriority w:val="0"/>
    <w:pPr>
      <w:ind w:firstLine="567"/>
    </w:pPr>
    <w:rPr>
      <w:rFonts w:ascii="宋体"/>
      <w:sz w:val="28"/>
      <w:szCs w:val="24"/>
    </w:rPr>
  </w:style>
  <w:style w:type="paragraph" w:styleId="15">
    <w:name w:val="Balloon Text"/>
    <w:basedOn w:val="1"/>
    <w:link w:val="41"/>
    <w:unhideWhenUsed/>
    <w:qFormat/>
    <w:uiPriority w:val="99"/>
    <w:pPr>
      <w:spacing w:line="240" w:lineRule="auto"/>
    </w:pPr>
    <w:rPr>
      <w:sz w:val="18"/>
      <w:szCs w:val="18"/>
    </w:rPr>
  </w:style>
  <w:style w:type="paragraph" w:styleId="16">
    <w:name w:val="footer"/>
    <w:basedOn w:val="1"/>
    <w:link w:val="38"/>
    <w:unhideWhenUsed/>
    <w:qFormat/>
    <w:uiPriority w:val="99"/>
    <w:pPr>
      <w:tabs>
        <w:tab w:val="center" w:pos="4153"/>
        <w:tab w:val="right" w:pos="8306"/>
      </w:tabs>
      <w:snapToGrid w:val="0"/>
      <w:spacing w:line="240" w:lineRule="auto"/>
      <w:jc w:val="left"/>
    </w:pPr>
    <w:rPr>
      <w:sz w:val="18"/>
      <w:szCs w:val="18"/>
    </w:rPr>
  </w:style>
  <w:style w:type="paragraph" w:styleId="17">
    <w:name w:val="header"/>
    <w:basedOn w:val="1"/>
    <w:link w:val="3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8">
    <w:name w:val="toc 1"/>
    <w:basedOn w:val="1"/>
    <w:next w:val="1"/>
    <w:unhideWhenUsed/>
    <w:qFormat/>
    <w:uiPriority w:val="39"/>
  </w:style>
  <w:style w:type="paragraph" w:styleId="19">
    <w:name w:val="toc 4"/>
    <w:basedOn w:val="1"/>
    <w:next w:val="1"/>
    <w:unhideWhenUsed/>
    <w:qFormat/>
    <w:uiPriority w:val="39"/>
    <w:pPr>
      <w:ind w:left="1260" w:leftChars="600"/>
    </w:pPr>
  </w:style>
  <w:style w:type="paragraph" w:styleId="20">
    <w:name w:val="toc 6"/>
    <w:basedOn w:val="1"/>
    <w:next w:val="1"/>
    <w:unhideWhenUsed/>
    <w:qFormat/>
    <w:uiPriority w:val="39"/>
    <w:pPr>
      <w:ind w:left="2100" w:leftChars="1000"/>
    </w:pPr>
  </w:style>
  <w:style w:type="paragraph" w:styleId="21">
    <w:name w:val="toc 2"/>
    <w:basedOn w:val="1"/>
    <w:next w:val="1"/>
    <w:unhideWhenUsed/>
    <w:qFormat/>
    <w:uiPriority w:val="39"/>
    <w:pPr>
      <w:ind w:left="420" w:leftChars="200"/>
    </w:pPr>
  </w:style>
  <w:style w:type="paragraph" w:styleId="22">
    <w:name w:val="toc 9"/>
    <w:basedOn w:val="1"/>
    <w:next w:val="1"/>
    <w:unhideWhenUsed/>
    <w:qFormat/>
    <w:uiPriority w:val="39"/>
    <w:pPr>
      <w:ind w:left="3360" w:leftChars="1600"/>
    </w:pPr>
  </w:style>
  <w:style w:type="paragraph" w:styleId="23">
    <w:name w:val="Title"/>
    <w:basedOn w:val="1"/>
    <w:next w:val="1"/>
    <w:link w:val="31"/>
    <w:qFormat/>
    <w:uiPriority w:val="10"/>
    <w:pPr>
      <w:spacing w:before="60" w:after="240"/>
      <w:ind w:firstLine="0" w:firstLineChars="0"/>
      <w:jc w:val="center"/>
      <w:outlineLvl w:val="0"/>
    </w:pPr>
    <w:rPr>
      <w:rFonts w:eastAsia="黑体" w:cstheme="majorBidi"/>
      <w:b/>
      <w:bCs/>
      <w:sz w:val="36"/>
      <w:szCs w:val="32"/>
    </w:rPr>
  </w:style>
  <w:style w:type="paragraph" w:styleId="24">
    <w:name w:val="annotation subject"/>
    <w:basedOn w:val="9"/>
    <w:next w:val="9"/>
    <w:link w:val="40"/>
    <w:unhideWhenUsed/>
    <w:qFormat/>
    <w:uiPriority w:val="99"/>
    <w:rPr>
      <w:b/>
      <w:bCs/>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Emphasis"/>
    <w:basedOn w:val="27"/>
    <w:qFormat/>
    <w:uiPriority w:val="20"/>
    <w:rPr>
      <w:i/>
    </w:rPr>
  </w:style>
  <w:style w:type="character" w:styleId="29">
    <w:name w:val="Hyperlink"/>
    <w:basedOn w:val="27"/>
    <w:unhideWhenUsed/>
    <w:qFormat/>
    <w:uiPriority w:val="99"/>
    <w:rPr>
      <w:color w:val="0563C1" w:themeColor="hyperlink"/>
      <w:u w:val="single"/>
      <w14:textFill>
        <w14:solidFill>
          <w14:schemeClr w14:val="hlink"/>
        </w14:solidFill>
      </w14:textFill>
    </w:rPr>
  </w:style>
  <w:style w:type="character" w:styleId="30">
    <w:name w:val="annotation reference"/>
    <w:basedOn w:val="27"/>
    <w:unhideWhenUsed/>
    <w:qFormat/>
    <w:uiPriority w:val="99"/>
    <w:rPr>
      <w:sz w:val="21"/>
      <w:szCs w:val="21"/>
    </w:rPr>
  </w:style>
  <w:style w:type="character" w:customStyle="1" w:styleId="31">
    <w:name w:val="标题 字符"/>
    <w:basedOn w:val="27"/>
    <w:link w:val="23"/>
    <w:qFormat/>
    <w:uiPriority w:val="10"/>
    <w:rPr>
      <w:rFonts w:ascii="Times New Roman" w:hAnsi="Times New Roman" w:eastAsia="黑体" w:cstheme="majorBidi"/>
      <w:b/>
      <w:bCs/>
      <w:sz w:val="36"/>
      <w:szCs w:val="32"/>
    </w:rPr>
  </w:style>
  <w:style w:type="character" w:customStyle="1" w:styleId="32">
    <w:name w:val="标题 1 字符"/>
    <w:basedOn w:val="27"/>
    <w:link w:val="3"/>
    <w:qFormat/>
    <w:uiPriority w:val="9"/>
    <w:rPr>
      <w:rFonts w:ascii="Times New Roman" w:hAnsi="Times New Roman" w:eastAsia="黑体"/>
      <w:b/>
      <w:bCs/>
      <w:kern w:val="44"/>
      <w:sz w:val="30"/>
      <w:szCs w:val="44"/>
    </w:rPr>
  </w:style>
  <w:style w:type="character" w:customStyle="1" w:styleId="33">
    <w:name w:val="标题 2 字符"/>
    <w:basedOn w:val="27"/>
    <w:link w:val="4"/>
    <w:qFormat/>
    <w:uiPriority w:val="9"/>
    <w:rPr>
      <w:rFonts w:ascii="Times New Roman" w:hAnsi="Times New Roman" w:eastAsia="黑体" w:cstheme="majorBidi"/>
      <w:b/>
      <w:bCs/>
      <w:sz w:val="28"/>
      <w:szCs w:val="32"/>
    </w:rPr>
  </w:style>
  <w:style w:type="character" w:customStyle="1" w:styleId="34">
    <w:name w:val="标题 3 字符"/>
    <w:basedOn w:val="27"/>
    <w:link w:val="5"/>
    <w:qFormat/>
    <w:uiPriority w:val="9"/>
    <w:rPr>
      <w:rFonts w:ascii="Times New Roman" w:hAnsi="Times New Roman" w:eastAsia="黑体"/>
      <w:b/>
      <w:bCs/>
      <w:sz w:val="24"/>
      <w:szCs w:val="32"/>
    </w:rPr>
  </w:style>
  <w:style w:type="paragraph" w:customStyle="1" w:styleId="35">
    <w:name w:val="表格"/>
    <w:basedOn w:val="1"/>
    <w:link w:val="36"/>
    <w:qFormat/>
    <w:uiPriority w:val="0"/>
    <w:pPr>
      <w:spacing w:line="240" w:lineRule="auto"/>
      <w:ind w:firstLine="0" w:firstLineChars="0"/>
      <w:jc w:val="center"/>
    </w:pPr>
    <w:rPr>
      <w:rFonts w:cs="Times New Roman"/>
      <w:sz w:val="21"/>
    </w:rPr>
  </w:style>
  <w:style w:type="character" w:customStyle="1" w:styleId="36">
    <w:name w:val="表格 字符"/>
    <w:basedOn w:val="27"/>
    <w:link w:val="35"/>
    <w:qFormat/>
    <w:uiPriority w:val="0"/>
    <w:rPr>
      <w:rFonts w:cs="Times New Roman"/>
      <w:sz w:val="21"/>
    </w:rPr>
  </w:style>
  <w:style w:type="character" w:customStyle="1" w:styleId="37">
    <w:name w:val="页眉 字符"/>
    <w:basedOn w:val="27"/>
    <w:link w:val="17"/>
    <w:qFormat/>
    <w:uiPriority w:val="99"/>
    <w:rPr>
      <w:rFonts w:ascii="Times New Roman" w:hAnsi="Times New Roman" w:eastAsia="宋体"/>
      <w:kern w:val="2"/>
      <w:sz w:val="18"/>
      <w:szCs w:val="18"/>
    </w:rPr>
  </w:style>
  <w:style w:type="character" w:customStyle="1" w:styleId="38">
    <w:name w:val="页脚 字符"/>
    <w:basedOn w:val="27"/>
    <w:link w:val="16"/>
    <w:qFormat/>
    <w:uiPriority w:val="99"/>
    <w:rPr>
      <w:rFonts w:ascii="Times New Roman" w:hAnsi="Times New Roman" w:eastAsia="宋体"/>
      <w:kern w:val="2"/>
      <w:sz w:val="18"/>
      <w:szCs w:val="18"/>
    </w:rPr>
  </w:style>
  <w:style w:type="character" w:customStyle="1" w:styleId="39">
    <w:name w:val="批注文字 字符"/>
    <w:basedOn w:val="27"/>
    <w:link w:val="9"/>
    <w:semiHidden/>
    <w:qFormat/>
    <w:uiPriority w:val="99"/>
    <w:rPr>
      <w:rFonts w:ascii="Times New Roman" w:hAnsi="Times New Roman" w:eastAsia="宋体"/>
      <w:kern w:val="2"/>
      <w:sz w:val="24"/>
      <w:szCs w:val="22"/>
    </w:rPr>
  </w:style>
  <w:style w:type="character" w:customStyle="1" w:styleId="40">
    <w:name w:val="批注主题 字符"/>
    <w:basedOn w:val="39"/>
    <w:link w:val="24"/>
    <w:semiHidden/>
    <w:qFormat/>
    <w:uiPriority w:val="99"/>
    <w:rPr>
      <w:rFonts w:ascii="Times New Roman" w:hAnsi="Times New Roman" w:eastAsia="宋体"/>
      <w:b/>
      <w:bCs/>
      <w:kern w:val="2"/>
      <w:sz w:val="24"/>
      <w:szCs w:val="22"/>
    </w:rPr>
  </w:style>
  <w:style w:type="character" w:customStyle="1" w:styleId="41">
    <w:name w:val="批注框文本 字符"/>
    <w:basedOn w:val="27"/>
    <w:link w:val="15"/>
    <w:semiHidden/>
    <w:qFormat/>
    <w:uiPriority w:val="99"/>
    <w:rPr>
      <w:rFonts w:ascii="Times New Roman" w:hAnsi="Times New Roman" w:eastAsia="宋体"/>
      <w:kern w:val="2"/>
      <w:sz w:val="18"/>
      <w:szCs w:val="18"/>
    </w:rPr>
  </w:style>
  <w:style w:type="paragraph" w:customStyle="1" w:styleId="42">
    <w:name w:val="表格标题"/>
    <w:basedOn w:val="1"/>
    <w:link w:val="44"/>
    <w:qFormat/>
    <w:uiPriority w:val="0"/>
    <w:pPr>
      <w:adjustRightInd w:val="0"/>
      <w:spacing w:before="50" w:beforeLines="50" w:after="50" w:afterLines="50"/>
      <w:ind w:firstLine="0" w:firstLineChars="0"/>
      <w:jc w:val="center"/>
    </w:pPr>
    <w:rPr>
      <w:rFonts w:cs="宋体"/>
      <w:b/>
      <w:szCs w:val="24"/>
    </w:rPr>
  </w:style>
  <w:style w:type="character" w:customStyle="1" w:styleId="43">
    <w:name w:val="正文缩进 字符"/>
    <w:basedOn w:val="27"/>
    <w:link w:val="8"/>
    <w:qFormat/>
    <w:uiPriority w:val="0"/>
    <w:rPr>
      <w:rFonts w:ascii="Times New Roman" w:hAnsi="Times New Roman" w:eastAsia="宋体"/>
      <w:kern w:val="2"/>
      <w:sz w:val="28"/>
    </w:rPr>
  </w:style>
  <w:style w:type="character" w:customStyle="1" w:styleId="44">
    <w:name w:val="表格标题 字符"/>
    <w:basedOn w:val="43"/>
    <w:link w:val="42"/>
    <w:qFormat/>
    <w:uiPriority w:val="0"/>
    <w:rPr>
      <w:rFonts w:ascii="Times New Roman" w:hAnsi="Times New Roman" w:eastAsia="宋体" w:cs="宋体"/>
      <w:b/>
      <w:kern w:val="2"/>
      <w:sz w:val="24"/>
      <w:szCs w:val="24"/>
    </w:rPr>
  </w:style>
  <w:style w:type="character" w:customStyle="1" w:styleId="45">
    <w:name w:val="纯文本 字符"/>
    <w:basedOn w:val="27"/>
    <w:link w:val="2"/>
    <w:qFormat/>
    <w:uiPriority w:val="99"/>
    <w:rPr>
      <w:rFonts w:ascii="宋体" w:hAnsi="Courier New" w:eastAsia="宋体"/>
      <w:kern w:val="2"/>
      <w:sz w:val="21"/>
      <w:szCs w:val="22"/>
    </w:rPr>
  </w:style>
  <w:style w:type="paragraph" w:customStyle="1" w:styleId="46">
    <w:name w:val="TOC 标题1"/>
    <w:basedOn w:val="3"/>
    <w:next w:val="1"/>
    <w:unhideWhenUsed/>
    <w:qFormat/>
    <w:uiPriority w:val="39"/>
    <w:pPr>
      <w:pageBreakBefore w:val="0"/>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47">
    <w:name w:val="WPSOffice手动目录 1"/>
    <w:qFormat/>
    <w:uiPriority w:val="0"/>
    <w:rPr>
      <w:rFonts w:ascii="Calibri" w:hAnsi="Calibri" w:eastAsia="宋体" w:cs="Times New Roman"/>
      <w:lang w:val="en-US" w:eastAsia="zh-CN" w:bidi="ar-SA"/>
    </w:rPr>
  </w:style>
  <w:style w:type="character" w:customStyle="1" w:styleId="48">
    <w:name w:val="正文文本 (2) + 10.5 pt1"/>
    <w:basedOn w:val="49"/>
    <w:qFormat/>
    <w:uiPriority w:val="0"/>
    <w:rPr>
      <w:rFonts w:ascii="MingLiU" w:hAnsi="MingLiU" w:eastAsia="MingLiU" w:cs="MingLiU"/>
      <w:color w:val="000000"/>
      <w:spacing w:val="0"/>
      <w:w w:val="100"/>
      <w:position w:val="0"/>
      <w:sz w:val="21"/>
      <w:szCs w:val="21"/>
      <w:u w:val="none"/>
      <w:lang w:val="en-US" w:eastAsia="en-US" w:bidi="en-US"/>
    </w:rPr>
  </w:style>
  <w:style w:type="character" w:customStyle="1" w:styleId="49">
    <w:name w:val="正文文本 (2)_"/>
    <w:basedOn w:val="27"/>
    <w:link w:val="50"/>
    <w:qFormat/>
    <w:uiPriority w:val="0"/>
    <w:rPr>
      <w:rFonts w:ascii="MingLiU" w:hAnsi="MingLiU" w:eastAsia="MingLiU" w:cs="MingLiU"/>
      <w:u w:val="none"/>
    </w:rPr>
  </w:style>
  <w:style w:type="paragraph" w:customStyle="1" w:styleId="50">
    <w:name w:val="正文文本 (2)"/>
    <w:basedOn w:val="1"/>
    <w:link w:val="49"/>
    <w:qFormat/>
    <w:uiPriority w:val="0"/>
    <w:pPr>
      <w:shd w:val="clear" w:color="auto" w:fill="FFFFFF"/>
      <w:spacing w:line="0" w:lineRule="atLeast"/>
      <w:jc w:val="distribute"/>
    </w:pPr>
    <w:rPr>
      <w:rFonts w:ascii="MingLiU" w:hAnsi="MingLiU" w:eastAsia="MingLiU" w:cs="MingLiU"/>
    </w:rPr>
  </w:style>
  <w:style w:type="paragraph" w:customStyle="1" w:styleId="5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chart" Target="charts/chart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Sheet1!$B$1</c:f>
              <c:strCache>
                <c:ptCount val="1"/>
                <c:pt idx="0">
                  <c:v>面积</c:v>
                </c:pt>
              </c:strCache>
            </c:strRef>
          </c:tx>
          <c:spPr>
            <a:solidFill>
              <a:schemeClr val="accent1"/>
            </a:solidFill>
            <a:ln>
              <a:noFill/>
            </a:ln>
            <a:effectLst/>
          </c:spPr>
          <c:invertIfNegative val="false"/>
          <c:dLbls>
            <c:spPr>
              <a:noFill/>
              <a:ln>
                <a:noFill/>
              </a:ln>
              <a:effectLst/>
            </c:spPr>
            <c:txPr>
              <a:bodyPr rot="0" spcFirstLastPara="1"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Sheet1!$A$2:$A$10</c:f>
              <c:strCache>
                <c:ptCount val="9"/>
                <c:pt idx="0">
                  <c:v>旱地</c:v>
                </c:pt>
                <c:pt idx="1">
                  <c:v>乔木林地</c:v>
                </c:pt>
                <c:pt idx="2">
                  <c:v>灌木林地</c:v>
                </c:pt>
                <c:pt idx="3">
                  <c:v>公用设施用地</c:v>
                </c:pt>
                <c:pt idx="4">
                  <c:v>农村道路</c:v>
                </c:pt>
                <c:pt idx="5">
                  <c:v>水库水面</c:v>
                </c:pt>
                <c:pt idx="6">
                  <c:v>水工建筑用地</c:v>
                </c:pt>
                <c:pt idx="7">
                  <c:v>设施农用地</c:v>
                </c:pt>
                <c:pt idx="8">
                  <c:v>裸土地</c:v>
                </c:pt>
              </c:strCache>
            </c:strRef>
          </c:cat>
          <c:val>
            <c:numRef>
              <c:f>Sheet1!$B$2:$B$10</c:f>
              <c:numCache>
                <c:formatCode>0.00_ </c:formatCode>
                <c:ptCount val="9"/>
                <c:pt idx="0">
                  <c:v>32.73</c:v>
                </c:pt>
                <c:pt idx="1">
                  <c:v>58.52</c:v>
                </c:pt>
                <c:pt idx="2">
                  <c:v>4.57</c:v>
                </c:pt>
                <c:pt idx="3">
                  <c:v>0.03</c:v>
                </c:pt>
                <c:pt idx="4">
                  <c:v>0.18</c:v>
                </c:pt>
                <c:pt idx="5">
                  <c:v>3.45</c:v>
                </c:pt>
                <c:pt idx="6">
                  <c:v>0.08</c:v>
                </c:pt>
                <c:pt idx="7">
                  <c:v>0.14</c:v>
                </c:pt>
                <c:pt idx="8">
                  <c:v>0.3</c:v>
                </c:pt>
              </c:numCache>
            </c:numRef>
          </c:val>
        </c:ser>
        <c:dLbls>
          <c:showLegendKey val="false"/>
          <c:showVal val="false"/>
          <c:showCatName val="false"/>
          <c:showSerName val="false"/>
          <c:showPercent val="false"/>
          <c:showBubbleSize val="false"/>
        </c:dLbls>
        <c:gapWidth val="219"/>
        <c:overlap val="-27"/>
        <c:axId val="1141427000"/>
        <c:axId val="1141427984"/>
      </c:barChart>
      <c:catAx>
        <c:axId val="1141427000"/>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mn-cs"/>
              </a:defRPr>
            </a:pPr>
          </a:p>
        </c:txPr>
        <c:crossAx val="1141427984"/>
        <c:crosses val="autoZero"/>
        <c:auto val="true"/>
        <c:lblAlgn val="ctr"/>
        <c:lblOffset val="100"/>
        <c:noMultiLvlLbl val="false"/>
      </c:catAx>
      <c:valAx>
        <c:axId val="1141427984"/>
        <c:scaling>
          <c:orientation val="minMax"/>
        </c:scaling>
        <c:delete val="false"/>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true"/>
              <a:lstStyle/>
              <a:p>
                <a:pPr>
                  <a:defRPr lang="zh-CN" sz="1000" b="0" i="0" u="none" strike="noStrike" kern="1200" baseline="0">
                    <a:solidFill>
                      <a:schemeClr val="tx1">
                        <a:lumMod val="65000"/>
                        <a:lumOff val="35000"/>
                      </a:schemeClr>
                    </a:solidFill>
                    <a:latin typeface="Euphemia" panose="020B0503040102020104" pitchFamily="34" charset="0"/>
                    <a:ea typeface="+mn-ea"/>
                    <a:cs typeface="+mn-cs"/>
                  </a:defRPr>
                </a:pPr>
                <a:r>
                  <a:rPr lang="zh-CN" altLang="en-US">
                    <a:latin typeface="宋体" panose="02010600030101010101" charset="-122"/>
                    <a:ea typeface="宋体" panose="02010600030101010101" charset="-122"/>
                  </a:rPr>
                  <a:t>百分比（</a:t>
                </a:r>
                <a:r>
                  <a:rPr lang="en-US" altLang="zh-CN">
                    <a:latin typeface="宋体" panose="02010600030101010101" charset="-122"/>
                    <a:ea typeface="宋体" panose="02010600030101010101" charset="-122"/>
                  </a:rPr>
                  <a:t>%</a:t>
                </a:r>
                <a:r>
                  <a:rPr lang="zh-CN" altLang="en-US">
                    <a:latin typeface="宋体" panose="02010600030101010101" charset="-122"/>
                    <a:ea typeface="宋体" panose="02010600030101010101" charset="-122"/>
                  </a:rPr>
                  <a:t>）</a:t>
                </a:r>
                <a:endParaRPr lang="zh-CN" altLang="en-US">
                  <a:latin typeface="宋体" panose="02010600030101010101" charset="-122"/>
                  <a:ea typeface="宋体" panose="02010600030101010101" charset="-122"/>
                </a:endParaRPr>
              </a:p>
            </c:rich>
          </c:tx>
          <c:layout/>
          <c:overlay val="false"/>
          <c:spPr>
            <a:noFill/>
            <a:ln>
              <a:noFill/>
            </a:ln>
            <a:effectLst/>
          </c:spPr>
        </c:title>
        <c:numFmt formatCode="0.00_ " sourceLinked="true"/>
        <c:majorTickMark val="none"/>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1141427000"/>
        <c:crosses val="autoZero"/>
        <c:crossBetween val="between"/>
      </c:valAx>
      <c:spPr>
        <a:noFill/>
        <a:ln>
          <a:noFill/>
        </a:ln>
        <a:effectLst/>
      </c:spPr>
    </c:plotArea>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latin typeface="Euphemia" panose="020B0503040102020104" pitchFamily="34" charset="0"/>
        </a:defRPr>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3655</Words>
  <Characters>20839</Characters>
  <Lines>173</Lines>
  <Paragraphs>48</Paragraphs>
  <TotalTime>0</TotalTime>
  <ScaleCrop>false</ScaleCrop>
  <LinksUpToDate>false</LinksUpToDate>
  <CharactersWithSpaces>24446</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2019-09-03T16:10:00Z</dcterms:created>
  <dc:creator>xu luo</dc:creator>
  <cp:lastModifiedBy>kylin</cp:lastModifiedBy>
  <cp:lastPrinted>2019-10-27T15:50:00Z</cp:lastPrinted>
  <dcterms:modified xsi:type="dcterms:W3CDTF">2022-05-06T16:17:34Z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