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曲靖市富源县大河镇白马</w:t>
      </w:r>
      <w: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t>水库</w:t>
      </w: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饮用水</w:t>
      </w: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left="357"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tabs>
          <w:tab w:val="left" w:pos="2472"/>
          <w:tab w:val="left" w:pos="3586"/>
        </w:tabs>
        <w:spacing w:line="360" w:lineRule="auto"/>
        <w:ind w:left="357" w:firstLine="0" w:firstLineChars="0"/>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委托单位：大河镇人民政府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"_Toc27507046"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_Toc27507046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"_Toc27507047"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_Toc27507047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"_Toc27507048"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_Toc27507048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"_Toc27507049"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_Toc27507049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"_Toc27507050"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_Toc27507050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"_Toc27507051"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_Toc27507051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"_Toc27507052"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_Toc27507052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"_Toc27507053"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_Toc27507053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"_Toc27507054"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_Toc27507054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"_Toc27507055"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_Toc27507055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"_Toc27507056"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_Toc27507056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"_Toc27507057"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_Toc27507057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"_Toc27507058"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_Toc27507058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"_Toc27507059"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_Toc27507059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"_Toc27507060"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_Toc27507060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"_Toc27507061"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_Toc27507061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"_Toc27507062"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_Toc27507062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"_Toc27507063"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水库概况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_Toc27507063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"_Toc27507064"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_Toc27507064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"_Toc27507065"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_Toc27507065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"_Toc27507066"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_Toc27507066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"_Toc27507067"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_Toc27507067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"_Toc27507068"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_Toc27507068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"_Toc27507069"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_Toc27507069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"_Toc27507070"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_Toc27507070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"_Toc27507071"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_Toc27507071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"_Toc27507072"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_Toc27507072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"_Toc27507073"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_Toc27507073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"_Toc27507074"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_Toc27507074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"_Toc27507075"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_Toc27507075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"_Toc27507076"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_Toc27507076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"_Toc27507077"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_Toc27507077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"_Toc27507078"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第三章 保护区划分与定界</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_Toc27507078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"_Toc27507079"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_Toc27507079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"_Toc27507080"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_Toc27507080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"_Toc27507081"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3.1.2 二级保护区划分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_Toc27507081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"_Toc27507082"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_Toc27507082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"_Toc27507083"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_Toc27507083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"_Toc27507084"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二级保护区范围的确定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_Toc27507084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"_Toc27507085"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保护区定界的依据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_Toc27507085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"_Toc27507086"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第四章 饮用水水源保护区建设投资估算</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_Toc27507086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"_Toc27507087"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_Toc27507087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"_Toc27507088"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_Toc27507088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"_Toc27507089"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_Toc27507089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"_Toc27507090"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_Toc27507090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"_Toc27507091"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_Toc27507091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"_Toc27507092"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_Toc27507092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"_Toc27507093"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_Toc27507093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"_Toc27507094"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_Toc27507094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"_Toc27507095"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_Toc27507095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"_Toc27507096"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第五章饮用水水源保护区划分方案、图件及有关说明</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_Toc27507096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"_Toc27507097"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_Toc27507097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"_Toc27507098"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_Toc27507098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"_Toc27507099"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_Toc27507099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"_Toc27507100"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富源县白马水库饮用水水源地基础信息表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_Toc27507100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"_Toc27507101"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富源县白马水库集中式饮用水水源保护区划分结果表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_Toc27507101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"_Toc27507102"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富源县白马水库饮用水水源地保护区污染源调查表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_Toc27507102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白马水库饮用水源地区位图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白马水库饮用水源地水系图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白马水库饮用水源地保护区区划图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白马水库饮用水源地保护区划污染源分布图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白马水库饮用水源地保护区划拐点图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811</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bookmarkStart w:id="3" w:name="_Toc27507046"/>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507047"/>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27507048"/>
      <w:bookmarkStart w:id="7" w:name="_Toc478744139"/>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200905490"/>
      <w:bookmarkStart w:id="9" w:name="_Toc272332582"/>
      <w:bookmarkStart w:id="10" w:name="_Toc27507049"/>
      <w:bookmarkStart w:id="11" w:name="_Toc478744140"/>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272332583"/>
      <w:bookmarkStart w:id="15" w:name="_Toc478744141"/>
      <w:bookmarkStart w:id="16" w:name="_Toc200905491"/>
      <w:bookmarkStart w:id="17" w:name="_Toc27507050"/>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00905492"/>
      <w:bookmarkStart w:id="19" w:name="_Toc272332584"/>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《地表水质量标准》（GB3838-20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507051"/>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507052"/>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富源县大河镇白马</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507053"/>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2456051"/>
      <w:bookmarkStart w:id="28" w:name="_Toc10729966"/>
      <w:bookmarkStart w:id="29" w:name="_Toc27507054"/>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10729967"/>
      <w:bookmarkStart w:id="31" w:name="_Toc12456052"/>
      <w:bookmarkStart w:id="32" w:name="_Toc27507055"/>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白马水库位于富源县大河镇，地理位置为东经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104°17'19"，北纬25°37'19"。</w:t>
      </w:r>
    </w:p>
    <w:p>
      <w:pPr>
        <w:pStyle w:val="4"/>
        <w:rPr>
          <w:color w:val="0D0D0D" w:themeColor="text1" w:themeTint="F2"/>
          <w14:textFill>
            <w14:solidFill>
              <w14:schemeClr w14:val="tx1">
                <w14:lumMod w14:val="95000"/>
                <w14:lumOff w14:val="5000"/>
              </w14:schemeClr>
            </w14:solidFill>
          </w14:textFill>
        </w:rPr>
      </w:pPr>
      <w:bookmarkStart w:id="33" w:name="_Toc27507056"/>
      <w:bookmarkStart w:id="34" w:name="_Toc12456053"/>
      <w:bookmarkStart w:id="35" w:name="_Toc10729968"/>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12456054"/>
      <w:bookmarkStart w:id="37" w:name="_Toc10729969"/>
      <w:bookmarkStart w:id="38" w:name="_Toc27507057"/>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10729970"/>
      <w:bookmarkStart w:id="40" w:name="_Toc12456055"/>
      <w:bookmarkStart w:id="41" w:name="_Toc27507058"/>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12456056"/>
      <w:bookmarkStart w:id="43" w:name="_Toc27507059"/>
      <w:bookmarkStart w:id="44" w:name="_Toc10729972"/>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白马水库位于富源县大河镇白马村，涉及乡镇及村委会社会经济概况统计如下。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（1）大河镇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大河镇位于富源东南部、距县城18km，国土面积247km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驻地脑上居委会，东与贵州相连，南接营上镇，西与墨红镇毗邻，北抵中安镇。全镇辖17个村（居）委会、211个村民小组、313个自然村，2018年末人口有88224人。2018年完成社会生产总值17.435亿元、增长8.27%；粮食播种面积9.39万亩，实现粮食总产量3.49万吨；出栏肉猪48.89万头、肉牛1.05万头、肉羊2.55万只。</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（2）白马水库保护区范围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保护区涉及居民点为上河镇，在水库大坝西侧、南侧各有1个农家乐，为白马山庄、福人居，均位于一级保护区内。其中，白马山庄餐位规模为100个，福人居餐位规模为100个。保护区内还涉及耕地面积39.26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，均为旱地。</w:t>
      </w:r>
    </w:p>
    <w:p>
      <w:pPr>
        <w:pStyle w:val="3"/>
        <w:rPr>
          <w:color w:val="0D0D0D" w:themeColor="text1" w:themeTint="F2"/>
          <w14:textFill>
            <w14:solidFill>
              <w14:schemeClr w14:val="tx1">
                <w14:lumMod w14:val="95000"/>
                <w14:lumOff w14:val="5000"/>
              </w14:schemeClr>
            </w14:solidFill>
          </w14:textFill>
        </w:rPr>
      </w:pPr>
      <w:bookmarkStart w:id="45" w:name="_Toc27507060"/>
      <w:bookmarkStart w:id="46" w:name="_Toc25679051"/>
      <w:bookmarkStart w:id="47" w:name="_Toc12621568"/>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bookmarkEnd w:id="47"/>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对白马水库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有林地，占保护区面积的82.10%，白马水库保护区内植被覆盖较好；其次是旱地，占保护区面积的12.07%；水域、灌木林地分别占保护区面积的2.93%、2.75%；建设用地面积均较小。白马水库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adjustRightInd w:val="0"/>
        <w:snapToGrid w:val="0"/>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白马水库保护区土地利用现状</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5"/>
        <w:gridCol w:w="1081"/>
        <w:gridCol w:w="1081"/>
        <w:gridCol w:w="1081"/>
        <w:gridCol w:w="1081"/>
        <w:gridCol w:w="1081"/>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55" w:type="dxa"/>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6495" w:type="dxa"/>
            <w:gridSpan w:val="6"/>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白马水库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55"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二级保护区</w:t>
            </w:r>
          </w:p>
        </w:tc>
        <w:tc>
          <w:tcPr>
            <w:tcW w:w="2171"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55"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90"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42.37</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74.37</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224.66</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83.75</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267.02</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灌木林地</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1.77</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3.11</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7.16</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2.67</w:t>
            </w:r>
          </w:p>
        </w:tc>
        <w:tc>
          <w:tcPr>
            <w:tcW w:w="1081"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8.93</w:t>
            </w:r>
          </w:p>
        </w:tc>
        <w:tc>
          <w:tcPr>
            <w:tcW w:w="1090"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2.85</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5.00</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36.41</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13.57</w:t>
            </w:r>
          </w:p>
        </w:tc>
        <w:tc>
          <w:tcPr>
            <w:tcW w:w="1081"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39.26</w:t>
            </w:r>
          </w:p>
        </w:tc>
        <w:tc>
          <w:tcPr>
            <w:tcW w:w="1090"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水域</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9.52</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16.72</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9.52</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建设用地</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0.46</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0.80</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w:t>
            </w:r>
          </w:p>
        </w:tc>
        <w:tc>
          <w:tcPr>
            <w:tcW w:w="108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0.49</w:t>
            </w:r>
          </w:p>
        </w:tc>
        <w:tc>
          <w:tcPr>
            <w:tcW w:w="109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56.97</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268.26</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325.22</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14850" cy="2886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14850" cy="2886075"/>
                    </a:xfrm>
                    <a:prstGeom prst="rect">
                      <a:avLst/>
                    </a:prstGeom>
                    <a:noFill/>
                    <a:ln>
                      <a:noFill/>
                    </a:ln>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白马水库保护区内土地利用状况</w:t>
      </w:r>
    </w:p>
    <w:p>
      <w:pPr>
        <w:pStyle w:val="3"/>
        <w:rPr>
          <w:color w:val="0D0D0D" w:themeColor="text1" w:themeTint="F2"/>
          <w14:textFill>
            <w14:solidFill>
              <w14:schemeClr w14:val="tx1">
                <w14:lumMod w14:val="95000"/>
                <w14:lumOff w14:val="5000"/>
              </w14:schemeClr>
            </w14:solidFill>
          </w14:textFill>
        </w:rPr>
      </w:pPr>
      <w:bookmarkStart w:id="48" w:name="_Toc12456059"/>
      <w:bookmarkStart w:id="49" w:name="_Toc27507061"/>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8"/>
      <w:bookmarkEnd w:id="49"/>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白马水库属于珠江流域南盘江水系，根据《云南省地表水环境功能区划（2010-2020年）》，白马水库所在水环境功能区划为：黄泥河富源境内段，为工业用水、农业用水、饮用二级，水质类别为III类。</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白马水库属于地表水，现状功能为饮用水，水质功能类别为III类。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白马水库饮用水水源地位于曲靖市富源县大河镇，根据《云南省主体功能区规划》，富源县属于省级重点开发区域。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根据《云南省生态功能区划》，白马水库水源地位于富源县大河镇，所在生态功能分区为：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50" w:name="_Toc10729973"/>
      <w:bookmarkStart w:id="51" w:name="_Toc12456060"/>
      <w:bookmarkStart w:id="52" w:name="_Toc27507062"/>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50"/>
      <w:r>
        <w:rPr>
          <w:rFonts w:hint="eastAsia"/>
          <w:color w:val="0D0D0D" w:themeColor="text1" w:themeTint="F2"/>
          <w14:textFill>
            <w14:solidFill>
              <w14:schemeClr w14:val="tx1">
                <w14:lumMod w14:val="95000"/>
                <w14:lumOff w14:val="5000"/>
              </w14:schemeClr>
            </w14:solidFill>
          </w14:textFill>
        </w:rPr>
        <w:t>状况</w:t>
      </w:r>
      <w:bookmarkEnd w:id="51"/>
      <w:bookmarkEnd w:id="5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大河镇白马水库为地表水型饮用水源地，为在用水源地。</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大河镇白马水库水源地基本信息表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700"/>
        <w:gridCol w:w="2324"/>
        <w:gridCol w:w="23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700"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650"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45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0"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32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3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45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白马水库</w:t>
            </w:r>
          </w:p>
        </w:tc>
        <w:tc>
          <w:tcPr>
            <w:tcW w:w="1700"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232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104°17'22"</w:t>
            </w:r>
          </w:p>
        </w:tc>
        <w:tc>
          <w:tcPr>
            <w:tcW w:w="2326"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25°37'22"</w:t>
            </w:r>
          </w:p>
        </w:tc>
        <w:tc>
          <w:tcPr>
            <w:tcW w:w="145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3" w:name="_Toc10729974"/>
      <w:bookmarkStart w:id="54" w:name="_Toc12456061"/>
      <w:bookmarkStart w:id="55" w:name="_Toc27507063"/>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3"/>
      <w:bookmarkEnd w:id="54"/>
      <w:r>
        <w:rPr>
          <w:rFonts w:hint="eastAsia"/>
          <w:color w:val="0D0D0D" w:themeColor="text1" w:themeTint="F2"/>
          <w:sz w:val="28"/>
          <w:szCs w:val="28"/>
          <w14:textFill>
            <w14:solidFill>
              <w14:schemeClr w14:val="tx1">
                <w14:lumMod w14:val="95000"/>
                <w14:lumOff w14:val="5000"/>
              </w14:schemeClr>
            </w14:solidFill>
          </w14:textFill>
        </w:rPr>
        <w:t>水库概况</w:t>
      </w:r>
      <w:bookmarkEnd w:id="5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白马水库是一座以农业浇灌、集镇工业用水，</w:t>
      </w:r>
      <w:r>
        <w:rPr>
          <w:rFonts w:hint="eastAsia" w:ascii="Times New Roman" w:hAnsi="Times New Roman" w:eastAsia="仿宋" w:cs="Times New Roman"/>
          <w:color w:val="0D0D0D" w:themeColor="text1" w:themeTint="F2"/>
          <w:sz w:val="28"/>
          <w:szCs w:val="28"/>
          <w:lang w:val="en-IE" w:eastAsia="zh-CN"/>
          <w14:textFill>
            <w14:solidFill>
              <w14:schemeClr w14:val="tx1">
                <w14:lumMod w14:val="95000"/>
                <w14:lumOff w14:val="5000"/>
              </w14:schemeClr>
            </w14:solidFill>
          </w14:textFill>
        </w:rPr>
        <w:t>人畜饮水</w:t>
      </w:r>
      <w:bookmarkStart w:id="232" w:name="_GoBack"/>
      <w:bookmarkEnd w:id="232"/>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为主，兼顾下游防洪的小（一）型水利工程，水库始建于1973年11月，经多次续修，1985年完成现有规模。水库控制径流面积3.75km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，设计灌溉面积2600亩，防洪保护面积1800亩，解决人饮6000人。根据国家《防洪标准》（GB50201</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94），水规（1989）21号水利部印发《水利枢纽工程险加固近期应用洪水标准意见》的通知，白马,水库总库容118.13万m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，属小（一）型规模工程，工程级别是</w:t>
      </w:r>
      <w:r>
        <w:rPr>
          <w:rFonts w:hint="eastAsia" w:ascii="宋体" w:hAnsi="宋体" w:eastAsia="宋体" w:cs="宋体"/>
          <w:color w:val="0D0D0D" w:themeColor="text1" w:themeTint="F2"/>
          <w:sz w:val="28"/>
          <w:szCs w:val="28"/>
          <w:lang w:val="en-IE"/>
          <w14:textFill>
            <w14:solidFill>
              <w14:schemeClr w14:val="tx1">
                <w14:lumMod w14:val="95000"/>
                <w14:lumOff w14:val="5000"/>
              </w14:schemeClr>
            </w14:solidFill>
          </w14:textFill>
        </w:rPr>
        <w:t>Ⅳ</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等，大坝级别为4级，正常运用洪水标准为30年一遇，非常运用洪水标准为300年一遇，该工程为小（一）型水库，设计洪水标准按30年一遇计算，校核洪水标准按300年一遇。溢洪道布置在大坝右岸。为无闸控制的开敞式溢洪道，下泄洪水归入天然河槽。溢洪道由引渠段、控制段、泄槽段、消力池、出水渠组成，全长225.5m。堰顶高程1855.64m。根据水库调洪计算成果，溢洪道在设计洪水标准（P=3.33%）时下泄流量为21.23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/s，校核洪水标准（P=0.33%）时下泄流量为35.43m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输水隧洞长102.4m，净宽1.5m，高1.8m，在上游距坝轴线15.7m处做竖井，安装潜孔闸0.6mx0.6m，老涵洞已封堵，从原涵洞进口至心墙段70m，用M7.5浆砌石封堵，在坝轴线前后1.5m段采用C20砼封堵，并回填灌浆封堵，其余54m用干砌块石封堵。</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总库容118.13万m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84.87万m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，正常蓄水位1855.64m，死水位1839.50m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1857.23</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m，校核洪水位为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1857.88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2.5-2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设计基本参数</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891"/>
        <w:gridCol w:w="2086"/>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序号</w:t>
            </w:r>
          </w:p>
        </w:tc>
        <w:tc>
          <w:tcPr>
            <w:tcW w:w="2891"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参数</w:t>
            </w:r>
          </w:p>
        </w:tc>
        <w:tc>
          <w:tcPr>
            <w:tcW w:w="208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单位</w:t>
            </w:r>
          </w:p>
        </w:tc>
        <w:tc>
          <w:tcPr>
            <w:tcW w:w="3107"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白马水库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正常蓄水位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1855.64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死水位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1839.50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设计洪水位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1857.23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校核洪水位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调节库容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总库容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死</w:t>
            </w:r>
            <w:r>
              <w:rPr>
                <w:rFonts w:eastAsia="仿宋"/>
                <w:color w:val="0D0D0D" w:themeColor="text1" w:themeTint="F2"/>
                <w:sz w:val="24"/>
                <w:szCs w:val="24"/>
                <w14:textFill>
                  <w14:solidFill>
                    <w14:schemeClr w14:val="tx1">
                      <w14:lumMod w14:val="95000"/>
                      <w14:lumOff w14:val="5000"/>
                    </w14:schemeClr>
                  </w14:solidFill>
                </w14:textFill>
              </w:rPr>
              <w:t>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11.13</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6" w:name="_Toc478742807"/>
      <w:bookmarkStart w:id="57" w:name="_Toc12456062"/>
      <w:bookmarkStart w:id="58" w:name="_Toc524596427"/>
      <w:bookmarkStart w:id="59" w:name="_Toc10729975"/>
      <w:bookmarkStart w:id="60" w:name="_Toc27507064"/>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供</w:t>
      </w:r>
      <w:r>
        <w:rPr>
          <w:color w:val="0D0D0D" w:themeColor="text1" w:themeTint="F2"/>
          <w:sz w:val="28"/>
          <w:szCs w:val="28"/>
          <w14:textFill>
            <w14:solidFill>
              <w14:schemeClr w14:val="tx1">
                <w14:lumMod w14:val="95000"/>
                <w14:lumOff w14:val="5000"/>
              </w14:schemeClr>
            </w14:solidFill>
          </w14:textFill>
        </w:rPr>
        <w:t>水情况</w:t>
      </w:r>
      <w:bookmarkEnd w:id="56"/>
      <w:bookmarkEnd w:id="57"/>
      <w:bookmarkEnd w:id="58"/>
      <w:bookmarkEnd w:id="59"/>
      <w:bookmarkEnd w:id="6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白马水库为富源县大河镇自来水厂水源点，年供水量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73</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-3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白马水库供水情况统计表</w:t>
      </w:r>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375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7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3370"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52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白马水库</w:t>
            </w:r>
          </w:p>
        </w:tc>
        <w:tc>
          <w:tcPr>
            <w:tcW w:w="37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73</w:t>
            </w:r>
          </w:p>
        </w:tc>
        <w:tc>
          <w:tcPr>
            <w:tcW w:w="337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r>
    </w:tbl>
    <w:p>
      <w:pPr>
        <w:pStyle w:val="3"/>
        <w:rPr>
          <w:color w:val="0D0D0D" w:themeColor="text1" w:themeTint="F2"/>
          <w14:textFill>
            <w14:solidFill>
              <w14:schemeClr w14:val="tx1">
                <w14:lumMod w14:val="95000"/>
                <w14:lumOff w14:val="5000"/>
              </w14:schemeClr>
            </w14:solidFill>
          </w14:textFill>
        </w:rPr>
      </w:pPr>
      <w:bookmarkStart w:id="61" w:name="_Toc10729976"/>
      <w:bookmarkStart w:id="62" w:name="_Toc12456063"/>
      <w:bookmarkStart w:id="63" w:name="_Toc27507065"/>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1"/>
      <w:r>
        <w:rPr>
          <w:rFonts w:hint="eastAsia"/>
          <w:color w:val="0D0D0D" w:themeColor="text1" w:themeTint="F2"/>
          <w14:textFill>
            <w14:solidFill>
              <w14:schemeClr w14:val="tx1">
                <w14:lumMod w14:val="95000"/>
                <w14:lumOff w14:val="5000"/>
              </w14:schemeClr>
            </w14:solidFill>
          </w14:textFill>
        </w:rPr>
        <w:t>调查评价</w:t>
      </w:r>
      <w:bookmarkEnd w:id="62"/>
      <w:bookmarkEnd w:id="6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大河镇白马水库2019年11月由曲靖市生态环境局</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富源分局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委托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蓝</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信息咨询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公司</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监测数据对大河镇白马水库水环境质量进行评估。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27507066"/>
      <w:bookmarkStart w:id="65" w:name="_Toc27063939"/>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评价指标、时段、监测布点</w:t>
      </w:r>
      <w:bookmarkEnd w:id="64"/>
      <w:bookmarkEnd w:id="65"/>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）表1的24项指标包括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水温、pH、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铜</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、挥发酚、石油类、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LAS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、粪大肠菌群</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，表2的5项指标包括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硫酸盐、氯化物、硝酸盐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、铁、锰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、电导率、叶绿素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和透明度5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大河镇白马水库水质目标按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水质标准。本区划根据常规监测评价结果，结合流域现状主要污染源，对所有已开展的监测因子进行水质类别评价，选取pH、溶解氧、高锰酸盐指数、化学需氧量（COD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项指标采用单因子指数法进行水质评价。</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地表水环境质量标准限值</w:t>
      </w:r>
    </w:p>
    <w:p>
      <w:pPr>
        <w:spacing w:line="480" w:lineRule="exact"/>
        <w:jc w:val="right"/>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单位：mg/L（除pH</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、粪大肠菌群</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bl>
      <w:tblPr>
        <w:tblStyle w:val="44"/>
        <w:tblW w:w="96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8"/>
        <w:gridCol w:w="3194"/>
        <w:gridCol w:w="2374"/>
        <w:gridCol w:w="996"/>
        <w:gridCol w:w="876"/>
        <w:gridCol w:w="816"/>
        <w:gridCol w:w="8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blHeader/>
          <w:jc w:val="center"/>
        </w:trPr>
        <w:tc>
          <w:tcPr>
            <w:tcW w:w="5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ind w:right="-130" w:rightChars="-62"/>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序号</w:t>
            </w:r>
          </w:p>
        </w:tc>
        <w:tc>
          <w:tcPr>
            <w:tcW w:w="319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23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w:t>
            </w:r>
          </w:p>
        </w:tc>
        <w:tc>
          <w:tcPr>
            <w:tcW w:w="99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2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4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5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pH值(无量纲)</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溶解氧≥</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饱和率90%（或7.5）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高锰酸盐指数≤</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化学需氧量（COD）≤</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氨氮（NH</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-N ）≤</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总磷（以P计）≤</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0.025</w:t>
            </w: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总氮（湖、库，以N计）≤</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铜</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锌</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硒</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砷</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汞</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镉</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铅</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挥发酚</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石油类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粪大肠菌群（个</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/L</w:t>
            </w: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硫酸盐（以SO</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氯化物（以Cl</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硝酸盐（以N计）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铁</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锰</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集中式生活饮用水标准限值≤0.1</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大河镇白马水库采用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水源地现状水质监测点为大河镇白马水库。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6" w:name="_Toc27063940"/>
      <w:bookmarkStart w:id="67" w:name="_Toc27507067"/>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66"/>
      <w:bookmarkEnd w:id="67"/>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大河镇白马水库</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的主要污染物。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表2和表3，判断检测指标所达到水环境水质功能类别。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adjustRightInd w:val="0"/>
        <w:snapToGrid w:val="0"/>
        <w:spacing w:line="360" w:lineRule="auto"/>
        <w:ind w:firstLine="42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本区划通过总氮（TN）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综合营养状态指数，对水源地水库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富营养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状态进行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综合营养状态指数采用卡尔森指数方法，计算公式如下：</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5" o:spt="75" type="#_x0000_t75" style="height:35.25pt;width:96pt;" o:ole="t" fillcolor="#FFFFFF"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式中：TLI（∑）—综合营养状态指数；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Wj—第j种参数的营养状态指数的相关权重；</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TLI（j）—代表第j种参数的营养状态指数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hla作为基准参数，则第j种参数的归一化的相关权重计算公式为：</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6" o:spt="75" type="#_x0000_t75" style="height:51pt;width:58.5pt;" o:ole="t" fillcolor="#FFFFFF"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—第j种参数与基准参数Chla的相关系数；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m—评价参数的个数。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中国湖泊（水库）Chla与其它参数之间的相关关系r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表2.6-2  中国湖泊（水库）部分参数与Chla的相关关系r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值</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609"/>
        <w:gridCol w:w="1608"/>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Chla</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SD</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0.82</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0.7056</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0.6724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r>
    </w:tbl>
    <w:p>
      <w:pPr>
        <w:widowControl/>
        <w:adjustRightInd w:val="0"/>
        <w:snapToGrid w:val="0"/>
        <w:spacing w:before="156" w:beforeLines="50"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2）单个项目营养状态指数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参数单项营养状态指数计算公式如下：</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hla）=10（2.5+1.086lnChla）</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TLI（TP）=10（9.436+1.624lnTP）</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TLI（TN）=10（5.453+1.694lnTN）</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TLI（SD）=10（5.118-1.94lnSD）</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）=10（0.109+2.661lnCOD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式中：Chla单位为mg/m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，SD单位为m；其它项目单位均为mg/L。</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3）湖泊水库营养状态分级</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100的一系列连续数字对湖泊营养状态进行分级，包括：贫营养、中营养、富营养、轻度富营养、中度富营养和重度富营养，与污染程度关系如表2.6-3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表2.6-3  水质类别与评分值对应表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289"/>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营养状态分级</w:t>
            </w:r>
          </w:p>
        </w:tc>
        <w:tc>
          <w:tcPr>
            <w:tcW w:w="3289"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评分值TLI（∑）</w:t>
            </w:r>
          </w:p>
        </w:tc>
        <w:tc>
          <w:tcPr>
            <w:tcW w:w="3071"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贫营养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0＜TLI（∑）≤30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30＜TLI（∑）≤50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50＜TLI（∑）≤60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vAlign w:val="center"/>
          </w:tcPr>
          <w:p>
            <w:pPr>
              <w:widowControl/>
              <w:spacing w:line="36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60＜TLI（∑）≤70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70＜TLI（∑）≤100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重度污染</w:t>
            </w:r>
          </w:p>
        </w:tc>
      </w:tr>
    </w:tbl>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68" w:name="_Toc27063941"/>
      <w:bookmarkStart w:id="69" w:name="_Toc27507068"/>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68"/>
      <w:bookmarkEnd w:id="69"/>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基本项目评价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大河镇白马水库2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次监测结果统计如下。对照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）表1中的标准限值，大河镇白马水库所有监测项目均能满足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（水温和pH值不参与水质功能类别评价）。</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-4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白马水库2019年常规监测基本项目</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4601"/>
        <w:gridCol w:w="1955"/>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141"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601"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908" w:type="dxa"/>
            <w:gridSpan w:val="2"/>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141"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4601"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955"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w:t>
            </w:r>
          </w:p>
        </w:tc>
        <w:tc>
          <w:tcPr>
            <w:tcW w:w="1953"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水温（</w:t>
            </w:r>
            <w:r>
              <w:rPr>
                <w:rFonts w:hint="eastAsia" w:ascii="宋体" w:hAnsi="宋体" w:eastAsia="宋体" w:cs="宋体"/>
                <w:color w:val="0D0D0D" w:themeColor="text1" w:themeTint="F2"/>
                <w:kern w:val="0"/>
                <w:sz w:val="24"/>
                <w:szCs w:val="24"/>
                <w:lang w:bidi="ar"/>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5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16</w:t>
            </w:r>
          </w:p>
        </w:tc>
        <w:tc>
          <w:tcPr>
            <w:tcW w:w="1953" w:type="dxa"/>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7.98</w:t>
            </w:r>
          </w:p>
        </w:tc>
        <w:tc>
          <w:tcPr>
            <w:tcW w:w="1953" w:type="dxa"/>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6.4</w:t>
            </w:r>
          </w:p>
        </w:tc>
        <w:tc>
          <w:tcPr>
            <w:tcW w:w="195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0.4</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0.064</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0.015</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0.99</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601"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粪大肠菌群（个</w:t>
            </w: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/L</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55"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2851</w:t>
            </w:r>
          </w:p>
        </w:tc>
        <w:tc>
          <w:tcPr>
            <w:tcW w:w="1953"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2"/>
                <w14:textFill>
                  <w14:solidFill>
                    <w14:schemeClr w14:val="tx1">
                      <w14:lumMod w14:val="95000"/>
                      <w14:lumOff w14:val="5000"/>
                    </w14:schemeClr>
                  </w14:solidFill>
                </w14:textFill>
              </w:rPr>
              <w:t>Ⅲ类</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补充项目评价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根据大河镇白马水库2019年1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监测结果，所有集中式饮用水地表水源地补充项目均满足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）表2集中式生活饮用水地表水源地标准限值要求。</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-5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白马水库2019年常规监测补充项目达标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评价表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06"/>
        <w:gridCol w:w="2772"/>
        <w:gridCol w:w="1531"/>
        <w:gridCol w:w="2911"/>
        <w:gridCol w:w="15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906"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772"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1531"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标准限值</w:t>
            </w:r>
          </w:p>
        </w:tc>
        <w:tc>
          <w:tcPr>
            <w:tcW w:w="2911" w:type="dxa"/>
            <w:tcBorders>
              <w:bottom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1530"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达标评价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906"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772"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531"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911"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1530"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772"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bCs/>
                <w:color w:val="0D0D0D" w:themeColor="text1" w:themeTint="F2"/>
                <w:sz w:val="24"/>
                <w:szCs w:val="24"/>
                <w14:textFill>
                  <w14:solidFill>
                    <w14:schemeClr w14:val="tx1">
                      <w14:lumMod w14:val="95000"/>
                      <w14:lumOff w14:val="5000"/>
                    </w14:schemeClr>
                  </w14:solidFill>
                </w14:textFill>
              </w:rPr>
              <w:t>8L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bCs/>
                <w:color w:val="0D0D0D" w:themeColor="text1" w:themeTint="F2"/>
                <w:sz w:val="24"/>
                <w:szCs w:val="24"/>
                <w14:textFill>
                  <w14:solidFill>
                    <w14:schemeClr w14:val="tx1">
                      <w14:lumMod w14:val="95000"/>
                      <w14:lumOff w14:val="5000"/>
                    </w14:schemeClr>
                  </w14:solidFill>
                </w14:textFill>
              </w:rPr>
              <w:t>10L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硝酸盐氮</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10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bCs/>
                <w:color w:val="0D0D0D" w:themeColor="text1" w:themeTint="F2"/>
                <w:sz w:val="24"/>
                <w:szCs w:val="24"/>
                <w14:textFill>
                  <w14:solidFill>
                    <w14:schemeClr w14:val="tx1">
                      <w14:lumMod w14:val="95000"/>
                      <w14:lumOff w14:val="5000"/>
                    </w14:schemeClr>
                  </w14:solidFill>
                </w14:textFill>
              </w:rPr>
              <w:t>0.02L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0.3</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bCs/>
                <w:color w:val="0D0D0D" w:themeColor="text1" w:themeTint="F2"/>
                <w:sz w:val="24"/>
                <w:szCs w:val="24"/>
                <w14:textFill>
                  <w14:solidFill>
                    <w14:schemeClr w14:val="tx1">
                      <w14:lumMod w14:val="95000"/>
                      <w14:lumOff w14:val="5000"/>
                    </w14:schemeClr>
                  </w14:solidFill>
                </w14:textFill>
              </w:rPr>
              <w:t>0.03L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0.1</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bCs/>
                <w:color w:val="0D0D0D" w:themeColor="text1" w:themeTint="F2"/>
                <w:sz w:val="24"/>
                <w:szCs w:val="24"/>
                <w14:textFill>
                  <w14:solidFill>
                    <w14:schemeClr w14:val="tx1">
                      <w14:lumMod w14:val="95000"/>
                      <w14:lumOff w14:val="5000"/>
                    </w14:schemeClr>
                  </w14:solidFill>
                </w14:textFill>
              </w:rPr>
              <w:t>0.02</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根据大河镇白马水库常规监测水质功能类别评价结果，结合大河镇白马水库流域现状主要污染源，选取选取pH、溶解氧、高锰酸盐指数、化学需氧量（COD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项指标进行单因子指数法水质评价。大河镇白马水库水质按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标准和集中式饮用水地表水源地补充项目标准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-6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4194"/>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644" w:type="dxa"/>
            <w:shd w:val="clear" w:color="auto" w:fill="BEBEBE" w:themeFill="background1" w:themeFillShade="BF"/>
            <w:noWrap/>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194" w:type="dxa"/>
            <w:shd w:val="clear" w:color="auto" w:fill="BEBEBE" w:themeFill="background1" w:themeFillShade="BF"/>
            <w:noWrap/>
            <w:vAlign w:val="center"/>
          </w:tcPr>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812" w:type="dxa"/>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381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所有指标单因子评价指数均小于1，即达到</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水质标准。总氮的监测值为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0.99mg/L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评价指数为0.99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为主要污染物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因子；pH值、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溶解氧和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的单因子评价指数分别为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和0.67，大于0.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为潜在污染因子。</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rFonts w:hint="eastAsia"/>
          <w:color w:val="0D0D0D" w:themeColor="text1" w:themeTint="F2"/>
          <w:sz w:val="28"/>
          <w14:textFill>
            <w14:solidFill>
              <w14:schemeClr w14:val="tx1">
                <w14:lumMod w14:val="95000"/>
                <w14:lumOff w14:val="5000"/>
              </w14:schemeClr>
            </w14:solidFill>
          </w14:textFill>
        </w:rPr>
        <w:t>2.6.3.3</w:t>
      </w:r>
      <w:r>
        <w:rPr>
          <w:color w:val="0D0D0D" w:themeColor="text1" w:themeTint="F2"/>
          <w:sz w:val="28"/>
          <w14:textFill>
            <w14:solidFill>
              <w14:schemeClr w14:val="tx1">
                <w14:lumMod w14:val="95000"/>
                <w14:lumOff w14:val="5000"/>
              </w14:schemeClr>
            </w14:solidFill>
          </w14:textFill>
        </w:rPr>
        <w:t>水库营养状态评价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按照水库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营养状态评价模式，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大河镇白马水库2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评价分数均低于50，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34.31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，处于中营养状态，从营养状态评价水库水质良好。大河镇白马水库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营养状态评价情况见表2.6-7。</w:t>
      </w:r>
    </w:p>
    <w:p>
      <w:pPr>
        <w:adjustRightInd w:val="0"/>
        <w:snapToGrid w:val="0"/>
        <w:jc w:val="center"/>
        <w:outlineLvl w:val="5"/>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表2.6-7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大河镇白马水库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营养状态评价汇总表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6"/>
        <w:gridCol w:w="3586"/>
        <w:gridCol w:w="358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Merge w:val="restart"/>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评价参数</w:t>
            </w:r>
          </w:p>
        </w:tc>
        <w:tc>
          <w:tcPr>
            <w:tcW w:w="35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3588"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营养状态指数（TLI</w:t>
            </w:r>
            <w:r>
              <w:rPr>
                <w:rFonts w:ascii="Times New Roman" w:hAnsi="Times New Roman" w:eastAsia="仿宋" w:cs="Times New Roman"/>
                <w:b/>
                <w:color w:val="0D0D0D" w:themeColor="text1" w:themeTint="F2"/>
                <w:sz w:val="24"/>
                <w:szCs w:val="24"/>
                <w:vertAlign w:val="subscript"/>
                <w14:textFill>
                  <w14:solidFill>
                    <w14:schemeClr w14:val="tx1">
                      <w14:lumMod w14:val="95000"/>
                      <w14:lumOff w14:val="5000"/>
                    </w14:schemeClr>
                  </w14:solidFill>
                </w14:textFill>
              </w:rPr>
              <w:t>j</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Merge w:val="continue"/>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35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3588"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透明度(cm)</w:t>
            </w:r>
          </w:p>
        </w:tc>
        <w:tc>
          <w:tcPr>
            <w:tcW w:w="35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135</w:t>
            </w:r>
          </w:p>
        </w:tc>
        <w:tc>
          <w:tcPr>
            <w:tcW w:w="3588"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叶绿素a (mg/m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0.002L</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总氮(mg/L)</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0.99</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9.73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总磷(mg/L)</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0.015</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4.91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高锰酸盐指数(mg/L)</w:t>
            </w:r>
          </w:p>
        </w:tc>
        <w:tc>
          <w:tcPr>
            <w:tcW w:w="35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综合指数</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34.31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营养状态分级</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中营养化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定性评价</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良好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650" w:type="dxa"/>
            <w:gridSpan w:val="3"/>
            <w:vAlign w:val="center"/>
          </w:tcPr>
          <w:p>
            <w:pPr>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.4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大河镇白马水库各项监测指标均达到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集中式饮用水地表水源地补充项目标准限值要求。所有指标单因子评价指数均小于1，即达到III类水质标准。总氮的监测值为0.99mg/L，其单因子评价指数为0.99，大于0.8，为主要污染物因子；pH值、溶解氧和高锰酸盐指数的单因子评价指数分别为0.6、0.71和0.67，大于0.6，为潜在污染因子。各指标分析如下。</w:t>
      </w:r>
    </w:p>
    <w:p>
      <w:pPr>
        <w:pStyle w:val="55"/>
        <w:widowControl/>
        <w:numPr>
          <w:ilvl w:val="0"/>
          <w:numId w:val="2"/>
        </w:numPr>
        <w:adjustRightInd w:val="0"/>
        <w:snapToGrid w:val="0"/>
        <w:spacing w:line="360" w:lineRule="auto"/>
        <w:ind w:firstLineChars="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总氮</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根据大河镇白马水库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次水质监测结果，总氮监测值在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0.99mg/L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评价指数为0.99，大于0.8，为主要污染物因子。总氮是大河镇白马水库的主要污染物。水环境中，总氮主要包括硝酸盐氮、亚硝酸盐氮、氨氮等，其中氨氮主要来源于生活污水、畜禽粪便和水土流失，硝酸盐氮主要来源于种植面源（化肥）和水土流失。</w:t>
      </w:r>
    </w:p>
    <w:p>
      <w:pPr>
        <w:widowControl/>
        <w:adjustRightInd w:val="0"/>
        <w:snapToGrid w:val="0"/>
        <w:spacing w:line="360" w:lineRule="auto"/>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（2）pH值、溶解氧和高锰酸盐指数</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月监测结果表明，大河镇白马水库pH值为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7.98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，水库水质呈弱碱性。pH值的单因子评价指数为0.6，大于0.6，为潜在污染因子。2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月的监测数据，溶解氧监测结果为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6.4mg/L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，单因子评价指数为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0.71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，但满足Ⅲ</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水质标准，不影响水库水源饮用功能。高锰酸盐指数的单因子评价指数为0.67，大于0.6，为潜在污染因子。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综上分析，总氮为大河镇白马水库的主要污染物，pH值、溶解氧和高锰酸盐指数为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潜在污染物。</w:t>
      </w:r>
    </w:p>
    <w:p>
      <w:pPr>
        <w:pStyle w:val="3"/>
        <w:rPr>
          <w:color w:val="0D0D0D" w:themeColor="text1" w:themeTint="F2"/>
          <w14:textFill>
            <w14:solidFill>
              <w14:schemeClr w14:val="tx1">
                <w14:lumMod w14:val="95000"/>
                <w14:lumOff w14:val="5000"/>
              </w14:schemeClr>
            </w14:solidFill>
          </w14:textFill>
        </w:rPr>
      </w:pPr>
      <w:bookmarkStart w:id="70" w:name="_Toc12456067"/>
      <w:bookmarkStart w:id="71" w:name="_Toc10729980"/>
      <w:bookmarkStart w:id="72" w:name="_Toc27507069"/>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70"/>
      <w:bookmarkEnd w:id="71"/>
      <w:bookmarkEnd w:id="7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3" w:name="_Hlk1792902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通过现场踏勘及资料收集，对白马水库水源地周边及上游范围内的污染源进行调查，从点源、面源、流动源进行分析。</w:t>
      </w:r>
    </w:p>
    <w:bookmarkEnd w:id="73"/>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4" w:name="_Toc25679061"/>
      <w:bookmarkStart w:id="75" w:name="_Toc27507070"/>
      <w:bookmarkStart w:id="76" w:name="_Toc18506526"/>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74"/>
      <w:bookmarkEnd w:id="75"/>
      <w:bookmarkEnd w:id="7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7"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白马水库水源地保护区范围内未发现工业企业建设项目存在，无城镇生活污水排放口，也无规模化畜禽养殖场（小区）等点源存在。根据调查了解，白马水库一级保护区内目前有2个农家乐存在，其中福人居农家乐位于白马水库西侧，规模在100个餐位；白马山庄位于白马水库南侧，规模在100个餐位。一级保护区内的农家乐产生生活污水及生活垃圾等对水库水质造成一定的污染。</w:t>
      </w:r>
    </w:p>
    <w:p>
      <w:pPr>
        <w:widowControl/>
        <w:jc w:val="center"/>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w:pPr>
      <w:r>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w:drawing>
          <wp:inline distT="0" distB="0" distL="0" distR="0">
            <wp:extent cx="4741545" cy="3707130"/>
            <wp:effectExtent l="0" t="0" r="1905" b="7620"/>
            <wp:docPr id="3" name="图片 3" descr="C:\Users\Administrator\AppData\Roaming\Tencent\Users\925377262\QQ\WinTemp\RichOle\CPR[9T0I8R_~D@(IXU6Z1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925377262\QQ\WinTemp\RichOle\CPR[9T0I8R_~D@(IXU6Z14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43320" cy="3708703"/>
                    </a:xfrm>
                    <a:prstGeom prst="rect">
                      <a:avLst/>
                    </a:prstGeom>
                    <a:noFill/>
                    <a:ln>
                      <a:noFill/>
                    </a:ln>
                  </pic:spPr>
                </pic:pic>
              </a:graphicData>
            </a:graphic>
          </wp:inline>
        </w:drawing>
      </w:r>
    </w:p>
    <w:p>
      <w:pPr>
        <w:widowControl/>
        <w:jc w:val="center"/>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w:pPr>
      <w:r>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w:drawing>
          <wp:inline distT="0" distB="0" distL="0" distR="0">
            <wp:extent cx="4720590" cy="3705225"/>
            <wp:effectExtent l="0" t="0" r="3810" b="0"/>
            <wp:docPr id="4" name="图片 4" descr="C:\Users\Administrator\AppData\Roaming\Tencent\Users\925377262\QQ\WinTemp\RichOle\B2]8[MI$DS1%]0C{_WAAT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Tencent\Users\925377262\QQ\WinTemp\RichOle\B2]8[MI$DS1%]0C{_WAATN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7045" cy="3709833"/>
                    </a:xfrm>
                    <a:prstGeom prst="rect">
                      <a:avLst/>
                    </a:prstGeom>
                    <a:noFill/>
                    <a:ln>
                      <a:noFill/>
                    </a:ln>
                  </pic:spPr>
                </pic:pic>
              </a:graphicData>
            </a:graphic>
          </wp:inline>
        </w:drawing>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图2.7-1  白马水库一级保护区范围内农家乐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采用餐饮业排污系数法核算白马水库一级保护区内2个农家乐污水、垃圾及污染物排放量。参考第一次全国污染源普查中云南区域（划分为第五区）的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污染物排放系数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，并根据白马水库保护区内农家乐餐位规模、污水处理方式选择排放系数，具体系数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餐饮业</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污水排污系数</w:t>
      </w:r>
    </w:p>
    <w:tbl>
      <w:tblPr>
        <w:tblStyle w:val="44"/>
        <w:tblW w:w="106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3"/>
        <w:gridCol w:w="1420"/>
        <w:gridCol w:w="1701"/>
        <w:gridCol w:w="1559"/>
        <w:gridCol w:w="1634"/>
        <w:gridCol w:w="1557"/>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193"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指标</w:t>
            </w:r>
          </w:p>
        </w:tc>
        <w:tc>
          <w:tcPr>
            <w:tcW w:w="1420"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污水量</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c>
          <w:tcPr>
            <w:tcW w:w="170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量</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kg/餐位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c>
          <w:tcPr>
            <w:tcW w:w="155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c>
          <w:tcPr>
            <w:tcW w:w="163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c>
          <w:tcPr>
            <w:tcW w:w="155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c>
          <w:tcPr>
            <w:tcW w:w="155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193"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420"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0.09</w:t>
            </w:r>
          </w:p>
        </w:tc>
        <w:tc>
          <w:tcPr>
            <w:tcW w:w="170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0.46</w:t>
            </w:r>
          </w:p>
        </w:tc>
        <w:tc>
          <w:tcPr>
            <w:tcW w:w="155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144</w:t>
            </w:r>
          </w:p>
        </w:tc>
        <w:tc>
          <w:tcPr>
            <w:tcW w:w="16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1.43</w:t>
            </w:r>
          </w:p>
        </w:tc>
        <w:tc>
          <w:tcPr>
            <w:tcW w:w="1557"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3.04</w:t>
            </w:r>
          </w:p>
        </w:tc>
        <w:tc>
          <w:tcPr>
            <w:tcW w:w="155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0.69</w:t>
            </w:r>
          </w:p>
        </w:tc>
      </w:tr>
    </w:tbl>
    <w:p>
      <w:pPr>
        <w:widowControl/>
        <w:adjustRightInd w:val="0"/>
        <w:snapToGrid w:val="0"/>
        <w:spacing w:line="360" w:lineRule="auto"/>
        <w:ind w:firstLine="480" w:firstLineChars="200"/>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注：餐位数≤100个为小型，餐饮类型为正餐，排放系数选择预处理条件下。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根据保护区范围内2个农家乐餐饮规模及排污系数计算，白马水库保护区范围内的农家乐污水、垃圾、化学需氧量、氨氮、总氮、总磷排放量分别为6570.00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33.58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10.512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0.104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、0.222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0.050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t/a。如下表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所示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农家乐</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污水</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、垃圾及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污染物排放量</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0"/>
        <w:gridCol w:w="940"/>
        <w:gridCol w:w="1104"/>
        <w:gridCol w:w="1104"/>
        <w:gridCol w:w="1104"/>
        <w:gridCol w:w="1104"/>
        <w:gridCol w:w="1104"/>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1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270"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农家乐</w:t>
            </w:r>
          </w:p>
        </w:tc>
        <w:tc>
          <w:tcPr>
            <w:tcW w:w="940"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餐位</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个</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6"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1270"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福人居</w:t>
            </w:r>
          </w:p>
        </w:tc>
        <w:tc>
          <w:tcPr>
            <w:tcW w:w="940"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100</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3285.00</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16.79</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5.256</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0.052</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0.111</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70"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白马山庄</w:t>
            </w:r>
          </w:p>
        </w:tc>
        <w:tc>
          <w:tcPr>
            <w:tcW w:w="940"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100</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3285.00</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16.79</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5.256</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0.052</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0.111</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6"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70"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940"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200</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6570.00</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33.58</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10.512</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0.104</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0.222</w:t>
            </w:r>
          </w:p>
        </w:tc>
        <w:tc>
          <w:tcPr>
            <w:tcW w:w="1104"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0.050</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8" w:name="_Toc18506527"/>
      <w:bookmarkStart w:id="79" w:name="_Toc25679062"/>
      <w:bookmarkStart w:id="80" w:name="_Toc27507071"/>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78"/>
      <w:bookmarkEnd w:id="79"/>
      <w:bookmarkEnd w:id="80"/>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1"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根据调查可知，白马水库水源地保护区范围内面源污染主要由农田种植、水土流失污染组成。</w:t>
      </w:r>
    </w:p>
    <w:bookmarkEnd w:id="81"/>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39.26hm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均为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。耕地种植施用大量的化肥农药，污染物流失对水源地造成污染。白马水库保护区范围内耕地面积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1619"/>
        <w:gridCol w:w="1619"/>
        <w:gridCol w:w="1621"/>
        <w:gridCol w:w="1621"/>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58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619" w:type="dxa"/>
            <w:shd w:val="clear" w:color="auto" w:fill="D8D8D8" w:themeFill="background1" w:themeFillShade="D9"/>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旱地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161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9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0"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2.85</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0.064</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0.035</w:t>
            </w:r>
          </w:p>
        </w:tc>
        <w:tc>
          <w:tcPr>
            <w:tcW w:w="159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0"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36.41</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0.819</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0.057</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0.450</w:t>
            </w:r>
          </w:p>
        </w:tc>
        <w:tc>
          <w:tcPr>
            <w:tcW w:w="159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0"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39.26</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0.883</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0.062</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0.485</w:t>
            </w:r>
          </w:p>
        </w:tc>
        <w:tc>
          <w:tcPr>
            <w:tcW w:w="159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0.056</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.7-4。</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82"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82"/>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307"/>
        <w:gridCol w:w="1108"/>
        <w:gridCol w:w="1112"/>
        <w:gridCol w:w="1309"/>
        <w:gridCol w:w="148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110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111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309"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480"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4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529"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958"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110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111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9"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110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309"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48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0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9"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80"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47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110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111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309"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白马水库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.7-5。</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280"/>
        <w:gridCol w:w="1280"/>
        <w:gridCol w:w="1458"/>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2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310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（2）白马水库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83"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325.22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8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25.27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7.77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299.95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92.23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199.62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66.55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86.40h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28.80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13.93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4.64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无极强烈侵蚀</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1361.35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4427.43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白马水库保护区范围内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1"/>
        <w:gridCol w:w="1276"/>
        <w:gridCol w:w="1843"/>
        <w:gridCol w:w="1558"/>
        <w:gridCol w:w="1561"/>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786"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4864" w:type="dxa"/>
            <w:gridSpan w:val="3"/>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白马水库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786"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56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二级保护区</w:t>
            </w:r>
          </w:p>
        </w:tc>
        <w:tc>
          <w:tcPr>
            <w:tcW w:w="174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56.97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268.26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43"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12.82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12.45</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43"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22.50</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4.64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2127"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44.15</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255.81</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127"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77.50</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95.36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28.66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170.97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64.91</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66.84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14.56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71.83</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32.99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28.08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0.93</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13.00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1050.35</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1427.39</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1361.35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598.35</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3829.08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4427.43</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（3）水土流失污染物入库量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白马水库保护区内水土流失现状，对保护区范围内的土壤氮磷含量进行综合分析，流失土壤中总氮含量取1.32g/kg，总磷含量取19.30mg/kg，化学需氧量含量取2.13%，按照20%的淋溶率计算水土流失污染物入库量。白马水库保护区范围内水土流失污染物入库量，如下表2.7-7。</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白马水库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水土流失入库量估算</w:t>
      </w:r>
    </w:p>
    <w:tbl>
      <w:tblPr>
        <w:tblStyle w:val="44"/>
        <w:tblW w:w="9650"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790"/>
        <w:gridCol w:w="2044"/>
        <w:gridCol w:w="1922"/>
        <w:gridCol w:w="1343"/>
        <w:gridCol w:w="1343"/>
        <w:gridCol w:w="1208"/>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blHeader/>
        </w:trPr>
        <w:tc>
          <w:tcPr>
            <w:tcW w:w="17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204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92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20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1050.35</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598.35</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2.549</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0.158</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1427.39</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3829.08</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16.312</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1.011</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0.015</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2044" w:type="dxa"/>
            <w:vAlign w:val="center"/>
          </w:tcPr>
          <w:p>
            <w:pPr>
              <w:jc w:val="center"/>
              <w:rPr>
                <w:rFonts w:ascii="Times New Roman" w:hAnsi="Times New Roman" w:eastAsia="宋体"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1361.35</w:t>
            </w:r>
          </w:p>
        </w:tc>
        <w:tc>
          <w:tcPr>
            <w:tcW w:w="1922" w:type="dxa"/>
            <w:shd w:val="clear" w:color="auto" w:fill="auto"/>
            <w:vAlign w:val="center"/>
          </w:tcPr>
          <w:p>
            <w:pPr>
              <w:jc w:val="center"/>
              <w:rPr>
                <w:rFonts w:ascii="Times New Roman" w:hAnsi="Times New Roman" w:eastAsia="宋体"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4427.43</w:t>
            </w:r>
          </w:p>
        </w:tc>
        <w:tc>
          <w:tcPr>
            <w:tcW w:w="1343" w:type="dxa"/>
            <w:vAlign w:val="center"/>
          </w:tcPr>
          <w:p>
            <w:pPr>
              <w:jc w:val="center"/>
              <w:rPr>
                <w:rFonts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18.861</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1.169</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0.017</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4" w:name="_Toc18506528"/>
      <w:bookmarkStart w:id="85" w:name="_Toc27507072"/>
      <w:bookmarkStart w:id="86" w:name="_Toc256790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84"/>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85"/>
      <w:bookmarkEnd w:id="8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连接乡村的黄白公路和上大公路穿越。其中，一级保护内黄白公路穿越路段长约0.60km、上大公路穿越路段约长0.32km；二级保护区内黄白公路穿越路段长约2.45km、上大公路穿越路段约长0.27km，其他乡村道路0.92km。经调查访谈，保护区内道路</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未发现有运输危险化学品的车辆通行，主要考虑机动车事故泄漏燃油风险。</w:t>
      </w:r>
    </w:p>
    <w:bookmarkEnd w:id="77"/>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7" w:name="_Toc18506529"/>
      <w:bookmarkStart w:id="88" w:name="_Toc25679064"/>
      <w:bookmarkStart w:id="89" w:name="_Toc27507073"/>
      <w:bookmarkStart w:id="90" w:name="_Toc126215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87"/>
      <w:bookmarkEnd w:id="88"/>
      <w:bookmarkEnd w:id="8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，白马水库各级保护区内各类污染源情况见表2.7-8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类型污染源分析，白马水库存在点源和面源，其中化学需氧量、总氮、总磷的主要污染源为面源，贡献率分别为62.26%、88.17%、59.18%；氨氮主要污染源为点源，贡献率为62.80%。白马水库保护区内主要污染源类型为面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从各级保护区分析，二级保护区内化学需氧量、总氮、总磷排放量占比较大，贡献率分别为56.62%、77.87%、54.02%；一级保护区内氨氮排放量占比较大，贡献率为65.50%。</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从各污染源分析，在一级保护区主要为点源、农业种植和水土流失污染，化学需氧量主要污染源是点源、水土流失，贡献率分别达到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80.09%、19.42%；氨氮主要污染源是点源，贡献率为95.88%；总氮主要污染源是点源、水土流失，贡献率分别达到53.46%、38.05%；总磷主要污染源是点源，贡献率为88.77%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二级保护区主要为农业种植、水土流失，化学需氧量主要污染源是水土流失，贡献率为95.22%；氨氮主要污染源是农业种植，贡献率为100%；总氮主要污染源是水土流失、农业种植，贡献率分别达到69.20%、30.80%；总磷主要污染源是农业种植，贡献率为77.83%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综上分析，白马水库保护区范围内水污染防治重点为点源、农业种植和水土流失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2.7-8</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白马水库保护区范围内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851"/>
        <w:gridCol w:w="1656"/>
        <w:gridCol w:w="1498"/>
        <w:gridCol w:w="1658"/>
        <w:gridCol w:w="1299"/>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1416"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85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类型</w:t>
            </w:r>
          </w:p>
        </w:tc>
        <w:tc>
          <w:tcPr>
            <w:tcW w:w="1656"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49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6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299"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272"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restart"/>
            <w:shd w:val="clear" w:color="auto" w:fill="auto"/>
            <w:noWrap/>
            <w:vAlign w:val="center"/>
          </w:tcPr>
          <w:p>
            <w:pPr>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851" w:type="dxa"/>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点源</w:t>
            </w: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农家乐</w:t>
            </w:r>
          </w:p>
        </w:tc>
        <w:tc>
          <w:tcPr>
            <w:tcW w:w="1498" w:type="dxa"/>
            <w:shd w:val="clear" w:color="auto" w:fill="auto"/>
            <w:noWrap/>
            <w:vAlign w:val="bottom"/>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10.512</w:t>
            </w:r>
          </w:p>
        </w:tc>
        <w:tc>
          <w:tcPr>
            <w:tcW w:w="1658" w:type="dxa"/>
            <w:shd w:val="clear" w:color="auto" w:fill="auto"/>
            <w:noWrap/>
            <w:vAlign w:val="bottom"/>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0.104</w:t>
            </w:r>
          </w:p>
        </w:tc>
        <w:tc>
          <w:tcPr>
            <w:tcW w:w="1299" w:type="dxa"/>
            <w:shd w:val="clear" w:color="auto" w:fill="auto"/>
            <w:noWrap/>
            <w:vAlign w:val="bottom"/>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0.222</w:t>
            </w:r>
          </w:p>
        </w:tc>
        <w:tc>
          <w:tcPr>
            <w:tcW w:w="1272" w:type="dxa"/>
            <w:shd w:val="clear" w:color="auto" w:fill="auto"/>
            <w:noWrap/>
            <w:vAlign w:val="bottom"/>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restart"/>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面源</w:t>
            </w: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9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0.064</w:t>
            </w:r>
          </w:p>
        </w:tc>
        <w:tc>
          <w:tcPr>
            <w:tcW w:w="165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c>
          <w:tcPr>
            <w:tcW w:w="1299"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0.035</w:t>
            </w:r>
          </w:p>
        </w:tc>
        <w:tc>
          <w:tcPr>
            <w:tcW w:w="1272"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98"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2.549</w:t>
            </w:r>
          </w:p>
        </w:tc>
        <w:tc>
          <w:tcPr>
            <w:tcW w:w="165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299"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0.158</w:t>
            </w:r>
          </w:p>
        </w:tc>
        <w:tc>
          <w:tcPr>
            <w:tcW w:w="1272"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2507" w:type="dxa"/>
            <w:gridSpan w:val="2"/>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9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13.125</w:t>
            </w:r>
          </w:p>
        </w:tc>
        <w:tc>
          <w:tcPr>
            <w:tcW w:w="16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0.109</w:t>
            </w:r>
          </w:p>
        </w:tc>
        <w:tc>
          <w:tcPr>
            <w:tcW w:w="1299"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0.415</w:t>
            </w:r>
          </w:p>
        </w:tc>
        <w:tc>
          <w:tcPr>
            <w:tcW w:w="127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二级保护区</w:t>
            </w:r>
          </w:p>
        </w:tc>
        <w:tc>
          <w:tcPr>
            <w:tcW w:w="851" w:type="dxa"/>
            <w:vMerge w:val="restart"/>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面源</w:t>
            </w: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9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0.819</w:t>
            </w:r>
          </w:p>
        </w:tc>
        <w:tc>
          <w:tcPr>
            <w:tcW w:w="165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0.057</w:t>
            </w:r>
          </w:p>
        </w:tc>
        <w:tc>
          <w:tcPr>
            <w:tcW w:w="1299"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0.450</w:t>
            </w:r>
          </w:p>
        </w:tc>
        <w:tc>
          <w:tcPr>
            <w:tcW w:w="1272"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98"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16.312</w:t>
            </w:r>
          </w:p>
        </w:tc>
        <w:tc>
          <w:tcPr>
            <w:tcW w:w="165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299"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1.011</w:t>
            </w:r>
          </w:p>
        </w:tc>
        <w:tc>
          <w:tcPr>
            <w:tcW w:w="1272"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9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17.131</w:t>
            </w:r>
          </w:p>
        </w:tc>
        <w:tc>
          <w:tcPr>
            <w:tcW w:w="16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0.057</w:t>
            </w:r>
          </w:p>
        </w:tc>
        <w:tc>
          <w:tcPr>
            <w:tcW w:w="1299"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1.461</w:t>
            </w:r>
          </w:p>
        </w:tc>
        <w:tc>
          <w:tcPr>
            <w:tcW w:w="127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restart"/>
            <w:shd w:val="clear" w:color="auto" w:fill="auto"/>
            <w:noWrap/>
            <w:vAlign w:val="center"/>
          </w:tcPr>
          <w:p>
            <w:pPr>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851" w:type="dxa"/>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点源</w:t>
            </w: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农家乐</w:t>
            </w:r>
          </w:p>
        </w:tc>
        <w:tc>
          <w:tcPr>
            <w:tcW w:w="1498" w:type="dxa"/>
            <w:shd w:val="clear" w:color="auto" w:fill="auto"/>
            <w:noWrap/>
            <w:vAlign w:val="bottom"/>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10.512</w:t>
            </w:r>
          </w:p>
        </w:tc>
        <w:tc>
          <w:tcPr>
            <w:tcW w:w="1658" w:type="dxa"/>
            <w:shd w:val="clear" w:color="auto" w:fill="auto"/>
            <w:noWrap/>
            <w:vAlign w:val="bottom"/>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0.104</w:t>
            </w:r>
          </w:p>
        </w:tc>
        <w:tc>
          <w:tcPr>
            <w:tcW w:w="1299" w:type="dxa"/>
            <w:shd w:val="clear" w:color="auto" w:fill="auto"/>
            <w:noWrap/>
            <w:vAlign w:val="bottom"/>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0.222</w:t>
            </w:r>
          </w:p>
        </w:tc>
        <w:tc>
          <w:tcPr>
            <w:tcW w:w="1272" w:type="dxa"/>
            <w:shd w:val="clear" w:color="auto" w:fill="auto"/>
            <w:noWrap/>
            <w:vAlign w:val="bottom"/>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restart"/>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面源</w:t>
            </w: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9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0.883</w:t>
            </w:r>
          </w:p>
        </w:tc>
        <w:tc>
          <w:tcPr>
            <w:tcW w:w="1658"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0.062</w:t>
            </w:r>
          </w:p>
        </w:tc>
        <w:tc>
          <w:tcPr>
            <w:tcW w:w="1299"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0.485</w:t>
            </w:r>
          </w:p>
        </w:tc>
        <w:tc>
          <w:tcPr>
            <w:tcW w:w="1272"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98"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18.861</w:t>
            </w:r>
          </w:p>
        </w:tc>
        <w:tc>
          <w:tcPr>
            <w:tcW w:w="165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299"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1.169</w:t>
            </w:r>
          </w:p>
        </w:tc>
        <w:tc>
          <w:tcPr>
            <w:tcW w:w="1272"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2507" w:type="dxa"/>
            <w:gridSpan w:val="2"/>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9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30.256</w:t>
            </w:r>
          </w:p>
        </w:tc>
        <w:tc>
          <w:tcPr>
            <w:tcW w:w="16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0.166</w:t>
            </w:r>
          </w:p>
        </w:tc>
        <w:tc>
          <w:tcPr>
            <w:tcW w:w="1299"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1.876</w:t>
            </w:r>
          </w:p>
        </w:tc>
        <w:tc>
          <w:tcPr>
            <w:tcW w:w="127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0.123</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白马水库保护区内不同类型污染源污染物贡献率分布图</w:t>
      </w: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43425" cy="28194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43425" cy="28194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白马水库各级保护区污染物贡献率分布图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399280" cy="2735580"/>
            <wp:effectExtent l="0" t="0" r="127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399784" cy="2736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399280" cy="2735580"/>
            <wp:effectExtent l="0" t="0" r="127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99784" cy="2736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399280" cy="2735580"/>
            <wp:effectExtent l="0" t="0" r="127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99784" cy="27360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白马水库各级保护区内各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8" w:type="default"/>
          <w:pgSz w:w="11906" w:h="16838"/>
          <w:pgMar w:top="1440" w:right="1236" w:bottom="1440" w:left="1236" w:header="851" w:footer="992" w:gutter="0"/>
          <w:pgNumType w:fmt="numberInDash"/>
          <w:cols w:space="0" w:num="1"/>
          <w:docGrid w:type="lines" w:linePitch="312" w:charSpace="0"/>
        </w:sectPr>
      </w:pP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1" w:name="_Toc27507074"/>
      <w:bookmarkStart w:id="92" w:name="_Toc25679065"/>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2.8 饮用水水源地水环境风险分析</w:t>
      </w:r>
      <w:bookmarkEnd w:id="91"/>
      <w:bookmarkEnd w:id="92"/>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白马水库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白马水库饮用水水源地环境风险评价结果</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80"/>
        <w:gridCol w:w="2253"/>
        <w:gridCol w:w="1316"/>
        <w:gridCol w:w="1193"/>
        <w:gridCol w:w="1436"/>
        <w:gridCol w:w="1199"/>
        <w:gridCol w:w="10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1180"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2253"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2509"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2635"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073"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1180"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1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193"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43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199"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073"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193"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1073"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w:t>
            </w:r>
          </w:p>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（5.00%）</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10%~20%（13.57%）</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根据《集中式饮用水水源环境保护指南（试行）》计算，白马水库饮用水水源地固定源环境风险低，</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根据现场调查了解，白马水库一级保护区内存在2个农家乐，农家乐餐位规模均在100位，农家乐运营期间产生的餐饮污水及垃圾对白马水库存在一定程度的污染。</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黄白公路和上大公路穿越。其中，一级保护内黄白公路穿越路段长约0.60km、上大公路穿越路段约长0.32km；二级保护区内黄白公路穿越路段长约2.45km、上大公路穿越路段约长0.27km，其他乡村道路0.92km。</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白马水库保护区范围内流动源总分值为17，</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Rf＞9，应采取风险应急措施，加强水库周边道路车辆通行监管，严格禁止运输危险化学品，限制运输可能对水库水质造成污染的其他物品。</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根据调查，白马水库保护区范围内现状非点源主要有农业种植、水土流失面源污染，具体源强详见2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白马水库保护区范围内耕地面积占比为12.07%，一级保护区、二级保护区均有分布。根据非点源风险值计算，非点源风险值为14，</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白马水库保护区范围内还存在水土流失污染。通过识别环境风险因素，应重点对非点源风险采取应急措施，加快农业面源治理及水土流失治理，降低水源保护区环境风险，保证饮用水水质安全。</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3" w:name="_Toc25679066"/>
      <w:bookmarkStart w:id="94" w:name="_Toc27507075"/>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2.9 饮用水水源保护区规范化建设</w:t>
      </w:r>
      <w:bookmarkEnd w:id="90"/>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现状及存在问题</w:t>
      </w:r>
      <w:bookmarkEnd w:id="93"/>
      <w:bookmarkEnd w:id="94"/>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5" w:name="_Toc12621595"/>
      <w:bookmarkStart w:id="96" w:name="_Toc27507076"/>
      <w:bookmarkStart w:id="97" w:name="_Toc2567906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95"/>
      <w:bookmarkEnd w:id="96"/>
      <w:bookmarkEnd w:id="97"/>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白马水库主管部门为富源县水利水电工程管理站，管理单位为大河镇水务所。</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cs="Times New Roman"/>
          <w:color w:val="0D0D0D" w:themeColor="text1" w:themeTint="F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白马水库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8" w:name="_Toc12621596"/>
      <w:bookmarkStart w:id="99" w:name="_Toc25679068"/>
      <w:bookmarkStart w:id="100" w:name="_Toc2750707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98"/>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99"/>
      <w:bookmarkEnd w:id="100"/>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01"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01"/>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（1）点源污染问题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白马水库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有2个农家乐，分布在水库周边，处于一级保护区。农家乐在运营期间产生的餐饮污水及垃圾未及时有效处理，对水库水质造成污染。</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（2）面源污染问题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白马水库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无农村居民居住及畜禽养殖，但存在农业种植、</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水土流失面源污染。</w:t>
      </w:r>
      <w:bookmarkStart w:id="102" w:name="_Hlk20349201"/>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w:t>
      </w:r>
      <w:bookmarkStart w:id="103"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耕地面积占水库保护区面积的12.07%，</w:t>
      </w:r>
      <w:bookmarkEnd w:id="10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92.23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中度及以上侵蚀面积占水土流失面积的33.45%，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02"/>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04"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）保护区分级划界问题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水库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根据水环境风险源分析，白马水库流动源及非点源环境风险较大，但白马水库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bookmarkEnd w:id="104"/>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（6）存在煤矿采矿权问题</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在白马水库上游径流区范围内、保护区范围外存在龙海煤矿矿权，煤矿矿权与径流区重叠面积27.7hm2。龙海煤矿矿权范围于1979年划定，矿权面积89.68hm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采标高为1940~1600m，井下现开采标高为1700水平。经现场调查核实，龙海煤矿工业场地、井口、办公生活区位于白马水库以北径流区范围外，生产废水和生活污水经煤矿污水处理厂净化后排入下游块泽河，不会进入白马水库径流区，煤矿未在白马水库汇水区内设置排污口。该煤矿自1997年在水库径流区重叠区域地下开采至今，未发生塌陷，地形地貌未发生改变；在白马水库径流区北部边缘地下有断层与白马水库大部分径流区分隔；根据2007年龙海煤矿地质灾害评估报告和水土保持评价报告，均表述龙海煤矿15万吨/年矿井采掘过程对地表可能造成的影响较小。经富源县人民政府会同相关单位和部门协商确定，鉴于大河镇现状无可替代水源，龙海煤矿也未对白马水库水质和水量造成明显影响，白马水库二级保护区范围根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与</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大河镇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乡镇界线划定，保护区范围不与采矿权重叠。但是考虑到部分采矿权与白马水库径流区重叠，应加强龙海煤矿与白马水库径流区重叠区域监管，该区域地表参照水源保护区二级保护区管理，禁止设置煤矿工业场站，禁止向白马水库径流区排放废水，并加强地表塌陷监测。</w:t>
      </w:r>
    </w:p>
    <w:p>
      <w:pPr>
        <w:adjustRightInd w:val="0"/>
        <w:snapToGrid w:val="0"/>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drawing>
          <wp:inline distT="0" distB="0" distL="0" distR="0">
            <wp:extent cx="5666740" cy="6017895"/>
            <wp:effectExtent l="0" t="0" r="0" b="1905"/>
            <wp:docPr id="11" name="图片 11" descr="C:\Users\Administrator\Desktop\白马水库与采矿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白马水库与采矿权.jpg"/>
                    <pic:cNvPicPr>
                      <a:picLocks noChangeAspect="1" noChangeArrowheads="1"/>
                    </pic:cNvPicPr>
                  </pic:nvPicPr>
                  <pic:blipFill>
                    <a:blip r:embed="rId23" cstate="print">
                      <a:extLst>
                        <a:ext uri="{28A0092B-C50C-407E-A947-70E740481C1C}">
                          <a14:useLocalDpi xmlns:a14="http://schemas.microsoft.com/office/drawing/2010/main" val="0"/>
                        </a:ext>
                      </a:extLst>
                    </a:blip>
                    <a:srcRect l="2665" t="8662" r="2665" b="20287"/>
                    <a:stretch>
                      <a:fillRect/>
                    </a:stretch>
                  </pic:blipFill>
                  <pic:spPr>
                    <a:xfrm>
                      <a:off x="0" y="0"/>
                      <a:ext cx="5671375" cy="6022511"/>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2.9</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白马水库保护区范围与龙海煤矿采矿权范围重叠示意图</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05" w:name="_Toc27507078"/>
      <w:bookmarkStart w:id="106" w:name="_Toc20409149"/>
      <w:bookmarkStart w:id="107" w:name="_Toc326180110"/>
      <w:bookmarkStart w:id="108" w:name="_Toc10723878"/>
      <w:bookmarkStart w:id="109" w:name="_Toc12456077"/>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05"/>
      <w:bookmarkEnd w:id="106"/>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0" w:name="_Toc20409150"/>
      <w:bookmarkStart w:id="111" w:name="_Toc27507079"/>
      <w:bookmarkStart w:id="112" w:name="_Toc12621586"/>
      <w:bookmarkStart w:id="113" w:name="_Toc10723880"/>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10"/>
      <w:bookmarkEnd w:id="111"/>
      <w:bookmarkEnd w:id="112"/>
      <w:bookmarkEnd w:id="113"/>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白马水库水源地的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二级保护区，对局部区域，根据实际情况进行微调。</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4" w:name="_Toc530362551"/>
      <w:bookmarkStart w:id="115" w:name="_Toc20409151"/>
      <w:bookmarkStart w:id="116" w:name="_Toc27507080"/>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一级保护区划分</w:t>
      </w:r>
      <w:bookmarkEnd w:id="114"/>
      <w:bookmarkEnd w:id="115"/>
      <w:bookmarkEnd w:id="116"/>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7" w:name="_Toc530362552"/>
      <w:bookmarkStart w:id="118" w:name="_Toc20409152"/>
      <w:bookmarkStart w:id="119" w:name="_Toc27507081"/>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 二级保护区划分</w:t>
      </w:r>
      <w:bookmarkEnd w:id="117"/>
      <w:bookmarkEnd w:id="118"/>
      <w:bookmarkEnd w:id="119"/>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6.3.1.1 </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满足条件的水源地，可采用类比经验法确定二级保护区水域范围。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小型湖泊、中小型水库一级保护区边界外的水域面积设定为二级保护区。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6.3.2.2  采用地形边界法或类比经验法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0" w:name="_Toc10723885"/>
      <w:bookmarkStart w:id="121" w:name="_Toc12621589"/>
      <w:bookmarkStart w:id="122" w:name="_Toc20409153"/>
      <w:bookmarkStart w:id="123" w:name="_Toc27507082"/>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bookmarkEnd w:id="120"/>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1"/>
      <w:bookmarkEnd w:id="122"/>
      <w:bookmarkEnd w:id="123"/>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4" w:name="_Toc20409154"/>
      <w:bookmarkStart w:id="125" w:name="_Toc2750708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一</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4"/>
      <w:bookmarkEnd w:id="125"/>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水</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白马</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1855.64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m，相应库容</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118.13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小型水库。水库水面面积不大，因此将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白马</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1855.64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m以下的全部水域划为一级保护区，面积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0.0952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正常蓄水位外延200m范围，面积为0.4744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0.5696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6" w:name="_Toc20409155"/>
      <w:bookmarkStart w:id="127" w:name="_Toc2750708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二</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6"/>
      <w:bookmarkEnd w:id="12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白马</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白马水库流域范围内除一级保护区的其他区域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2.6826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2.6826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白马</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水库饮用水水源保护区组成</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456"/>
        <w:gridCol w:w="5270"/>
        <w:gridCol w:w="2289"/>
        <w:gridCol w:w="11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912" w:type="dxa"/>
            <w:gridSpan w:val="2"/>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区划</w:t>
            </w:r>
          </w:p>
        </w:tc>
        <w:tc>
          <w:tcPr>
            <w:tcW w:w="5270"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依据HJ 338-2018</w:t>
            </w:r>
          </w:p>
        </w:tc>
        <w:tc>
          <w:tcPr>
            <w:tcW w:w="2289"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控制范围</w:t>
            </w:r>
          </w:p>
        </w:tc>
        <w:tc>
          <w:tcPr>
            <w:tcW w:w="117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270"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tc>
        <w:tc>
          <w:tcPr>
            <w:tcW w:w="228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白马</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1855.64</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0.0952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270"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tc>
        <w:tc>
          <w:tcPr>
            <w:tcW w:w="228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白马</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外延200m范围</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0.4744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71"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0.5696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270"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6.3.1.1  满足条件的水源地，可采用类比经验法确定二级保护区水域范围。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小型湖泊、中小型水库一级保护区边界外的水域面积设定为二级保护区。</w:t>
            </w:r>
          </w:p>
        </w:tc>
        <w:tc>
          <w:tcPr>
            <w:tcW w:w="228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白马</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水库一级保护区边界外无大中型河流，仅为小型溪流，面积并入陆域范围统计。</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270"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6.3.2.2  采用地形边界法或类比经验法</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tc>
        <w:tc>
          <w:tcPr>
            <w:tcW w:w="228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流域分水岭范围内一级保护区外的其他区域</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2.6826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71"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2.6826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71"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3.2522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650" w:type="dxa"/>
            <w:gridSpan w:val="5"/>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8" w:name="_Toc12621593"/>
      <w:bookmarkStart w:id="129" w:name="_Toc20409156"/>
      <w:bookmarkStart w:id="130" w:name="_Toc27507085"/>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保护区定界的</w:t>
      </w:r>
      <w:bookmarkEnd w:id="128"/>
      <w:bookmarkEnd w:id="129"/>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30"/>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（1）为便于开展日常环境管理工作，依据保护区划分的分析、计算结果，结合水源保护区的地形、地标、地物特点，最终确定各级保护区的界线。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（2）充分利用具有永久性的明显标志如水分线、行政区界线、公路、铁路、桥梁、大型建筑物、水库大坝、水工建筑物、河流汊口、输电线、通讯线等标示保护区界线。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（3）最终确定的各级保护区坐标红线图、表，作为政府部门审批的依据，也作为规划国土、环保部门土地开发审批的依据。</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（4）应按照国家规定设置饮用水水源地保护标志。</w:t>
      </w:r>
    </w:p>
    <w:p>
      <w:pPr>
        <w:widowControl/>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31" w:name="_Toc12621597"/>
      <w:bookmarkStart w:id="132" w:name="_Toc25844364"/>
      <w:bookmarkStart w:id="133" w:name="_Toc27507086"/>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31"/>
      <w:bookmarkEnd w:id="132"/>
      <w:bookmarkEnd w:id="133"/>
    </w:p>
    <w:p>
      <w:pPr>
        <w:pStyle w:val="3"/>
        <w:rPr>
          <w:color w:val="0D0D0D" w:themeColor="text1" w:themeTint="F2"/>
          <w14:textFill>
            <w14:solidFill>
              <w14:schemeClr w14:val="tx1">
                <w14:lumMod w14:val="95000"/>
                <w14:lumOff w14:val="5000"/>
              </w14:schemeClr>
            </w14:solidFill>
          </w14:textFill>
        </w:rPr>
      </w:pPr>
      <w:bookmarkStart w:id="134" w:name="_Toc27507087"/>
      <w:bookmarkStart w:id="135" w:name="_Toc25844365"/>
      <w:bookmarkStart w:id="136" w:name="_Toc12621598"/>
      <w:bookmarkStart w:id="137" w:name="_Toc12536221"/>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保护区规范化建设项目投资估算</w:t>
      </w:r>
      <w:bookmarkEnd w:id="134"/>
      <w:bookmarkEnd w:id="135"/>
      <w:bookmarkEnd w:id="13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），结合白马水库水源保护区规范化建设及管理现状、存在问题分析，针对白马水库水源地保护区提出规范化建设项目。</w:t>
      </w:r>
      <w:bookmarkStart w:id="138" w:name="_Toc524596456"/>
    </w:p>
    <w:bookmarkEnd w:id="138"/>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39" w:name="_Toc17982536"/>
      <w:bookmarkStart w:id="140" w:name="_Toc25844366"/>
      <w:bookmarkStart w:id="141" w:name="_Toc27507088"/>
      <w:r>
        <w:rPr>
          <w:rFonts w:hint="eastAsia"/>
          <w:color w:val="0D0D0D" w:themeColor="text1" w:themeTint="F2"/>
          <w:sz w:val="28"/>
          <w:szCs w:val="28"/>
          <w14:textFill>
            <w14:solidFill>
              <w14:schemeClr w14:val="tx1">
                <w14:lumMod w14:val="95000"/>
                <w14:lumOff w14:val="5000"/>
              </w14:schemeClr>
            </w14:solidFill>
          </w14:textFill>
        </w:rPr>
        <w:t>4.1.1 保护区范围划定工程</w:t>
      </w:r>
      <w:bookmarkEnd w:id="139"/>
      <w:bookmarkEnd w:id="140"/>
      <w:bookmarkEnd w:id="141"/>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2" w:name="_Toc452322606"/>
      <w:bookmarkStart w:id="143" w:name="_Toc4787428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2"/>
      <w:bookmarkEnd w:id="143"/>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白马水库一级保护区陆域边界长3237m，根据水库周边林地分布及道路情况，主要沿水库北侧、东侧道路人为活动频繁的区域设置围网，需设围网的边界长约1105m。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22.10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白马水库一级保护区陆域边界长约3237m，陆域边界主要经过林地，隔离防护围网已沿水库道路人类活动的区域设置，因此在一级保护区其它陆域边界设置界桩，以明确一级保护区范围。界桩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。经测算，白马水库一级保护区边界长3237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，共设拐点14个，需投资0.70万元。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白马水库二级保护区陆域边界长约7010m，在二级保护区边界设置界桩，以明确二级保护区范围。界桩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。经测算，白马水库二级保护区边界长7010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，共设拐点14个，需投资0.70万元。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在进出白马水库保护区的道路沿线设置交通警示牌，共计10块；同时，为加强宣传保护，在保护区内大坝处进出道路口设置水源保护宣传牌，共计2块。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设置1块水库大坝告示碑，钢筋混凝土，200cm×50cm×250cm，估价2万元/座。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538"/>
        <w:gridCol w:w="1334"/>
        <w:gridCol w:w="1399"/>
        <w:gridCol w:w="182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blHeader/>
        </w:trPr>
        <w:tc>
          <w:tcPr>
            <w:tcW w:w="1221"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水库</w:t>
            </w:r>
          </w:p>
        </w:tc>
        <w:tc>
          <w:tcPr>
            <w:tcW w:w="2538"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334"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c>
          <w:tcPr>
            <w:tcW w:w="1399"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822"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3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1"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白马水库</w:t>
            </w: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3237</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1105m</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级保护区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3237</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7010</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大坝告示牌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7093"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31.50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4" w:name="_Toc21795771"/>
      <w:bookmarkStart w:id="145" w:name="_Toc25844367"/>
      <w:bookmarkStart w:id="146" w:name="_Toc27507089"/>
      <w:bookmarkStart w:id="147" w:name="_Toc524596461"/>
      <w:bookmarkStart w:id="148" w:name="_Toc17982538"/>
      <w:r>
        <w:rPr>
          <w:rFonts w:hint="eastAsia"/>
          <w:color w:val="0D0D0D" w:themeColor="text1" w:themeTint="F2"/>
          <w:sz w:val="28"/>
          <w:szCs w:val="28"/>
          <w14:textFill>
            <w14:solidFill>
              <w14:schemeClr w14:val="tx1">
                <w14:lumMod w14:val="95000"/>
                <w14:lumOff w14:val="5000"/>
              </w14:schemeClr>
            </w14:solidFill>
          </w14:textFill>
        </w:rPr>
        <w:t>4.1.2 保护区整治工程</w:t>
      </w:r>
      <w:bookmarkEnd w:id="144"/>
      <w:bookmarkEnd w:id="145"/>
      <w:bookmarkEnd w:id="146"/>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49" w:name="_Toc524596458"/>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根据技术规范要求，对一级保护区、二级保护区进行污染整治。一级保护区内不存在与供水设施和保护水源无关的建设项目，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整治点源、控制非点源、管理流动源，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实行科学种植和非点源污染防治。</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白马水库保护区划分结果，一级保护区内无居民居住、畜禽养殖，但存在少量耕地及农家乐；二级保护区内也无居民居住、畜禽养殖，但有大片旱地。因此主要对保护区内耕地种植面源及农家乐点源污染实施控制工程；并加强保护区内道路交通污染和风险防控。</w:t>
      </w:r>
    </w:p>
    <w:bookmarkEnd w:id="149"/>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50"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现状有耕地约42.75亩（2.85hm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约6.84万元。</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2）点源污染控制工程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一级保护区内有2个农家乐。根据《关于答复全国集中式饮用水水源地环境保护专项行动有关问题的函》（环办环监函〔2018〕767号）中的要求“饮用水水源保护区内农家乐、宾馆酒店、餐饮娱乐等项目应拆除或关闭”，白马水库一级保护区内的福人居、白马山庄应及时关闭、拆除，并进行植被恢复。</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二级保护区内25°以上坡耕地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逐步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。根据统计分析，白马水库二级保护区2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约11.51亩（0.77hm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486"/>
        <w:gridCol w:w="1673"/>
        <w:gridCol w:w="1448"/>
        <w:gridCol w:w="1285"/>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780" w:type="dxa"/>
            <w:vMerge w:val="restart"/>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农用地类型</w:t>
            </w:r>
          </w:p>
        </w:tc>
        <w:tc>
          <w:tcPr>
            <w:tcW w:w="1486"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121" w:type="dxa"/>
            <w:gridSpan w:val="2"/>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退耕还林面积</w:t>
            </w:r>
          </w:p>
        </w:tc>
        <w:tc>
          <w:tcPr>
            <w:tcW w:w="128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9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780" w:type="dxa"/>
            <w:vMerge w:val="continue"/>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48"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8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9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780"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36.41</w:t>
            </w:r>
          </w:p>
        </w:tc>
        <w:tc>
          <w:tcPr>
            <w:tcW w:w="167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0.77</w:t>
            </w:r>
          </w:p>
        </w:tc>
        <w:tc>
          <w:tcPr>
            <w:tcW w:w="144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11.51</w:t>
            </w:r>
          </w:p>
        </w:tc>
        <w:tc>
          <w:tcPr>
            <w:tcW w:w="1285"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19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1.84</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。根据二级保护区农田的实际情况，当地测土配方施肥技术推广和示范费用补助1500元/hm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白马水库二级保护区对近期保留的旱地进行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35.64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（不含退耕还林0.77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5.35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602"/>
        <w:gridCol w:w="3125"/>
        <w:gridCol w:w="1600"/>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30"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602"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312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600"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39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30"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602"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312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600"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39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3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602"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36.41</w:t>
            </w:r>
          </w:p>
        </w:tc>
        <w:tc>
          <w:tcPr>
            <w:tcW w:w="312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35.64</w:t>
            </w:r>
          </w:p>
        </w:tc>
        <w:tc>
          <w:tcPr>
            <w:tcW w:w="160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393"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5.35</w:t>
            </w:r>
          </w:p>
        </w:tc>
      </w:tr>
    </w:tbl>
    <w:p>
      <w:pPr>
        <w:adjustRightInd w:val="0"/>
        <w:snapToGrid w:val="0"/>
        <w:spacing w:before="156" w:beforeLines="50" w:line="360" w:lineRule="auto"/>
        <w:ind w:firstLine="562"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（3）交通污染和风险控制</w:t>
      </w:r>
      <w:bookmarkEnd w:id="150"/>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连接乡村的黄白公路和上大公路穿越。其中，一级保护内黄白公路穿越路段长约0.60km、上大公路穿越路段约长0.32km；二级保护区内黄白公路穿越路段长约2.45km、上大公路穿越路段约长0.27km，其他乡村道路0.92km，二级保护区路段主要穿越林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为防止和杜绝保护区沿岸道路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车辆通过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带来的污染和运输事故带来的污染隐患，</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在进入保护区路段设置饮用水源保护区交通安全标志，</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，规划</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；同时，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需设置一级保护区路段截排水沟，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210"/>
        <w:gridCol w:w="1247"/>
        <w:gridCol w:w="1834"/>
        <w:gridCol w:w="1376"/>
        <w:gridCol w:w="1247"/>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792"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210" w:type="dxa"/>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公路名称</w:t>
            </w:r>
          </w:p>
        </w:tc>
        <w:tc>
          <w:tcPr>
            <w:tcW w:w="1247"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834"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拟采取防护措施</w:t>
            </w:r>
          </w:p>
        </w:tc>
        <w:tc>
          <w:tcPr>
            <w:tcW w:w="1376"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247"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944"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2" w:type="dxa"/>
            <w:vMerge w:val="restart"/>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1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黄白公路</w:t>
            </w:r>
          </w:p>
        </w:tc>
        <w:tc>
          <w:tcPr>
            <w:tcW w:w="124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0.60</w:t>
            </w:r>
          </w:p>
        </w:tc>
        <w:tc>
          <w:tcPr>
            <w:tcW w:w="1834"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完善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公路截排水调节沟</w:t>
            </w:r>
          </w:p>
        </w:tc>
        <w:tc>
          <w:tcPr>
            <w:tcW w:w="1376"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0.60km</w:t>
            </w:r>
          </w:p>
        </w:tc>
        <w:tc>
          <w:tcPr>
            <w:tcW w:w="1247"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10万元/km</w:t>
            </w:r>
          </w:p>
        </w:tc>
        <w:tc>
          <w:tcPr>
            <w:tcW w:w="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92" w:type="dxa"/>
            <w:vMerge w:val="continue"/>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1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上大公路</w:t>
            </w:r>
          </w:p>
        </w:tc>
        <w:tc>
          <w:tcPr>
            <w:tcW w:w="124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0.32</w:t>
            </w:r>
          </w:p>
        </w:tc>
        <w:tc>
          <w:tcPr>
            <w:tcW w:w="1834"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76"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0.32km</w:t>
            </w:r>
          </w:p>
        </w:tc>
        <w:tc>
          <w:tcPr>
            <w:tcW w:w="1247"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3.20</w:t>
            </w:r>
          </w:p>
        </w:tc>
      </w:tr>
    </w:tbl>
    <w:p>
      <w:pPr>
        <w:adjustRightInd w:val="0"/>
        <w:snapToGrid w:val="0"/>
        <w:spacing w:before="156" w:beforeLines="50"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51" w:name="_Toc25844368"/>
      <w:bookmarkStart w:id="152" w:name="_Toc27507090"/>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）煤矿采矿权风险防控工程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白马水库饮用水水源保护区内未涉及龙海煤矿采矿权，但龙海煤矿部分采矿权与白马水库径流区重叠，为确保水库水量和水质安全，防范环境污染风险，应加强对重叠区域的监管，</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该区域地表参照水源保护区二级保护区管理，禁止设置煤矿工业场站，禁止向白马水库径流区排放废水，并加强地表塌陷监测。</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8"/>
          <w14:textFill>
            <w14:solidFill>
              <w14:schemeClr w14:val="tx1">
                <w14:lumMod w14:val="95000"/>
                <w14:lumOff w14:val="5000"/>
              </w14:schemeClr>
            </w14:solidFill>
          </w14:textFill>
        </w:rPr>
        <w:t xml:space="preserve">4.1.3 </w:t>
      </w:r>
      <w:r>
        <w:rPr>
          <w:color w:val="0D0D0D" w:themeColor="text1" w:themeTint="F2"/>
          <w:sz w:val="28"/>
          <w:szCs w:val="28"/>
          <w14:textFill>
            <w14:solidFill>
              <w14:schemeClr w14:val="tx1">
                <w14:lumMod w14:val="95000"/>
                <w14:lumOff w14:val="5000"/>
              </w14:schemeClr>
            </w14:solidFill>
          </w14:textFill>
        </w:rPr>
        <w:t>生态恢复与建设工程</w:t>
      </w:r>
      <w:bookmarkEnd w:id="147"/>
      <w:bookmarkEnd w:id="148"/>
      <w:bookmarkEnd w:id="151"/>
      <w:bookmarkEnd w:id="152"/>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针对白马水库，主要实施人工造林及水土流失治理工程。</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对白马水库一级保护区内全部退耕地42.75亩，二级保护区25°以上坡耕地11.51亩退耕地实施人工造林。投资以0.15万元/亩计。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486"/>
        <w:gridCol w:w="1673"/>
        <w:gridCol w:w="1604"/>
        <w:gridCol w:w="1446"/>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779"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277"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779"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04"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2.85</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2.85</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42.75</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36.41</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0.77</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11.51</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48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39.26</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3.62</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54.26</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8.14</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白马水库对一级保护区内流失面积15.49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、二级保护区内流失面积84.07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44.55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3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28"/>
        <w:gridCol w:w="1981"/>
        <w:gridCol w:w="1785"/>
        <w:gridCol w:w="1276"/>
        <w:gridCol w:w="28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728" w:type="dxa"/>
            <w:vMerge w:val="restart"/>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现状流失面积</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治理面积</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728" w:type="dxa"/>
            <w:vMerge w:val="continue"/>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44.15</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15.49</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7.75</w:t>
            </w:r>
          </w:p>
        </w:tc>
        <w:tc>
          <w:tcPr>
            <w:tcW w:w="2880"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255.81</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84.07</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42.03</w:t>
            </w:r>
          </w:p>
        </w:tc>
        <w:tc>
          <w:tcPr>
            <w:tcW w:w="2880"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299.95</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99.56</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49.78</w:t>
            </w:r>
          </w:p>
        </w:tc>
        <w:tc>
          <w:tcPr>
            <w:tcW w:w="2880"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3" w:name="_Toc25844369"/>
      <w:bookmarkStart w:id="154" w:name="_Toc27507091"/>
      <w:bookmarkStart w:id="155" w:name="_Toc17982539"/>
      <w:r>
        <w:rPr>
          <w:rFonts w:hint="eastAsia"/>
          <w:color w:val="0D0D0D" w:themeColor="text1" w:themeTint="F2"/>
          <w:sz w:val="28"/>
          <w:szCs w:val="28"/>
          <w14:textFill>
            <w14:solidFill>
              <w14:schemeClr w14:val="tx1">
                <w14:lumMod w14:val="95000"/>
                <w14:lumOff w14:val="5000"/>
              </w14:schemeClr>
            </w14:solidFill>
          </w14:textFill>
        </w:rPr>
        <w:t>4.1.4 管理能力建设工程</w:t>
      </w:r>
      <w:bookmarkEnd w:id="153"/>
      <w:bookmarkEnd w:id="154"/>
      <w:bookmarkEnd w:id="155"/>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需加强水源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2503"/>
        <w:gridCol w:w="2171"/>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92"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2171"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2387"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89"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《地表水环境质量标准》（GB3838-2002）</w:t>
            </w: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24项基本项目和5项补充项目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89"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80项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特定项目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白马水库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开展水源保护区环境监管，定期巡查水库保护区，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严禁畜禽放牧、垂钓等可能污染水源的活动，并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项具体工程内容。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167.65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白马水库饮用水水源保护区规范化建设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35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549"/>
        <w:gridCol w:w="7796"/>
        <w:gridCol w:w="1417"/>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54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779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41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592"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白马水库一级保护区内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1105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设立围网，一级保护区陆域边界按拐点设置界桩14个、二级保护区边界设置界桩14个，保护区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块，进出道路口设置水源保护区宣传牌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块，大坝告示牌1块。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31.50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42.75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亩，二级保护区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11.51</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亩实施退耕还林。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8.68</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对二级保护区内旱地进行测土配方施肥技术，有效降低保护区耕地化肥施用量，实施总面积约</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35.64</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5.35</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完善一级保护区内0.92km道路截排水沟。</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9.20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点源污染控制工程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一级保护区内2个农家乐关闭、拆除，并进行植被恢复。</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煤矿采矿权风险防控工程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加强对龙海煤矿部分采矿权与白马水库径流区重叠区域的监管，该区域地表参照水源保护区二级保护区管理，禁止设置煤矿工业场站，禁止向白马水库径流区排放废水，并加强地表塌陷监测。</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县自然资源局、县煤炭局、县水务局、县生态环境局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对白马水库一级保护区内全部耕地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42.75亩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11.51</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亩退耕地实施人工造林。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8.14</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对水源地保护区水土流失面积进行综合治理，同时开展水土流失监测。白马水库一级保护区水土流失治理面积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15.49</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84.07</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49.78</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县生态环境分局、县水务局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白马水库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严格按相关法律法规要求开展水源保护区环境监管，定期巡查水库保护区，定期开展饮用水水源地环境状况评估。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此外，</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加强对龙海煤矿的监督管理。</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1"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合计</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167.65</w:t>
            </w:r>
          </w:p>
        </w:tc>
        <w:tc>
          <w:tcPr>
            <w:tcW w:w="1592"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bookmarkEnd w:id="137"/>
    <w:p>
      <w:pPr>
        <w:pStyle w:val="3"/>
        <w:rPr>
          <w:color w:val="0D0D0D" w:themeColor="text1" w:themeTint="F2"/>
          <w14:textFill>
            <w14:solidFill>
              <w14:schemeClr w14:val="tx1">
                <w14:lumMod w14:val="95000"/>
                <w14:lumOff w14:val="5000"/>
              </w14:schemeClr>
            </w14:solidFill>
          </w14:textFill>
        </w:rPr>
      </w:pPr>
      <w:bookmarkStart w:id="156" w:name="_Toc12536222"/>
      <w:bookmarkStart w:id="157" w:name="_Toc12621603"/>
      <w:bookmarkStart w:id="158" w:name="_Toc27507092"/>
      <w:bookmarkStart w:id="159" w:name="_Toc25844370"/>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 规范化建设目标达标的可行性分析</w:t>
      </w:r>
      <w:bookmarkEnd w:id="156"/>
      <w:bookmarkEnd w:id="157"/>
      <w:bookmarkEnd w:id="158"/>
      <w:bookmarkEnd w:id="159"/>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60" w:name="_Toc169504813"/>
      <w:bookmarkStart w:id="161" w:name="_Toc169506163"/>
      <w:bookmarkStart w:id="162" w:name="_Toc169526926"/>
      <w:bookmarkStart w:id="163" w:name="_Toc299451597"/>
      <w:bookmarkStart w:id="164" w:name="_Toc452322643"/>
      <w:bookmarkStart w:id="165" w:name="_Toc478742873"/>
      <w:bookmarkStart w:id="166" w:name="_Toc17982541"/>
      <w:bookmarkStart w:id="167" w:name="_Toc524596485"/>
      <w:bookmarkStart w:id="168" w:name="_Toc531261192"/>
      <w:bookmarkStart w:id="169" w:name="_Toc25844371"/>
      <w:bookmarkStart w:id="170" w:name="_Toc27507093"/>
      <w:bookmarkStart w:id="171" w:name="_Toc200905568"/>
      <w:r>
        <w:rPr>
          <w:rFonts w:hint="eastAsia"/>
          <w:color w:val="0D0D0D" w:themeColor="text1" w:themeTint="F2"/>
          <w:sz w:val="28"/>
          <w:szCs w:val="28"/>
          <w14:textFill>
            <w14:solidFill>
              <w14:schemeClr w14:val="tx1">
                <w14:lumMod w14:val="95000"/>
                <w14:lumOff w14:val="5000"/>
              </w14:schemeClr>
            </w14:solidFill>
          </w14:textFill>
        </w:rPr>
        <w:t xml:space="preserve">4.2.1 </w:t>
      </w:r>
      <w:r>
        <w:rPr>
          <w:color w:val="0D0D0D" w:themeColor="text1" w:themeTint="F2"/>
          <w:sz w:val="28"/>
          <w:szCs w:val="28"/>
          <w14:textFill>
            <w14:solidFill>
              <w14:schemeClr w14:val="tx1">
                <w14:lumMod w14:val="95000"/>
                <w14:lumOff w14:val="5000"/>
              </w14:schemeClr>
            </w14:solidFill>
          </w14:textFill>
        </w:rPr>
        <w:t>项目投资及预期效果</w:t>
      </w:r>
      <w:bookmarkEnd w:id="160"/>
      <w:bookmarkEnd w:id="161"/>
      <w:bookmarkEnd w:id="162"/>
      <w:bookmarkEnd w:id="163"/>
      <w:bookmarkEnd w:id="164"/>
      <w:bookmarkEnd w:id="165"/>
      <w:bookmarkEnd w:id="166"/>
      <w:bookmarkEnd w:id="167"/>
      <w:bookmarkEnd w:id="168"/>
      <w:bookmarkEnd w:id="169"/>
      <w:bookmarkEnd w:id="170"/>
      <w:bookmarkEnd w:id="171"/>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白马水库饮用水水源保护区规范化建设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167.65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稳定达标</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72" w:name="_Toc27507094"/>
      <w:bookmarkStart w:id="173" w:name="_Toc25844372"/>
      <w:bookmarkStart w:id="174" w:name="_Toc17982542"/>
      <w:bookmarkStart w:id="175" w:name="_Toc531261193"/>
      <w:bookmarkStart w:id="176" w:name="_Toc452322644"/>
      <w:bookmarkStart w:id="177" w:name="_Toc524596486"/>
      <w:bookmarkStart w:id="178" w:name="_Toc478742874"/>
      <w:bookmarkStart w:id="179" w:name="_Toc299451598"/>
      <w:bookmarkStart w:id="180" w:name="_Toc200905569"/>
      <w:bookmarkStart w:id="181" w:name="_Toc169526927"/>
      <w:bookmarkStart w:id="182" w:name="_Toc169506164"/>
      <w:bookmarkStart w:id="183" w:name="_Toc169504814"/>
      <w:r>
        <w:rPr>
          <w:rFonts w:hint="eastAsia"/>
          <w:color w:val="0D0D0D" w:themeColor="text1" w:themeTint="F2"/>
          <w:sz w:val="28"/>
          <w:szCs w:val="28"/>
          <w14:textFill>
            <w14:solidFill>
              <w14:schemeClr w14:val="tx1">
                <w14:lumMod w14:val="95000"/>
                <w14:lumOff w14:val="5000"/>
              </w14:schemeClr>
            </w14:solidFill>
          </w14:textFill>
        </w:rPr>
        <w:t xml:space="preserve">4.2.2 </w:t>
      </w:r>
      <w:r>
        <w:rPr>
          <w:color w:val="0D0D0D" w:themeColor="text1" w:themeTint="F2"/>
          <w:sz w:val="28"/>
          <w:szCs w:val="28"/>
          <w14:textFill>
            <w14:solidFill>
              <w14:schemeClr w14:val="tx1">
                <w14:lumMod w14:val="95000"/>
                <w14:lumOff w14:val="5000"/>
              </w14:schemeClr>
            </w14:solidFill>
          </w14:textFill>
        </w:rPr>
        <w:t>保护区整治方案可行性</w:t>
      </w:r>
      <w:bookmarkEnd w:id="172"/>
      <w:bookmarkEnd w:id="173"/>
      <w:bookmarkEnd w:id="174"/>
      <w:bookmarkEnd w:id="175"/>
      <w:bookmarkEnd w:id="176"/>
      <w:bookmarkEnd w:id="177"/>
      <w:bookmarkEnd w:id="178"/>
      <w:bookmarkEnd w:id="179"/>
      <w:bookmarkEnd w:id="180"/>
      <w:bookmarkEnd w:id="181"/>
      <w:bookmarkEnd w:id="182"/>
      <w:bookmarkEnd w:id="183"/>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4" w:name="_Toc200905570"/>
      <w:bookmarkStart w:id="185" w:name="_Toc299451599"/>
      <w:bookmarkStart w:id="186" w:name="_Toc452322645"/>
      <w:bookmarkStart w:id="187" w:name="_Toc478742875"/>
      <w:bookmarkStart w:id="188" w:name="_Toc52459648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84"/>
      <w:bookmarkEnd w:id="185"/>
      <w:bookmarkEnd w:id="186"/>
      <w:bookmarkEnd w:id="187"/>
      <w:bookmarkEnd w:id="188"/>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，加强交通污染防治，并拆除一级保护区内农家乐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9" w:name="_Toc299451600"/>
      <w:bookmarkStart w:id="190" w:name="_Toc452322646"/>
      <w:bookmarkStart w:id="191" w:name="_Toc478742876"/>
      <w:bookmarkStart w:id="192" w:name="_Toc52459648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二级保护区污染控制工程</w:t>
      </w:r>
      <w:bookmarkEnd w:id="189"/>
      <w:bookmarkEnd w:id="190"/>
      <w:bookmarkEnd w:id="191"/>
      <w:bookmarkEnd w:id="192"/>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通过埋设二级保护区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，在进入二级保护区道路设置标牌，明确二级保护区范围；推广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降低化肥施用量、退耕还林、减少耕地面积等措施对二级保护区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工程，能有效控制二级保护区污染物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3" w:name="_Toc200905571"/>
      <w:bookmarkStart w:id="194" w:name="_Toc299451601"/>
      <w:bookmarkStart w:id="195" w:name="_Toc452322647"/>
      <w:bookmarkStart w:id="196" w:name="_Toc478742877"/>
      <w:bookmarkStart w:id="197" w:name="_Toc52459648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93"/>
      <w:bookmarkEnd w:id="194"/>
      <w:bookmarkEnd w:id="195"/>
      <w:bookmarkEnd w:id="196"/>
      <w:bookmarkEnd w:id="197"/>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和水土流失治理生态恢复建设工程，建设保护水源涵养林和水土保持林，将进一步提高保护区林草覆盖率，降低流域土壤侵蚀强度，从而提高流域水源涵养能力，降低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8" w:name="_Toc299451602"/>
      <w:bookmarkStart w:id="199" w:name="_Toc452322648"/>
      <w:bookmarkStart w:id="200" w:name="_Toc478742878"/>
      <w:bookmarkStart w:id="201" w:name="_Toc52459649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198"/>
      <w:bookmarkEnd w:id="199"/>
      <w:bookmarkEnd w:id="200"/>
      <w:bookmarkEnd w:id="20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饮用水源地，合理调配水资源，实现统一管理提供数据和技术支撑；建设预警监控体系和应急处理体系，防范污染事件，提高处理效率，保障饮用水安全。</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202" w:name="_Toc169504815"/>
      <w:bookmarkStart w:id="203" w:name="_Toc169506165"/>
      <w:bookmarkStart w:id="204" w:name="_Toc169526928"/>
      <w:bookmarkStart w:id="205" w:name="_Toc200905575"/>
      <w:bookmarkStart w:id="206" w:name="_Toc299451603"/>
      <w:bookmarkStart w:id="207" w:name="_Toc452322649"/>
      <w:bookmarkStart w:id="208" w:name="_Toc478742879"/>
      <w:bookmarkStart w:id="209" w:name="_Toc524596491"/>
      <w:bookmarkStart w:id="210" w:name="_Toc531261194"/>
      <w:bookmarkStart w:id="211" w:name="_Toc17982543"/>
      <w:bookmarkStart w:id="212" w:name="_Toc25844373"/>
      <w:bookmarkStart w:id="213" w:name="_Toc27507095"/>
      <w:r>
        <w:rPr>
          <w:rFonts w:hint="eastAsia"/>
          <w:color w:val="0D0D0D" w:themeColor="text1" w:themeTint="F2"/>
          <w:sz w:val="28"/>
          <w:szCs w:val="28"/>
          <w14:textFill>
            <w14:solidFill>
              <w14:schemeClr w14:val="tx1">
                <w14:lumMod w14:val="95000"/>
                <w14:lumOff w14:val="5000"/>
              </w14:schemeClr>
            </w14:solidFill>
          </w14:textFill>
        </w:rPr>
        <w:t xml:space="preserve">4.2.3 </w:t>
      </w:r>
      <w:r>
        <w:rPr>
          <w:color w:val="0D0D0D" w:themeColor="text1" w:themeTint="F2"/>
          <w:sz w:val="28"/>
          <w:szCs w:val="28"/>
          <w14:textFill>
            <w14:solidFill>
              <w14:schemeClr w14:val="tx1">
                <w14:lumMod w14:val="95000"/>
                <w14:lumOff w14:val="5000"/>
              </w14:schemeClr>
            </w14:solidFill>
          </w14:textFill>
        </w:rPr>
        <w:t>饮用水水源地水质目标可达性分析</w:t>
      </w:r>
      <w:bookmarkEnd w:id="202"/>
      <w:bookmarkEnd w:id="203"/>
      <w:bookmarkEnd w:id="204"/>
      <w:bookmarkEnd w:id="205"/>
      <w:bookmarkEnd w:id="206"/>
      <w:bookmarkEnd w:id="207"/>
      <w:bookmarkEnd w:id="208"/>
      <w:bookmarkEnd w:id="209"/>
      <w:bookmarkEnd w:id="210"/>
      <w:bookmarkEnd w:id="211"/>
      <w:bookmarkEnd w:id="212"/>
      <w:bookmarkEnd w:id="213"/>
    </w:p>
    <w:p>
      <w:pPr>
        <w:adjustRightInd w:val="0"/>
        <w:snapToGrid w:val="0"/>
        <w:spacing w:line="360" w:lineRule="auto"/>
        <w:ind w:firstLine="560"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一级保护区内的全部耕地进行退耕还林，实施生态防护工程，二级保护区25°以上坡耕地实施退耕还林，对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的存留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keepNext/>
        <w:keepLines/>
        <w:spacing w:before="340" w:after="330" w:line="578" w:lineRule="auto"/>
        <w:jc w:val="center"/>
        <w:outlineLvl w:val="0"/>
        <w:rPr>
          <w:rFonts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pPr>
      <w:bookmarkStart w:id="214" w:name="_Toc27507096"/>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第五章饮用水水源保护区划分方案、图件及有关说明</w:t>
      </w:r>
      <w:bookmarkEnd w:id="214"/>
      <w:r>
        <w:rPr>
          <w:rFonts w:hint="eastAsia"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t xml:space="preserve"> </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5" w:name="_Toc12621608"/>
      <w:bookmarkStart w:id="216" w:name="_Toc20409173"/>
      <w:bookmarkStart w:id="217" w:name="_Toc27507097"/>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饮用水水源保护区划分方案</w:t>
      </w:r>
      <w:bookmarkEnd w:id="215"/>
      <w:bookmarkEnd w:id="216"/>
      <w:bookmarkEnd w:id="21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bookmarkStart w:id="218" w:name="_Hlk520442120"/>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1855.64m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以下水域，面积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0.0952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外延200m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0.4744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为0.5696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白马</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流域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分水岭</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范围</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内一级保护区外的其他区域，面积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2.6826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饮用水水源保护区由一级保护区和二级保护区组成，总面积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3.2522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bookmarkEnd w:id="218"/>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9" w:name="_Toc12621609"/>
      <w:bookmarkStart w:id="220" w:name="_Toc20409174"/>
      <w:bookmarkStart w:id="221" w:name="_Toc27507098"/>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5.2 饮用水水源保护区划分图件</w:t>
      </w:r>
      <w:bookmarkEnd w:id="219"/>
      <w:bookmarkEnd w:id="220"/>
      <w:bookmarkEnd w:id="221"/>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白马水库饮用水水源地边界主要拐点的经纬度坐标见表5-1、5-2。</w:t>
      </w: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222" w:name="_Hlk529785264"/>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富源县白马</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bookmarkEnd w:id="222"/>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885"/>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96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23.056"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17.234"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22.348"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15.783"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22.523"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9.748"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23.946"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7.517"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17.604"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7.362"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7.049"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1.538"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2.533"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10.348"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2.043"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27.376"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A9</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3.554"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37.458"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A10</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14.457"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36.805"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13.577"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35.113"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20.101"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30.361"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22.352"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24.694"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24.414"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24.925" N</w:t>
            </w:r>
          </w:p>
        </w:tc>
      </w:tr>
    </w:tbl>
    <w:p>
      <w:pPr>
        <w:adjustRightInd w:val="0"/>
        <w:snapToGrid w:val="0"/>
        <w:spacing w:line="360" w:lineRule="auto"/>
        <w:ind w:firstLine="562" w:firstLineChars="20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富源县白马</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884"/>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19.344"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36' 57.270"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8.724"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36' 41.671"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3.998"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36' 42.986"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56.461"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36' 38.230"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37.659"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36' 45.261"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25.998"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36' 31.964"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21.431"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36' 42.167"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B8</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19.514"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4.517"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B9</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22.136"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23.433"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B10</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44.445"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43.144"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56.747"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53.644"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11.926"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58.223"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13.448"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49.126"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17' 15.533"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37' 38.669" N</w:t>
            </w:r>
          </w:p>
        </w:tc>
      </w:tr>
    </w:tbl>
    <w:p>
      <w:pP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widowControl/>
        <w:snapToGrid w:val="0"/>
        <w:spacing w:line="360" w:lineRule="auto"/>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bookmarkEnd w:id="107"/>
    <w:bookmarkEnd w:id="108"/>
    <w:bookmarkEnd w:id="109"/>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23" w:name="_Toc531261196"/>
      <w:bookmarkStart w:id="224" w:name="_Toc27507099"/>
      <w:bookmarkStart w:id="225" w:name="_Toc12621932"/>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23"/>
      <w:bookmarkEnd w:id="224"/>
      <w:bookmarkEnd w:id="225"/>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bookmarkStart w:id="226" w:name="_Toc27507100"/>
      <w:bookmarkStart w:id="227" w:name="_Toc18506561"/>
      <w:r>
        <w:rPr>
          <w:rFonts w:cs="Times New Roman"/>
          <w:color w:val="0D0D0D" w:themeColor="text1" w:themeTint="F2"/>
          <w:sz w:val="28"/>
          <w:szCs w:val="28"/>
          <w14:textFill>
            <w14:solidFill>
              <w14:schemeClr w14:val="tx1">
                <w14:lumMod w14:val="95000"/>
                <w14:lumOff w14:val="5000"/>
              </w14:schemeClr>
            </w14:solidFill>
          </w14:textFill>
        </w:rPr>
        <w:t>附表2 富源县白马水库饮用水水源地基础信息表</w:t>
      </w:r>
      <w:bookmarkEnd w:id="226"/>
      <w:bookmarkEnd w:id="227"/>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白马水库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722"/>
        <w:gridCol w:w="1237"/>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白马水库</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大河镇</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HA0114530325105R0001</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南盘江（西江）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104°17′22"</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25°37′22"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1855.6</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大河镇</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富源县大河镇自来水厂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28" w:name="_Toc10723935"/>
      <w:bookmarkStart w:id="229" w:name="_Toc12621934"/>
      <w:bookmarkStart w:id="230" w:name="_Toc27507101"/>
    </w:p>
    <w:p>
      <w:pPr>
        <w:pStyle w:val="3"/>
        <w:ind w:left="141"/>
        <w:rPr>
          <w:rFonts w:ascii="仿宋" w:hAnsi="仿宋"/>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3</w:t>
      </w:r>
      <w:bookmarkEnd w:id="228"/>
      <w:bookmarkEnd w:id="229"/>
      <w:r>
        <w:rPr>
          <w:rFonts w:hint="eastAsia" w:cs="Times New Roman"/>
          <w:color w:val="0D0D0D" w:themeColor="text1" w:themeTint="F2"/>
          <w:sz w:val="28"/>
          <w:szCs w:val="28"/>
          <w14:textFill>
            <w14:solidFill>
              <w14:schemeClr w14:val="tx1">
                <w14:lumMod w14:val="95000"/>
                <w14:lumOff w14:val="5000"/>
              </w14:schemeClr>
            </w14:solidFill>
          </w14:textFill>
        </w:rPr>
        <w:t xml:space="preserve"> </w:t>
      </w:r>
      <w:r>
        <w:rPr>
          <w:rFonts w:hint="eastAsia" w:ascii="仿宋" w:hAnsi="仿宋"/>
          <w:color w:val="0D0D0D" w:themeColor="text1" w:themeTint="F2"/>
          <w:sz w:val="28"/>
          <w:szCs w:val="28"/>
          <w14:textFill>
            <w14:solidFill>
              <w14:schemeClr w14:val="tx1">
                <w14:lumMod w14:val="95000"/>
                <w14:lumOff w14:val="5000"/>
              </w14:schemeClr>
            </w14:solidFill>
          </w14:textFill>
        </w:rPr>
        <w:t>富源县白马水库集中式饮用水水源保护区划分结果表</w:t>
      </w:r>
      <w:bookmarkEnd w:id="230"/>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白马</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白马水库</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0.5696</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2.6826</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952</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4744</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2.6826</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水域：白马水库正常蓄水位1855.64m以下的全部水域。</w:t>
            </w:r>
          </w:p>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陆域：白马水库正常蓄水位外延200m范围为</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陆域：流域分水岭范围内一级保护区外的其他区域。</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bookmarkStart w:id="231" w:name="_Toc27507102"/>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富源县白马水库饮用水水源地保护区污染源调查表</w:t>
      </w:r>
      <w:bookmarkEnd w:id="231"/>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白马水库</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1134"/>
        <w:gridCol w:w="2297"/>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297"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白马水库</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福人居、白马山庄农家乐</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2.85公顷；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44.15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黄白公路及上大公路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农家乐点源污染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、告示牌、界桩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点源污染控制</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36.41公顷；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255.81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黄白公路及上大公路及其他乡村道路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1.二级保护区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、宣传牌、交通警示牌设置；</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2258955"/>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5 -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861279"/>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54 -</w:t>
        </w:r>
        <w:r>
          <w:fldChar w:fldCharType="end"/>
        </w:r>
      </w:p>
    </w:sdtContent>
  </w:sdt>
  <w:p>
    <w:pPr>
      <w:pStyle w:val="2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abstractNum w:abstractNumId="1">
    <w:nsid w:val="5DEA359A"/>
    <w:multiLevelType w:val="multilevel"/>
    <w:tmpl w:val="5DEA359A"/>
    <w:lvl w:ilvl="0" w:tentative="0">
      <w:start w:val="1"/>
      <w:numFmt w:val="decimal"/>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0BAA"/>
    <w:rsid w:val="00001E03"/>
    <w:rsid w:val="00002B1D"/>
    <w:rsid w:val="000051A7"/>
    <w:rsid w:val="000057B4"/>
    <w:rsid w:val="000057E5"/>
    <w:rsid w:val="00006389"/>
    <w:rsid w:val="00012715"/>
    <w:rsid w:val="000214DD"/>
    <w:rsid w:val="00023B70"/>
    <w:rsid w:val="000245F6"/>
    <w:rsid w:val="00024D03"/>
    <w:rsid w:val="000315A7"/>
    <w:rsid w:val="00032480"/>
    <w:rsid w:val="0003553B"/>
    <w:rsid w:val="000362D7"/>
    <w:rsid w:val="00036A97"/>
    <w:rsid w:val="00041333"/>
    <w:rsid w:val="00042407"/>
    <w:rsid w:val="000439BE"/>
    <w:rsid w:val="00044BEE"/>
    <w:rsid w:val="000453C1"/>
    <w:rsid w:val="0004636E"/>
    <w:rsid w:val="00047106"/>
    <w:rsid w:val="00053EA4"/>
    <w:rsid w:val="00055B7B"/>
    <w:rsid w:val="00055BA1"/>
    <w:rsid w:val="00057724"/>
    <w:rsid w:val="00071E63"/>
    <w:rsid w:val="00073188"/>
    <w:rsid w:val="00073243"/>
    <w:rsid w:val="0008082C"/>
    <w:rsid w:val="00080E3B"/>
    <w:rsid w:val="000857FC"/>
    <w:rsid w:val="000923F8"/>
    <w:rsid w:val="000924F1"/>
    <w:rsid w:val="00092F78"/>
    <w:rsid w:val="000946A3"/>
    <w:rsid w:val="0009497F"/>
    <w:rsid w:val="000A0EB9"/>
    <w:rsid w:val="000A30C6"/>
    <w:rsid w:val="000A42DB"/>
    <w:rsid w:val="000A42F3"/>
    <w:rsid w:val="000B2196"/>
    <w:rsid w:val="000B2A0F"/>
    <w:rsid w:val="000B32DF"/>
    <w:rsid w:val="000B75C5"/>
    <w:rsid w:val="000C4766"/>
    <w:rsid w:val="000D6FD0"/>
    <w:rsid w:val="000E1D72"/>
    <w:rsid w:val="000E5B0E"/>
    <w:rsid w:val="000E6D8A"/>
    <w:rsid w:val="000F0431"/>
    <w:rsid w:val="000F2DDA"/>
    <w:rsid w:val="000F3D90"/>
    <w:rsid w:val="000F51D5"/>
    <w:rsid w:val="000F5740"/>
    <w:rsid w:val="000F724C"/>
    <w:rsid w:val="000F7402"/>
    <w:rsid w:val="00103D7C"/>
    <w:rsid w:val="00104C08"/>
    <w:rsid w:val="00110EEA"/>
    <w:rsid w:val="00117795"/>
    <w:rsid w:val="00130C7D"/>
    <w:rsid w:val="00132BB7"/>
    <w:rsid w:val="00133EF1"/>
    <w:rsid w:val="00134E5A"/>
    <w:rsid w:val="0014035B"/>
    <w:rsid w:val="00142C7C"/>
    <w:rsid w:val="00143B51"/>
    <w:rsid w:val="001450A5"/>
    <w:rsid w:val="001515D1"/>
    <w:rsid w:val="00154210"/>
    <w:rsid w:val="00154E81"/>
    <w:rsid w:val="00160938"/>
    <w:rsid w:val="0016142D"/>
    <w:rsid w:val="0016272A"/>
    <w:rsid w:val="00163FD7"/>
    <w:rsid w:val="001650DD"/>
    <w:rsid w:val="0017193D"/>
    <w:rsid w:val="0017196E"/>
    <w:rsid w:val="00173D56"/>
    <w:rsid w:val="00173E5C"/>
    <w:rsid w:val="00174CAB"/>
    <w:rsid w:val="0017618B"/>
    <w:rsid w:val="00176EA7"/>
    <w:rsid w:val="0017771E"/>
    <w:rsid w:val="001807FF"/>
    <w:rsid w:val="00183092"/>
    <w:rsid w:val="00186949"/>
    <w:rsid w:val="00190439"/>
    <w:rsid w:val="00194212"/>
    <w:rsid w:val="00196F61"/>
    <w:rsid w:val="001A0ADE"/>
    <w:rsid w:val="001A2E28"/>
    <w:rsid w:val="001A4329"/>
    <w:rsid w:val="001B0423"/>
    <w:rsid w:val="001B0953"/>
    <w:rsid w:val="001B3522"/>
    <w:rsid w:val="001B399F"/>
    <w:rsid w:val="001B4EB6"/>
    <w:rsid w:val="001B6646"/>
    <w:rsid w:val="001C0FDC"/>
    <w:rsid w:val="001C5CC1"/>
    <w:rsid w:val="001C79D2"/>
    <w:rsid w:val="001C7F24"/>
    <w:rsid w:val="001D007F"/>
    <w:rsid w:val="001D267A"/>
    <w:rsid w:val="001D2B32"/>
    <w:rsid w:val="001D4DCB"/>
    <w:rsid w:val="001E28B4"/>
    <w:rsid w:val="001E2CBB"/>
    <w:rsid w:val="001E3BB6"/>
    <w:rsid w:val="001E7E56"/>
    <w:rsid w:val="001F09BA"/>
    <w:rsid w:val="001F2ED2"/>
    <w:rsid w:val="001F39C9"/>
    <w:rsid w:val="001F4959"/>
    <w:rsid w:val="001F63D6"/>
    <w:rsid w:val="00200B72"/>
    <w:rsid w:val="002048A9"/>
    <w:rsid w:val="00204F32"/>
    <w:rsid w:val="00211ABE"/>
    <w:rsid w:val="0021314E"/>
    <w:rsid w:val="00214F7F"/>
    <w:rsid w:val="00217CB5"/>
    <w:rsid w:val="00220ABF"/>
    <w:rsid w:val="002232B1"/>
    <w:rsid w:val="00224286"/>
    <w:rsid w:val="002242F4"/>
    <w:rsid w:val="00224325"/>
    <w:rsid w:val="00225115"/>
    <w:rsid w:val="00225CD6"/>
    <w:rsid w:val="00225CE4"/>
    <w:rsid w:val="00234AD7"/>
    <w:rsid w:val="00234D47"/>
    <w:rsid w:val="00235ADC"/>
    <w:rsid w:val="00236BEF"/>
    <w:rsid w:val="00240A23"/>
    <w:rsid w:val="002428DE"/>
    <w:rsid w:val="00242E6F"/>
    <w:rsid w:val="00242F0A"/>
    <w:rsid w:val="00254575"/>
    <w:rsid w:val="002567B7"/>
    <w:rsid w:val="0026158C"/>
    <w:rsid w:val="0027167D"/>
    <w:rsid w:val="00274605"/>
    <w:rsid w:val="002802DD"/>
    <w:rsid w:val="002802F5"/>
    <w:rsid w:val="0028794B"/>
    <w:rsid w:val="00287ED2"/>
    <w:rsid w:val="00290292"/>
    <w:rsid w:val="002920BF"/>
    <w:rsid w:val="0029326D"/>
    <w:rsid w:val="0029330D"/>
    <w:rsid w:val="00293CBE"/>
    <w:rsid w:val="00294D85"/>
    <w:rsid w:val="002A0A80"/>
    <w:rsid w:val="002A1BF4"/>
    <w:rsid w:val="002B782D"/>
    <w:rsid w:val="002C03F5"/>
    <w:rsid w:val="002C2F2C"/>
    <w:rsid w:val="002C7C4F"/>
    <w:rsid w:val="002D0832"/>
    <w:rsid w:val="002D0CA3"/>
    <w:rsid w:val="002D311E"/>
    <w:rsid w:val="002D34B3"/>
    <w:rsid w:val="002D34CB"/>
    <w:rsid w:val="002D5179"/>
    <w:rsid w:val="002D7662"/>
    <w:rsid w:val="002D792B"/>
    <w:rsid w:val="002E2790"/>
    <w:rsid w:val="002E392F"/>
    <w:rsid w:val="002F3241"/>
    <w:rsid w:val="002F66F4"/>
    <w:rsid w:val="002F6799"/>
    <w:rsid w:val="002F7BDA"/>
    <w:rsid w:val="00300CBA"/>
    <w:rsid w:val="0030118C"/>
    <w:rsid w:val="00303208"/>
    <w:rsid w:val="00310CB9"/>
    <w:rsid w:val="00321A93"/>
    <w:rsid w:val="00323D7E"/>
    <w:rsid w:val="003246BF"/>
    <w:rsid w:val="0032502D"/>
    <w:rsid w:val="00326FEE"/>
    <w:rsid w:val="00331309"/>
    <w:rsid w:val="003338CE"/>
    <w:rsid w:val="00334C17"/>
    <w:rsid w:val="0034299F"/>
    <w:rsid w:val="003477F8"/>
    <w:rsid w:val="00352FAA"/>
    <w:rsid w:val="00354552"/>
    <w:rsid w:val="00355FE5"/>
    <w:rsid w:val="00356AAB"/>
    <w:rsid w:val="00357883"/>
    <w:rsid w:val="003607FE"/>
    <w:rsid w:val="0036175A"/>
    <w:rsid w:val="00363792"/>
    <w:rsid w:val="0036488D"/>
    <w:rsid w:val="00364FC4"/>
    <w:rsid w:val="003700F0"/>
    <w:rsid w:val="00370EE0"/>
    <w:rsid w:val="00371709"/>
    <w:rsid w:val="0037229F"/>
    <w:rsid w:val="00377B96"/>
    <w:rsid w:val="00377CBD"/>
    <w:rsid w:val="00377F77"/>
    <w:rsid w:val="00382B27"/>
    <w:rsid w:val="00383D44"/>
    <w:rsid w:val="00385DD3"/>
    <w:rsid w:val="00386464"/>
    <w:rsid w:val="00392320"/>
    <w:rsid w:val="00394A47"/>
    <w:rsid w:val="003A0A97"/>
    <w:rsid w:val="003A25C1"/>
    <w:rsid w:val="003A72D2"/>
    <w:rsid w:val="003B0CA0"/>
    <w:rsid w:val="003B437D"/>
    <w:rsid w:val="003C0DB4"/>
    <w:rsid w:val="003C522D"/>
    <w:rsid w:val="003C5268"/>
    <w:rsid w:val="003C6F4A"/>
    <w:rsid w:val="003C749D"/>
    <w:rsid w:val="003D161A"/>
    <w:rsid w:val="003D255A"/>
    <w:rsid w:val="003D33EA"/>
    <w:rsid w:val="003D5C8D"/>
    <w:rsid w:val="003D6A90"/>
    <w:rsid w:val="003E538F"/>
    <w:rsid w:val="003E6141"/>
    <w:rsid w:val="003F5C1B"/>
    <w:rsid w:val="00400090"/>
    <w:rsid w:val="00400A21"/>
    <w:rsid w:val="0040266F"/>
    <w:rsid w:val="004031BA"/>
    <w:rsid w:val="004106CF"/>
    <w:rsid w:val="00412929"/>
    <w:rsid w:val="00414205"/>
    <w:rsid w:val="00416620"/>
    <w:rsid w:val="004228AD"/>
    <w:rsid w:val="00423A27"/>
    <w:rsid w:val="0042432B"/>
    <w:rsid w:val="00425590"/>
    <w:rsid w:val="004255AC"/>
    <w:rsid w:val="004272C3"/>
    <w:rsid w:val="00427307"/>
    <w:rsid w:val="004307D4"/>
    <w:rsid w:val="00432439"/>
    <w:rsid w:val="00434F19"/>
    <w:rsid w:val="004367C6"/>
    <w:rsid w:val="004417AD"/>
    <w:rsid w:val="00441F44"/>
    <w:rsid w:val="00445E0F"/>
    <w:rsid w:val="0045221E"/>
    <w:rsid w:val="004526EB"/>
    <w:rsid w:val="00454914"/>
    <w:rsid w:val="00455EB4"/>
    <w:rsid w:val="004628EA"/>
    <w:rsid w:val="00470C5A"/>
    <w:rsid w:val="0047226A"/>
    <w:rsid w:val="00472908"/>
    <w:rsid w:val="004736C1"/>
    <w:rsid w:val="004812C3"/>
    <w:rsid w:val="004834DC"/>
    <w:rsid w:val="004855FD"/>
    <w:rsid w:val="00486D39"/>
    <w:rsid w:val="00494395"/>
    <w:rsid w:val="004950FB"/>
    <w:rsid w:val="004979B2"/>
    <w:rsid w:val="004A1047"/>
    <w:rsid w:val="004A1E4D"/>
    <w:rsid w:val="004A2416"/>
    <w:rsid w:val="004B1778"/>
    <w:rsid w:val="004B4154"/>
    <w:rsid w:val="004B6FC4"/>
    <w:rsid w:val="004B7587"/>
    <w:rsid w:val="004B76E0"/>
    <w:rsid w:val="004C3EA4"/>
    <w:rsid w:val="004D15CB"/>
    <w:rsid w:val="004D36C5"/>
    <w:rsid w:val="004D5043"/>
    <w:rsid w:val="004D5DA4"/>
    <w:rsid w:val="004E0B8A"/>
    <w:rsid w:val="004E1181"/>
    <w:rsid w:val="004E268D"/>
    <w:rsid w:val="004E31D3"/>
    <w:rsid w:val="004E3B02"/>
    <w:rsid w:val="004F1096"/>
    <w:rsid w:val="004F2555"/>
    <w:rsid w:val="004F305F"/>
    <w:rsid w:val="004F3CFE"/>
    <w:rsid w:val="004F4AFA"/>
    <w:rsid w:val="004F6DBF"/>
    <w:rsid w:val="004F7688"/>
    <w:rsid w:val="00510733"/>
    <w:rsid w:val="00511B03"/>
    <w:rsid w:val="005128A7"/>
    <w:rsid w:val="00514A0D"/>
    <w:rsid w:val="0051699F"/>
    <w:rsid w:val="00516DD9"/>
    <w:rsid w:val="00517659"/>
    <w:rsid w:val="00521B3D"/>
    <w:rsid w:val="0053357C"/>
    <w:rsid w:val="00534D33"/>
    <w:rsid w:val="00537DB7"/>
    <w:rsid w:val="0054698B"/>
    <w:rsid w:val="005531EA"/>
    <w:rsid w:val="00555F14"/>
    <w:rsid w:val="005603D1"/>
    <w:rsid w:val="005633C1"/>
    <w:rsid w:val="00563DBF"/>
    <w:rsid w:val="00565CF6"/>
    <w:rsid w:val="00567D90"/>
    <w:rsid w:val="00567ED6"/>
    <w:rsid w:val="005701AE"/>
    <w:rsid w:val="00572A40"/>
    <w:rsid w:val="00575518"/>
    <w:rsid w:val="00576547"/>
    <w:rsid w:val="00580DD0"/>
    <w:rsid w:val="00582F51"/>
    <w:rsid w:val="00585A3E"/>
    <w:rsid w:val="0059048D"/>
    <w:rsid w:val="00595351"/>
    <w:rsid w:val="00596FA7"/>
    <w:rsid w:val="005A1DE4"/>
    <w:rsid w:val="005A4C50"/>
    <w:rsid w:val="005A5A35"/>
    <w:rsid w:val="005B10E7"/>
    <w:rsid w:val="005B277E"/>
    <w:rsid w:val="005B28A0"/>
    <w:rsid w:val="005B2D29"/>
    <w:rsid w:val="005B6C87"/>
    <w:rsid w:val="005C1F31"/>
    <w:rsid w:val="005C5598"/>
    <w:rsid w:val="005D0A91"/>
    <w:rsid w:val="005D423A"/>
    <w:rsid w:val="005D4BBD"/>
    <w:rsid w:val="005E074F"/>
    <w:rsid w:val="005E1777"/>
    <w:rsid w:val="005E1AF5"/>
    <w:rsid w:val="005E2D96"/>
    <w:rsid w:val="005F2B58"/>
    <w:rsid w:val="005F2DD4"/>
    <w:rsid w:val="00601654"/>
    <w:rsid w:val="00601FB1"/>
    <w:rsid w:val="006022B8"/>
    <w:rsid w:val="00602BC7"/>
    <w:rsid w:val="00604C86"/>
    <w:rsid w:val="0061223E"/>
    <w:rsid w:val="0061288E"/>
    <w:rsid w:val="006129B1"/>
    <w:rsid w:val="006148E7"/>
    <w:rsid w:val="00614957"/>
    <w:rsid w:val="006153FE"/>
    <w:rsid w:val="00617DF6"/>
    <w:rsid w:val="006210E7"/>
    <w:rsid w:val="00623420"/>
    <w:rsid w:val="00631FC0"/>
    <w:rsid w:val="0063702B"/>
    <w:rsid w:val="00637330"/>
    <w:rsid w:val="006402C6"/>
    <w:rsid w:val="00640911"/>
    <w:rsid w:val="006427C0"/>
    <w:rsid w:val="0064789A"/>
    <w:rsid w:val="00652246"/>
    <w:rsid w:val="00655FE6"/>
    <w:rsid w:val="00662FC1"/>
    <w:rsid w:val="00665400"/>
    <w:rsid w:val="006659B8"/>
    <w:rsid w:val="006706D8"/>
    <w:rsid w:val="006751E8"/>
    <w:rsid w:val="00676EAC"/>
    <w:rsid w:val="00680815"/>
    <w:rsid w:val="00681908"/>
    <w:rsid w:val="00683CEB"/>
    <w:rsid w:val="0068449E"/>
    <w:rsid w:val="0068715B"/>
    <w:rsid w:val="00690182"/>
    <w:rsid w:val="0069443F"/>
    <w:rsid w:val="00694D4E"/>
    <w:rsid w:val="0069529D"/>
    <w:rsid w:val="006A11EE"/>
    <w:rsid w:val="006A2C50"/>
    <w:rsid w:val="006A4D30"/>
    <w:rsid w:val="006A4F95"/>
    <w:rsid w:val="006A546F"/>
    <w:rsid w:val="006B0565"/>
    <w:rsid w:val="006B16F0"/>
    <w:rsid w:val="006B2091"/>
    <w:rsid w:val="006B337B"/>
    <w:rsid w:val="006C13F3"/>
    <w:rsid w:val="006C170A"/>
    <w:rsid w:val="006C224B"/>
    <w:rsid w:val="006D002A"/>
    <w:rsid w:val="006D05B1"/>
    <w:rsid w:val="006D0F75"/>
    <w:rsid w:val="006D3B5C"/>
    <w:rsid w:val="006D5639"/>
    <w:rsid w:val="006D6030"/>
    <w:rsid w:val="006E0D67"/>
    <w:rsid w:val="006E18EA"/>
    <w:rsid w:val="006E2A62"/>
    <w:rsid w:val="006E357C"/>
    <w:rsid w:val="006F640B"/>
    <w:rsid w:val="006F7475"/>
    <w:rsid w:val="00700CEF"/>
    <w:rsid w:val="007106E4"/>
    <w:rsid w:val="007114AF"/>
    <w:rsid w:val="007145E5"/>
    <w:rsid w:val="00717CC5"/>
    <w:rsid w:val="0072026D"/>
    <w:rsid w:val="00720E1F"/>
    <w:rsid w:val="0072335D"/>
    <w:rsid w:val="00725180"/>
    <w:rsid w:val="00727A98"/>
    <w:rsid w:val="00727B4B"/>
    <w:rsid w:val="00730FB8"/>
    <w:rsid w:val="00731DE8"/>
    <w:rsid w:val="00734873"/>
    <w:rsid w:val="00735ADA"/>
    <w:rsid w:val="00736108"/>
    <w:rsid w:val="0074155F"/>
    <w:rsid w:val="00741BA0"/>
    <w:rsid w:val="00741CB4"/>
    <w:rsid w:val="00742036"/>
    <w:rsid w:val="00742055"/>
    <w:rsid w:val="007436D7"/>
    <w:rsid w:val="00743BFF"/>
    <w:rsid w:val="00753267"/>
    <w:rsid w:val="0075607B"/>
    <w:rsid w:val="007614F8"/>
    <w:rsid w:val="00761D23"/>
    <w:rsid w:val="00762B55"/>
    <w:rsid w:val="007641B6"/>
    <w:rsid w:val="0076482E"/>
    <w:rsid w:val="00764B2F"/>
    <w:rsid w:val="0076611B"/>
    <w:rsid w:val="00767447"/>
    <w:rsid w:val="007711DE"/>
    <w:rsid w:val="00771671"/>
    <w:rsid w:val="00774566"/>
    <w:rsid w:val="00774AAF"/>
    <w:rsid w:val="00775329"/>
    <w:rsid w:val="00775C7F"/>
    <w:rsid w:val="00780EB1"/>
    <w:rsid w:val="0078133D"/>
    <w:rsid w:val="007830F0"/>
    <w:rsid w:val="00783D7A"/>
    <w:rsid w:val="00784D61"/>
    <w:rsid w:val="00784EEC"/>
    <w:rsid w:val="007865B8"/>
    <w:rsid w:val="00790B54"/>
    <w:rsid w:val="007929C4"/>
    <w:rsid w:val="007A33C1"/>
    <w:rsid w:val="007A3642"/>
    <w:rsid w:val="007A590D"/>
    <w:rsid w:val="007A65FC"/>
    <w:rsid w:val="007A67B2"/>
    <w:rsid w:val="007A79B8"/>
    <w:rsid w:val="007B0AA1"/>
    <w:rsid w:val="007B0CE6"/>
    <w:rsid w:val="007B32E7"/>
    <w:rsid w:val="007B4755"/>
    <w:rsid w:val="007B5260"/>
    <w:rsid w:val="007C3B7D"/>
    <w:rsid w:val="007C435F"/>
    <w:rsid w:val="007C47F3"/>
    <w:rsid w:val="007C5750"/>
    <w:rsid w:val="007C6646"/>
    <w:rsid w:val="007C69E7"/>
    <w:rsid w:val="007C7B3A"/>
    <w:rsid w:val="007C7EE3"/>
    <w:rsid w:val="007D0BBD"/>
    <w:rsid w:val="007D13F3"/>
    <w:rsid w:val="007D65E3"/>
    <w:rsid w:val="007E0966"/>
    <w:rsid w:val="007E5CCE"/>
    <w:rsid w:val="007E67D1"/>
    <w:rsid w:val="007F04EA"/>
    <w:rsid w:val="007F493E"/>
    <w:rsid w:val="007F4C0A"/>
    <w:rsid w:val="007F56F7"/>
    <w:rsid w:val="007F5E23"/>
    <w:rsid w:val="00806C65"/>
    <w:rsid w:val="008071DA"/>
    <w:rsid w:val="0080747F"/>
    <w:rsid w:val="00807A38"/>
    <w:rsid w:val="00811BBF"/>
    <w:rsid w:val="00812CBA"/>
    <w:rsid w:val="0081736B"/>
    <w:rsid w:val="00824544"/>
    <w:rsid w:val="008252D8"/>
    <w:rsid w:val="00832112"/>
    <w:rsid w:val="00832C3E"/>
    <w:rsid w:val="00835636"/>
    <w:rsid w:val="0084428E"/>
    <w:rsid w:val="00846B7D"/>
    <w:rsid w:val="00846C7B"/>
    <w:rsid w:val="00850F99"/>
    <w:rsid w:val="00851F52"/>
    <w:rsid w:val="008526A3"/>
    <w:rsid w:val="00853B99"/>
    <w:rsid w:val="00853C1D"/>
    <w:rsid w:val="00854DD7"/>
    <w:rsid w:val="00854FCB"/>
    <w:rsid w:val="008567CC"/>
    <w:rsid w:val="00860C8B"/>
    <w:rsid w:val="00860CA7"/>
    <w:rsid w:val="00867D4D"/>
    <w:rsid w:val="00870B10"/>
    <w:rsid w:val="00872263"/>
    <w:rsid w:val="0088359E"/>
    <w:rsid w:val="00884367"/>
    <w:rsid w:val="00887E27"/>
    <w:rsid w:val="00892CDC"/>
    <w:rsid w:val="00893F55"/>
    <w:rsid w:val="008951FD"/>
    <w:rsid w:val="008968C5"/>
    <w:rsid w:val="00897381"/>
    <w:rsid w:val="008A2074"/>
    <w:rsid w:val="008A3990"/>
    <w:rsid w:val="008A4333"/>
    <w:rsid w:val="008A528B"/>
    <w:rsid w:val="008A6B6E"/>
    <w:rsid w:val="008A742C"/>
    <w:rsid w:val="008A7792"/>
    <w:rsid w:val="008B170A"/>
    <w:rsid w:val="008B2450"/>
    <w:rsid w:val="008B45F5"/>
    <w:rsid w:val="008B69D0"/>
    <w:rsid w:val="008C1E7A"/>
    <w:rsid w:val="008C256E"/>
    <w:rsid w:val="008D3212"/>
    <w:rsid w:val="008D7256"/>
    <w:rsid w:val="008E08B8"/>
    <w:rsid w:val="008E0D02"/>
    <w:rsid w:val="008F582E"/>
    <w:rsid w:val="008F5C40"/>
    <w:rsid w:val="009022BF"/>
    <w:rsid w:val="00903920"/>
    <w:rsid w:val="0090420A"/>
    <w:rsid w:val="00904ABD"/>
    <w:rsid w:val="00904DD5"/>
    <w:rsid w:val="00913BBB"/>
    <w:rsid w:val="00913E6E"/>
    <w:rsid w:val="00924266"/>
    <w:rsid w:val="0092507B"/>
    <w:rsid w:val="00925799"/>
    <w:rsid w:val="00935524"/>
    <w:rsid w:val="009431F5"/>
    <w:rsid w:val="00943383"/>
    <w:rsid w:val="0094425D"/>
    <w:rsid w:val="00945519"/>
    <w:rsid w:val="00945BEA"/>
    <w:rsid w:val="009461F6"/>
    <w:rsid w:val="00947534"/>
    <w:rsid w:val="009477A5"/>
    <w:rsid w:val="00952441"/>
    <w:rsid w:val="0095602F"/>
    <w:rsid w:val="00956F20"/>
    <w:rsid w:val="00960D6D"/>
    <w:rsid w:val="009616D8"/>
    <w:rsid w:val="00970864"/>
    <w:rsid w:val="00970A9D"/>
    <w:rsid w:val="0097140D"/>
    <w:rsid w:val="00972238"/>
    <w:rsid w:val="00975C9D"/>
    <w:rsid w:val="00976ACF"/>
    <w:rsid w:val="0097772A"/>
    <w:rsid w:val="00977BFB"/>
    <w:rsid w:val="009805DC"/>
    <w:rsid w:val="00981160"/>
    <w:rsid w:val="0098418B"/>
    <w:rsid w:val="00985F15"/>
    <w:rsid w:val="00986103"/>
    <w:rsid w:val="00990E03"/>
    <w:rsid w:val="00992F83"/>
    <w:rsid w:val="00993B69"/>
    <w:rsid w:val="009947F8"/>
    <w:rsid w:val="00995A84"/>
    <w:rsid w:val="009966D7"/>
    <w:rsid w:val="0099710B"/>
    <w:rsid w:val="009976CB"/>
    <w:rsid w:val="00997C30"/>
    <w:rsid w:val="009A13AB"/>
    <w:rsid w:val="009A1604"/>
    <w:rsid w:val="009A4A36"/>
    <w:rsid w:val="009A50C2"/>
    <w:rsid w:val="009A5975"/>
    <w:rsid w:val="009A6EAA"/>
    <w:rsid w:val="009A73AD"/>
    <w:rsid w:val="009B32C2"/>
    <w:rsid w:val="009B6416"/>
    <w:rsid w:val="009B65A1"/>
    <w:rsid w:val="009B734F"/>
    <w:rsid w:val="009B7709"/>
    <w:rsid w:val="009C0133"/>
    <w:rsid w:val="009C2FB2"/>
    <w:rsid w:val="009C624A"/>
    <w:rsid w:val="009D03B9"/>
    <w:rsid w:val="009D11E8"/>
    <w:rsid w:val="009D25CC"/>
    <w:rsid w:val="009D2EE4"/>
    <w:rsid w:val="009D4FCE"/>
    <w:rsid w:val="009E147C"/>
    <w:rsid w:val="009E20A5"/>
    <w:rsid w:val="009E3084"/>
    <w:rsid w:val="009E36CF"/>
    <w:rsid w:val="009E4358"/>
    <w:rsid w:val="009E513E"/>
    <w:rsid w:val="009F039A"/>
    <w:rsid w:val="009F0C6B"/>
    <w:rsid w:val="009F58C3"/>
    <w:rsid w:val="009F5F24"/>
    <w:rsid w:val="00A02C05"/>
    <w:rsid w:val="00A05395"/>
    <w:rsid w:val="00A06BED"/>
    <w:rsid w:val="00A07136"/>
    <w:rsid w:val="00A11282"/>
    <w:rsid w:val="00A14E86"/>
    <w:rsid w:val="00A15D1C"/>
    <w:rsid w:val="00A21269"/>
    <w:rsid w:val="00A2291B"/>
    <w:rsid w:val="00A23014"/>
    <w:rsid w:val="00A2335D"/>
    <w:rsid w:val="00A24853"/>
    <w:rsid w:val="00A24ACA"/>
    <w:rsid w:val="00A26414"/>
    <w:rsid w:val="00A2679E"/>
    <w:rsid w:val="00A2759D"/>
    <w:rsid w:val="00A277FC"/>
    <w:rsid w:val="00A27A1B"/>
    <w:rsid w:val="00A30C5F"/>
    <w:rsid w:val="00A31CE1"/>
    <w:rsid w:val="00A333B1"/>
    <w:rsid w:val="00A341A6"/>
    <w:rsid w:val="00A35854"/>
    <w:rsid w:val="00A36767"/>
    <w:rsid w:val="00A37A36"/>
    <w:rsid w:val="00A37E34"/>
    <w:rsid w:val="00A4301A"/>
    <w:rsid w:val="00A432FC"/>
    <w:rsid w:val="00A437A2"/>
    <w:rsid w:val="00A45964"/>
    <w:rsid w:val="00A5247D"/>
    <w:rsid w:val="00A52561"/>
    <w:rsid w:val="00A55E77"/>
    <w:rsid w:val="00A56C73"/>
    <w:rsid w:val="00A65960"/>
    <w:rsid w:val="00A70B0F"/>
    <w:rsid w:val="00A74CEF"/>
    <w:rsid w:val="00A75CC6"/>
    <w:rsid w:val="00A80215"/>
    <w:rsid w:val="00A81521"/>
    <w:rsid w:val="00A82BC4"/>
    <w:rsid w:val="00A840A8"/>
    <w:rsid w:val="00A85DB4"/>
    <w:rsid w:val="00A85E44"/>
    <w:rsid w:val="00A86AD4"/>
    <w:rsid w:val="00A90B13"/>
    <w:rsid w:val="00A91345"/>
    <w:rsid w:val="00A918E4"/>
    <w:rsid w:val="00A96FC5"/>
    <w:rsid w:val="00AA2D02"/>
    <w:rsid w:val="00AA4AB9"/>
    <w:rsid w:val="00AA648F"/>
    <w:rsid w:val="00AA7051"/>
    <w:rsid w:val="00AB11F3"/>
    <w:rsid w:val="00AB1485"/>
    <w:rsid w:val="00AB197F"/>
    <w:rsid w:val="00AB25F7"/>
    <w:rsid w:val="00AB4EB3"/>
    <w:rsid w:val="00AB5427"/>
    <w:rsid w:val="00AB6F59"/>
    <w:rsid w:val="00AC2043"/>
    <w:rsid w:val="00AC6D09"/>
    <w:rsid w:val="00AC6DC8"/>
    <w:rsid w:val="00AD1B79"/>
    <w:rsid w:val="00AD4395"/>
    <w:rsid w:val="00AD44CD"/>
    <w:rsid w:val="00AD72B6"/>
    <w:rsid w:val="00AD73FE"/>
    <w:rsid w:val="00AD796C"/>
    <w:rsid w:val="00AE1C33"/>
    <w:rsid w:val="00AE4814"/>
    <w:rsid w:val="00AE624F"/>
    <w:rsid w:val="00AE7304"/>
    <w:rsid w:val="00AF1958"/>
    <w:rsid w:val="00AF6EE6"/>
    <w:rsid w:val="00B00F3B"/>
    <w:rsid w:val="00B024E9"/>
    <w:rsid w:val="00B02E29"/>
    <w:rsid w:val="00B04954"/>
    <w:rsid w:val="00B0539E"/>
    <w:rsid w:val="00B05450"/>
    <w:rsid w:val="00B1449C"/>
    <w:rsid w:val="00B14A32"/>
    <w:rsid w:val="00B15EE6"/>
    <w:rsid w:val="00B2110C"/>
    <w:rsid w:val="00B24229"/>
    <w:rsid w:val="00B24FAB"/>
    <w:rsid w:val="00B2620A"/>
    <w:rsid w:val="00B26D42"/>
    <w:rsid w:val="00B277FC"/>
    <w:rsid w:val="00B3029B"/>
    <w:rsid w:val="00B344A4"/>
    <w:rsid w:val="00B34CBF"/>
    <w:rsid w:val="00B37296"/>
    <w:rsid w:val="00B410E3"/>
    <w:rsid w:val="00B43DD2"/>
    <w:rsid w:val="00B44499"/>
    <w:rsid w:val="00B4525C"/>
    <w:rsid w:val="00B50B41"/>
    <w:rsid w:val="00B56480"/>
    <w:rsid w:val="00B56EF4"/>
    <w:rsid w:val="00B57C3B"/>
    <w:rsid w:val="00B63579"/>
    <w:rsid w:val="00B66BC3"/>
    <w:rsid w:val="00B66FAA"/>
    <w:rsid w:val="00B67D3A"/>
    <w:rsid w:val="00B72C3F"/>
    <w:rsid w:val="00B72D16"/>
    <w:rsid w:val="00B80EF8"/>
    <w:rsid w:val="00B8720F"/>
    <w:rsid w:val="00B90F8C"/>
    <w:rsid w:val="00B94C1C"/>
    <w:rsid w:val="00B95C42"/>
    <w:rsid w:val="00B961FD"/>
    <w:rsid w:val="00B96E2C"/>
    <w:rsid w:val="00BA3623"/>
    <w:rsid w:val="00BB1804"/>
    <w:rsid w:val="00BB1C5E"/>
    <w:rsid w:val="00BB2580"/>
    <w:rsid w:val="00BB25EF"/>
    <w:rsid w:val="00BB37D7"/>
    <w:rsid w:val="00BB3CAD"/>
    <w:rsid w:val="00BB4D24"/>
    <w:rsid w:val="00BB7437"/>
    <w:rsid w:val="00BC6127"/>
    <w:rsid w:val="00BD1009"/>
    <w:rsid w:val="00BD294D"/>
    <w:rsid w:val="00BD2DDF"/>
    <w:rsid w:val="00BD48C9"/>
    <w:rsid w:val="00BD66E4"/>
    <w:rsid w:val="00BE2192"/>
    <w:rsid w:val="00BE2BE8"/>
    <w:rsid w:val="00BE364C"/>
    <w:rsid w:val="00BE39E5"/>
    <w:rsid w:val="00BE5049"/>
    <w:rsid w:val="00BE6A4D"/>
    <w:rsid w:val="00BE77D2"/>
    <w:rsid w:val="00BF0BE3"/>
    <w:rsid w:val="00BF0E97"/>
    <w:rsid w:val="00BF3E15"/>
    <w:rsid w:val="00BF4B4F"/>
    <w:rsid w:val="00C037A8"/>
    <w:rsid w:val="00C04BA7"/>
    <w:rsid w:val="00C054D8"/>
    <w:rsid w:val="00C07690"/>
    <w:rsid w:val="00C118FF"/>
    <w:rsid w:val="00C12762"/>
    <w:rsid w:val="00C139C0"/>
    <w:rsid w:val="00C20D1C"/>
    <w:rsid w:val="00C221B1"/>
    <w:rsid w:val="00C27B6A"/>
    <w:rsid w:val="00C36310"/>
    <w:rsid w:val="00C36C5E"/>
    <w:rsid w:val="00C36F46"/>
    <w:rsid w:val="00C41E47"/>
    <w:rsid w:val="00C4395B"/>
    <w:rsid w:val="00C45D6A"/>
    <w:rsid w:val="00C46E34"/>
    <w:rsid w:val="00C47205"/>
    <w:rsid w:val="00C503E4"/>
    <w:rsid w:val="00C531B5"/>
    <w:rsid w:val="00C57BC8"/>
    <w:rsid w:val="00C707EB"/>
    <w:rsid w:val="00C76B4C"/>
    <w:rsid w:val="00C80BE2"/>
    <w:rsid w:val="00C8237E"/>
    <w:rsid w:val="00C8348B"/>
    <w:rsid w:val="00C84291"/>
    <w:rsid w:val="00C875E3"/>
    <w:rsid w:val="00C92DB3"/>
    <w:rsid w:val="00C979F7"/>
    <w:rsid w:val="00C97B30"/>
    <w:rsid w:val="00CA0CF8"/>
    <w:rsid w:val="00CA67F2"/>
    <w:rsid w:val="00CB284C"/>
    <w:rsid w:val="00CB5362"/>
    <w:rsid w:val="00CB7AE0"/>
    <w:rsid w:val="00CC0316"/>
    <w:rsid w:val="00CC34D9"/>
    <w:rsid w:val="00CC434C"/>
    <w:rsid w:val="00CC4D8C"/>
    <w:rsid w:val="00CD48C7"/>
    <w:rsid w:val="00CD6C16"/>
    <w:rsid w:val="00CD7884"/>
    <w:rsid w:val="00CD7A25"/>
    <w:rsid w:val="00CE78A3"/>
    <w:rsid w:val="00CF1356"/>
    <w:rsid w:val="00CF247F"/>
    <w:rsid w:val="00CF5B31"/>
    <w:rsid w:val="00CF7D17"/>
    <w:rsid w:val="00CF7F7F"/>
    <w:rsid w:val="00D019B0"/>
    <w:rsid w:val="00D01FBD"/>
    <w:rsid w:val="00D029BC"/>
    <w:rsid w:val="00D030FE"/>
    <w:rsid w:val="00D04631"/>
    <w:rsid w:val="00D1020C"/>
    <w:rsid w:val="00D1060A"/>
    <w:rsid w:val="00D106CF"/>
    <w:rsid w:val="00D10FE8"/>
    <w:rsid w:val="00D143A0"/>
    <w:rsid w:val="00D1799A"/>
    <w:rsid w:val="00D203B5"/>
    <w:rsid w:val="00D2062B"/>
    <w:rsid w:val="00D24229"/>
    <w:rsid w:val="00D26C3D"/>
    <w:rsid w:val="00D31E66"/>
    <w:rsid w:val="00D3383E"/>
    <w:rsid w:val="00D3451C"/>
    <w:rsid w:val="00D35C01"/>
    <w:rsid w:val="00D41894"/>
    <w:rsid w:val="00D44870"/>
    <w:rsid w:val="00D527E0"/>
    <w:rsid w:val="00D52CD7"/>
    <w:rsid w:val="00D54CD2"/>
    <w:rsid w:val="00D5648C"/>
    <w:rsid w:val="00D614D5"/>
    <w:rsid w:val="00D61DAE"/>
    <w:rsid w:val="00D65429"/>
    <w:rsid w:val="00D70ED2"/>
    <w:rsid w:val="00D7111C"/>
    <w:rsid w:val="00D735DC"/>
    <w:rsid w:val="00D76CD5"/>
    <w:rsid w:val="00D817A9"/>
    <w:rsid w:val="00D817E2"/>
    <w:rsid w:val="00D8546C"/>
    <w:rsid w:val="00D86000"/>
    <w:rsid w:val="00D8669A"/>
    <w:rsid w:val="00D90197"/>
    <w:rsid w:val="00D94B5D"/>
    <w:rsid w:val="00D95116"/>
    <w:rsid w:val="00D95D7A"/>
    <w:rsid w:val="00DA0E5F"/>
    <w:rsid w:val="00DA2789"/>
    <w:rsid w:val="00DA6240"/>
    <w:rsid w:val="00DA68A2"/>
    <w:rsid w:val="00DB1AF5"/>
    <w:rsid w:val="00DB39C1"/>
    <w:rsid w:val="00DB60F2"/>
    <w:rsid w:val="00DB68DE"/>
    <w:rsid w:val="00DB78BD"/>
    <w:rsid w:val="00DB7AF8"/>
    <w:rsid w:val="00DC0681"/>
    <w:rsid w:val="00DC2E6B"/>
    <w:rsid w:val="00DC612E"/>
    <w:rsid w:val="00DC76C6"/>
    <w:rsid w:val="00DD0FE4"/>
    <w:rsid w:val="00DD1D80"/>
    <w:rsid w:val="00DD2647"/>
    <w:rsid w:val="00DE06AA"/>
    <w:rsid w:val="00DE1CE3"/>
    <w:rsid w:val="00DE358A"/>
    <w:rsid w:val="00DE55A7"/>
    <w:rsid w:val="00DF07BD"/>
    <w:rsid w:val="00DF22D0"/>
    <w:rsid w:val="00DF2ACF"/>
    <w:rsid w:val="00DF3275"/>
    <w:rsid w:val="00DF71D2"/>
    <w:rsid w:val="00E0197F"/>
    <w:rsid w:val="00E01D45"/>
    <w:rsid w:val="00E02F95"/>
    <w:rsid w:val="00E034ED"/>
    <w:rsid w:val="00E06398"/>
    <w:rsid w:val="00E1183E"/>
    <w:rsid w:val="00E13022"/>
    <w:rsid w:val="00E15319"/>
    <w:rsid w:val="00E163AF"/>
    <w:rsid w:val="00E23852"/>
    <w:rsid w:val="00E249AF"/>
    <w:rsid w:val="00E25E9E"/>
    <w:rsid w:val="00E305C8"/>
    <w:rsid w:val="00E32BA2"/>
    <w:rsid w:val="00E35FB8"/>
    <w:rsid w:val="00E36E93"/>
    <w:rsid w:val="00E400BC"/>
    <w:rsid w:val="00E42B07"/>
    <w:rsid w:val="00E445E3"/>
    <w:rsid w:val="00E4493C"/>
    <w:rsid w:val="00E52265"/>
    <w:rsid w:val="00E555D2"/>
    <w:rsid w:val="00E5719D"/>
    <w:rsid w:val="00E628A5"/>
    <w:rsid w:val="00E66747"/>
    <w:rsid w:val="00E704DC"/>
    <w:rsid w:val="00E708D4"/>
    <w:rsid w:val="00E71516"/>
    <w:rsid w:val="00E740DF"/>
    <w:rsid w:val="00E75251"/>
    <w:rsid w:val="00E8549F"/>
    <w:rsid w:val="00E85C0A"/>
    <w:rsid w:val="00E87336"/>
    <w:rsid w:val="00E91059"/>
    <w:rsid w:val="00E91661"/>
    <w:rsid w:val="00E93EF5"/>
    <w:rsid w:val="00E9483B"/>
    <w:rsid w:val="00EA0459"/>
    <w:rsid w:val="00EA17E0"/>
    <w:rsid w:val="00EA2607"/>
    <w:rsid w:val="00EA2C71"/>
    <w:rsid w:val="00EA395F"/>
    <w:rsid w:val="00EA62E8"/>
    <w:rsid w:val="00EA63E3"/>
    <w:rsid w:val="00EB041B"/>
    <w:rsid w:val="00EB10FC"/>
    <w:rsid w:val="00EB1853"/>
    <w:rsid w:val="00EB24D7"/>
    <w:rsid w:val="00EB31F8"/>
    <w:rsid w:val="00EB62E3"/>
    <w:rsid w:val="00EB6A65"/>
    <w:rsid w:val="00EC27D5"/>
    <w:rsid w:val="00EC6C2C"/>
    <w:rsid w:val="00ED169D"/>
    <w:rsid w:val="00ED1F25"/>
    <w:rsid w:val="00ED3B84"/>
    <w:rsid w:val="00ED499B"/>
    <w:rsid w:val="00ED4EA5"/>
    <w:rsid w:val="00ED525A"/>
    <w:rsid w:val="00ED5E01"/>
    <w:rsid w:val="00EE2406"/>
    <w:rsid w:val="00EE2825"/>
    <w:rsid w:val="00EE3C96"/>
    <w:rsid w:val="00EF1F22"/>
    <w:rsid w:val="00EF21B3"/>
    <w:rsid w:val="00EF291E"/>
    <w:rsid w:val="00EF428C"/>
    <w:rsid w:val="00EF4ECD"/>
    <w:rsid w:val="00EF5F8E"/>
    <w:rsid w:val="00EF66E0"/>
    <w:rsid w:val="00EF70E2"/>
    <w:rsid w:val="00EF7DFA"/>
    <w:rsid w:val="00F006A8"/>
    <w:rsid w:val="00F00BAF"/>
    <w:rsid w:val="00F024BB"/>
    <w:rsid w:val="00F03116"/>
    <w:rsid w:val="00F0322B"/>
    <w:rsid w:val="00F03986"/>
    <w:rsid w:val="00F044A2"/>
    <w:rsid w:val="00F105DE"/>
    <w:rsid w:val="00F11C8F"/>
    <w:rsid w:val="00F1217A"/>
    <w:rsid w:val="00F12BD5"/>
    <w:rsid w:val="00F145DE"/>
    <w:rsid w:val="00F15652"/>
    <w:rsid w:val="00F201D8"/>
    <w:rsid w:val="00F22942"/>
    <w:rsid w:val="00F22BAD"/>
    <w:rsid w:val="00F24F6D"/>
    <w:rsid w:val="00F30BA4"/>
    <w:rsid w:val="00F31718"/>
    <w:rsid w:val="00F33DE4"/>
    <w:rsid w:val="00F35384"/>
    <w:rsid w:val="00F36AA0"/>
    <w:rsid w:val="00F4404A"/>
    <w:rsid w:val="00F449EB"/>
    <w:rsid w:val="00F455D7"/>
    <w:rsid w:val="00F50A53"/>
    <w:rsid w:val="00F51A17"/>
    <w:rsid w:val="00F51E06"/>
    <w:rsid w:val="00F53083"/>
    <w:rsid w:val="00F546AD"/>
    <w:rsid w:val="00F564E8"/>
    <w:rsid w:val="00F572E6"/>
    <w:rsid w:val="00F61742"/>
    <w:rsid w:val="00F640E5"/>
    <w:rsid w:val="00F66B8F"/>
    <w:rsid w:val="00F716BB"/>
    <w:rsid w:val="00F73DE7"/>
    <w:rsid w:val="00F73F6D"/>
    <w:rsid w:val="00F74719"/>
    <w:rsid w:val="00F76C96"/>
    <w:rsid w:val="00F7783B"/>
    <w:rsid w:val="00F8163F"/>
    <w:rsid w:val="00F82566"/>
    <w:rsid w:val="00F825DE"/>
    <w:rsid w:val="00F84C59"/>
    <w:rsid w:val="00F85C38"/>
    <w:rsid w:val="00F90D38"/>
    <w:rsid w:val="00F93BFF"/>
    <w:rsid w:val="00F93E52"/>
    <w:rsid w:val="00F95758"/>
    <w:rsid w:val="00F95F77"/>
    <w:rsid w:val="00F96078"/>
    <w:rsid w:val="00F97699"/>
    <w:rsid w:val="00FA2935"/>
    <w:rsid w:val="00FA426E"/>
    <w:rsid w:val="00FA518D"/>
    <w:rsid w:val="00FA7518"/>
    <w:rsid w:val="00FB064D"/>
    <w:rsid w:val="00FB5108"/>
    <w:rsid w:val="00FB6A24"/>
    <w:rsid w:val="00FC0DE5"/>
    <w:rsid w:val="00FC12FF"/>
    <w:rsid w:val="00FC3739"/>
    <w:rsid w:val="00FC3B6C"/>
    <w:rsid w:val="00FC47FC"/>
    <w:rsid w:val="00FC6174"/>
    <w:rsid w:val="00FC7CC5"/>
    <w:rsid w:val="00FD1785"/>
    <w:rsid w:val="00FD3CC3"/>
    <w:rsid w:val="00FD4B1F"/>
    <w:rsid w:val="00FD5D2F"/>
    <w:rsid w:val="00FF5208"/>
    <w:rsid w:val="00FF5E1F"/>
    <w:rsid w:val="00FF799F"/>
    <w:rsid w:val="427E1FAF"/>
    <w:rsid w:val="77D17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qFormat="1" w:uiPriority="99" w:name="Body Text First Indent 2"/>
    <w:lsdException w:qFormat="1" w:unhideWhenUsed="0" w:uiPriority="0" w:name="Note Heading"/>
    <w:lsdException w:qFormat="1" w:uiPriority="0" w:name="Body Text 2"/>
    <w:lsdException w:qFormat="1" w:uiPriority="0" w:name="Body Text 3"/>
    <w:lsdException w:qFormat="1" w:unhideWhenUsed="0" w:uiPriority="0" w:name="Body Text Indent 2"/>
    <w:lsdException w:qFormat="1" w:uiPriority="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qFormat/>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uiPriority w:val="99"/>
    <w:pPr>
      <w:numPr>
        <w:ilvl w:val="0"/>
        <w:numId w:val="1"/>
      </w:numPr>
      <w:contextualSpacing/>
    </w:pPr>
  </w:style>
  <w:style w:type="paragraph" w:styleId="16">
    <w:name w:val="Document Map"/>
    <w:basedOn w:val="1"/>
    <w:link w:val="92"/>
    <w:semiHidden/>
    <w:qFormat/>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qFormat/>
    <w:uiPriority w:val="99"/>
    <w:pPr>
      <w:jc w:val="left"/>
    </w:pPr>
  </w:style>
  <w:style w:type="paragraph" w:styleId="18">
    <w:name w:val="Body Text 3"/>
    <w:basedOn w:val="1"/>
    <w:link w:val="132"/>
    <w:semiHidden/>
    <w:unhideWhenUsed/>
    <w:qFormat/>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qFormat/>
    <w:uiPriority w:val="0"/>
    <w:pPr>
      <w:spacing w:after="120"/>
    </w:pPr>
    <w:rPr>
      <w:rFonts w:ascii="Times New Roman" w:hAnsi="Times New Roman" w:eastAsia="宋体" w:cs="Times New Roman"/>
      <w:kern w:val="0"/>
      <w:sz w:val="24"/>
      <w:szCs w:val="24"/>
    </w:rPr>
  </w:style>
  <w:style w:type="paragraph" w:styleId="20">
    <w:name w:val="Body Text Indent"/>
    <w:basedOn w:val="1"/>
    <w:link w:val="100"/>
    <w:qFormat/>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qFormat/>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qFormat/>
    <w:uiPriority w:val="99"/>
    <w:rPr>
      <w:sz w:val="18"/>
      <w:szCs w:val="18"/>
    </w:rPr>
  </w:style>
  <w:style w:type="paragraph" w:styleId="28">
    <w:name w:val="footer"/>
    <w:basedOn w:val="1"/>
    <w:link w:val="54"/>
    <w:unhideWhenUsed/>
    <w:qFormat/>
    <w:uiPriority w:val="99"/>
    <w:pPr>
      <w:tabs>
        <w:tab w:val="center" w:pos="4153"/>
        <w:tab w:val="right" w:pos="8306"/>
      </w:tabs>
      <w:snapToGrid w:val="0"/>
      <w:jc w:val="left"/>
    </w:pPr>
    <w:rPr>
      <w:sz w:val="18"/>
      <w:szCs w:val="18"/>
    </w:rPr>
  </w:style>
  <w:style w:type="paragraph" w:styleId="2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qFormat/>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qFormat/>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qFormat/>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qFormat/>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qFormat/>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qFormat/>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uiPriority w:val="0"/>
  </w:style>
  <w:style w:type="character" w:styleId="49">
    <w:name w:val="FollowedHyperlink"/>
    <w:qFormat/>
    <w:uiPriority w:val="99"/>
    <w:rPr>
      <w:color w:val="800080"/>
      <w:u w:val="single"/>
    </w:rPr>
  </w:style>
  <w:style w:type="character" w:styleId="50">
    <w:name w:val="Emphasis"/>
    <w:qFormat/>
    <w:uiPriority w:val="0"/>
    <w:rPr>
      <w:rFonts w:ascii="Calibri" w:hAnsi="Calibri"/>
      <w:b/>
      <w:i/>
      <w:iCs/>
    </w:rPr>
  </w:style>
  <w:style w:type="character" w:styleId="51">
    <w:name w:val="Hyperlink"/>
    <w:qFormat/>
    <w:uiPriority w:val="99"/>
    <w:rPr>
      <w:color w:val="0000FF"/>
      <w:u w:val="single"/>
    </w:rPr>
  </w:style>
  <w:style w:type="character" w:styleId="52">
    <w:name w:val="annotation reference"/>
    <w:basedOn w:val="46"/>
    <w:unhideWhenUsed/>
    <w:qFormat/>
    <w:uiPriority w:val="99"/>
    <w:rPr>
      <w:sz w:val="21"/>
      <w:szCs w:val="21"/>
    </w:rPr>
  </w:style>
  <w:style w:type="character" w:customStyle="1" w:styleId="53">
    <w:name w:val="页眉 Char1"/>
    <w:basedOn w:val="46"/>
    <w:link w:val="29"/>
    <w:uiPriority w:val="99"/>
    <w:rPr>
      <w:sz w:val="18"/>
      <w:szCs w:val="18"/>
    </w:rPr>
  </w:style>
  <w:style w:type="character" w:customStyle="1" w:styleId="54">
    <w:name w:val="页脚 Char1"/>
    <w:basedOn w:val="46"/>
    <w:link w:val="28"/>
    <w:qFormat/>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uiPriority w:val="9"/>
    <w:rPr>
      <w:rFonts w:ascii="Times New Roman" w:hAnsi="Times New Roman" w:eastAsia="仿宋" w:cstheme="majorBidi"/>
      <w:b/>
      <w:bCs/>
      <w:sz w:val="32"/>
      <w:szCs w:val="32"/>
    </w:rPr>
  </w:style>
  <w:style w:type="character" w:customStyle="1" w:styleId="57">
    <w:name w:val="标题 3 Char2"/>
    <w:basedOn w:val="46"/>
    <w:link w:val="4"/>
    <w:uiPriority w:val="9"/>
    <w:rPr>
      <w:rFonts w:ascii="Times New Roman" w:hAnsi="Times New Roman" w:eastAsia="仿宋"/>
      <w:b/>
      <w:bCs/>
      <w:sz w:val="30"/>
      <w:szCs w:val="32"/>
    </w:rPr>
  </w:style>
  <w:style w:type="paragraph" w:customStyle="1" w:styleId="58">
    <w:name w:val="Char Char Char"/>
    <w:basedOn w:val="1"/>
    <w:semiHidden/>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qFormat/>
    <w:uiPriority w:val="99"/>
    <w:rPr>
      <w:sz w:val="18"/>
      <w:szCs w:val="18"/>
    </w:rPr>
  </w:style>
  <w:style w:type="character" w:customStyle="1" w:styleId="64">
    <w:name w:val="日期 Char1"/>
    <w:basedOn w:val="46"/>
    <w:link w:val="25"/>
    <w:qFormat/>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qFormat/>
    <w:uiPriority w:val="9"/>
    <w:rPr>
      <w:rFonts w:ascii="Times New Roman" w:hAnsi="Times New Roman" w:eastAsia="仿宋" w:cstheme="majorBidi"/>
      <w:b/>
      <w:bCs/>
      <w:sz w:val="24"/>
      <w:szCs w:val="28"/>
    </w:rPr>
  </w:style>
  <w:style w:type="character" w:customStyle="1" w:styleId="67">
    <w:name w:val="批注文字 Char1"/>
    <w:basedOn w:val="46"/>
    <w:link w:val="17"/>
    <w:qFormat/>
    <w:uiPriority w:val="99"/>
  </w:style>
  <w:style w:type="character" w:customStyle="1" w:styleId="68">
    <w:name w:val="批注主题 Char1"/>
    <w:basedOn w:val="67"/>
    <w:link w:val="41"/>
    <w:semiHidden/>
    <w:qFormat/>
    <w:uiPriority w:val="99"/>
    <w:rPr>
      <w:b/>
      <w:bCs/>
    </w:rPr>
  </w:style>
  <w:style w:type="character" w:customStyle="1" w:styleId="69">
    <w:name w:val="标题 5 字符"/>
    <w:basedOn w:val="46"/>
    <w:semiHidden/>
    <w:qFormat/>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qFormat/>
    <w:uiPriority w:val="9"/>
    <w:rPr>
      <w:b/>
      <w:bCs/>
      <w:sz w:val="24"/>
      <w:szCs w:val="24"/>
    </w:rPr>
  </w:style>
  <w:style w:type="character" w:customStyle="1" w:styleId="72">
    <w:name w:val="标题 8 字符"/>
    <w:basedOn w:val="46"/>
    <w:semiHidden/>
    <w:qFormat/>
    <w:uiPriority w:val="9"/>
    <w:rPr>
      <w:rFonts w:asciiTheme="majorHAnsi" w:hAnsiTheme="majorHAnsi" w:eastAsiaTheme="majorEastAsia" w:cstheme="majorBidi"/>
      <w:sz w:val="24"/>
      <w:szCs w:val="24"/>
    </w:rPr>
  </w:style>
  <w:style w:type="character" w:customStyle="1" w:styleId="73">
    <w:name w:val="标题 9 字符"/>
    <w:basedOn w:val="46"/>
    <w:semiHidden/>
    <w:uiPriority w:val="9"/>
    <w:rPr>
      <w:rFonts w:asciiTheme="majorHAnsi" w:hAnsiTheme="majorHAnsi" w:eastAsiaTheme="majorEastAsia" w:cstheme="majorBidi"/>
      <w:szCs w:val="21"/>
    </w:rPr>
  </w:style>
  <w:style w:type="character" w:customStyle="1" w:styleId="74">
    <w:name w:val="页脚 Char"/>
    <w:uiPriority w:val="99"/>
    <w:rPr>
      <w:sz w:val="18"/>
      <w:szCs w:val="18"/>
    </w:rPr>
  </w:style>
  <w:style w:type="paragraph" w:customStyle="1" w:styleId="75">
    <w:name w:val="Char Char Char1 Char Char Char Char Char Char2 Char"/>
    <w:basedOn w:val="1"/>
    <w:semiHidden/>
    <w:qFormat/>
    <w:uiPriority w:val="0"/>
    <w:rPr>
      <w:rFonts w:ascii="黑体" w:hAnsi="Times New Roman" w:eastAsia="黑体" w:cs="Times New Roman"/>
      <w:b/>
      <w:kern w:val="0"/>
      <w:sz w:val="32"/>
      <w:szCs w:val="32"/>
    </w:rPr>
  </w:style>
  <w:style w:type="character" w:customStyle="1" w:styleId="76">
    <w:name w:val="页眉 Char"/>
    <w:qFormat/>
    <w:uiPriority w:val="99"/>
    <w:rPr>
      <w:sz w:val="18"/>
      <w:szCs w:val="18"/>
    </w:rPr>
  </w:style>
  <w:style w:type="paragraph" w:customStyle="1" w:styleId="77">
    <w:name w:val="Char Char Char1 Char Char Char Char Char Char2 Char1"/>
    <w:basedOn w:val="1"/>
    <w:semiHidden/>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qFormat/>
    <w:uiPriority w:val="0"/>
  </w:style>
  <w:style w:type="character" w:customStyle="1" w:styleId="80">
    <w:name w:val="标题 1 Char"/>
    <w:qFormat/>
    <w:uiPriority w:val="0"/>
    <w:rPr>
      <w:b/>
      <w:bCs/>
      <w:kern w:val="44"/>
      <w:sz w:val="44"/>
      <w:szCs w:val="44"/>
    </w:rPr>
  </w:style>
  <w:style w:type="character" w:customStyle="1" w:styleId="81">
    <w:name w:val="标题 2 Char"/>
    <w:qFormat/>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qFormat/>
    <w:uiPriority w:val="0"/>
    <w:rPr>
      <w:rFonts w:ascii="Calibri" w:hAnsi="Calibri" w:eastAsia="宋体" w:cs="Times New Roman"/>
      <w:b/>
      <w:bCs/>
      <w:kern w:val="0"/>
      <w:sz w:val="28"/>
      <w:szCs w:val="28"/>
      <w:lang w:bidi="en-US"/>
    </w:rPr>
  </w:style>
  <w:style w:type="character" w:customStyle="1" w:styleId="84">
    <w:name w:val="标题 5 Char1"/>
    <w:link w:val="6"/>
    <w:qFormat/>
    <w:uiPriority w:val="0"/>
    <w:rPr>
      <w:rFonts w:ascii="Calibri" w:hAnsi="Calibri" w:eastAsia="宋体" w:cs="Times New Roman"/>
      <w:b/>
      <w:bCs/>
      <w:i/>
      <w:iCs/>
      <w:kern w:val="0"/>
      <w:sz w:val="26"/>
      <w:szCs w:val="26"/>
      <w:lang w:bidi="en-US"/>
    </w:rPr>
  </w:style>
  <w:style w:type="character" w:customStyle="1" w:styleId="85">
    <w:name w:val="标题 6 Char1"/>
    <w:link w:val="7"/>
    <w:qFormat/>
    <w:uiPriority w:val="0"/>
    <w:rPr>
      <w:rFonts w:ascii="Calibri" w:hAnsi="Calibri" w:eastAsia="宋体" w:cs="Times New Roman"/>
      <w:b/>
      <w:bCs/>
      <w:kern w:val="0"/>
      <w:sz w:val="22"/>
      <w:szCs w:val="28"/>
      <w:lang w:bidi="en-US"/>
    </w:rPr>
  </w:style>
  <w:style w:type="character" w:customStyle="1" w:styleId="86">
    <w:name w:val="标题 7 Char1"/>
    <w:link w:val="8"/>
    <w:qFormat/>
    <w:uiPriority w:val="0"/>
    <w:rPr>
      <w:rFonts w:ascii="Calibri" w:hAnsi="Calibri" w:eastAsia="宋体" w:cs="Times New Roman"/>
      <w:kern w:val="0"/>
      <w:sz w:val="24"/>
      <w:szCs w:val="24"/>
      <w:lang w:bidi="en-US"/>
    </w:rPr>
  </w:style>
  <w:style w:type="character" w:customStyle="1" w:styleId="87">
    <w:name w:val="标题 8 Char1"/>
    <w:link w:val="9"/>
    <w:qFormat/>
    <w:uiPriority w:val="0"/>
    <w:rPr>
      <w:rFonts w:ascii="Calibri" w:hAnsi="Calibri" w:eastAsia="宋体" w:cs="Times New Roman"/>
      <w:i/>
      <w:iCs/>
      <w:kern w:val="0"/>
      <w:sz w:val="24"/>
      <w:szCs w:val="24"/>
      <w:lang w:bidi="en-US"/>
    </w:rPr>
  </w:style>
  <w:style w:type="character" w:customStyle="1" w:styleId="88">
    <w:name w:val="标题 9 Char1"/>
    <w:link w:val="10"/>
    <w:qFormat/>
    <w:uiPriority w:val="0"/>
    <w:rPr>
      <w:rFonts w:ascii="Cambria" w:hAnsi="Cambria" w:eastAsia="宋体" w:cs="Times New Roman"/>
      <w:kern w:val="0"/>
      <w:sz w:val="22"/>
      <w:szCs w:val="28"/>
      <w:lang w:bidi="en-US"/>
    </w:rPr>
  </w:style>
  <w:style w:type="character" w:customStyle="1" w:styleId="89">
    <w:name w:val="标题 1 Char1"/>
    <w:uiPriority w:val="0"/>
    <w:rPr>
      <w:rFonts w:ascii="仿宋_GB2312" w:hAnsi="Times New Roman" w:eastAsia="仿宋_GB2312" w:cs="Times New Roman"/>
      <w:b/>
      <w:bCs/>
      <w:kern w:val="44"/>
      <w:sz w:val="32"/>
      <w:szCs w:val="44"/>
    </w:rPr>
  </w:style>
  <w:style w:type="character" w:customStyle="1" w:styleId="90">
    <w:name w:val="标题 2 Char1"/>
    <w:uiPriority w:val="0"/>
    <w:rPr>
      <w:rFonts w:ascii="Arial" w:hAnsi="Arial" w:eastAsia="黑体" w:cs="Times New Roman"/>
      <w:b/>
      <w:bCs/>
      <w:kern w:val="0"/>
      <w:sz w:val="30"/>
      <w:szCs w:val="32"/>
    </w:rPr>
  </w:style>
  <w:style w:type="character" w:customStyle="1" w:styleId="91">
    <w:name w:val="标题 3 Char1"/>
    <w:uiPriority w:val="0"/>
    <w:rPr>
      <w:rFonts w:ascii="仿宋_GB2312" w:hAnsi="Times New Roman" w:eastAsia="仿宋_GB2312" w:cs="Times New Roman"/>
      <w:b/>
      <w:bCs/>
      <w:kern w:val="0"/>
      <w:sz w:val="28"/>
      <w:szCs w:val="32"/>
    </w:rPr>
  </w:style>
  <w:style w:type="character" w:customStyle="1" w:styleId="92">
    <w:name w:val="文档结构图 Char2"/>
    <w:link w:val="16"/>
    <w:semiHidden/>
    <w:qFormat/>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qFormat/>
    <w:uiPriority w:val="99"/>
    <w:rPr>
      <w:rFonts w:ascii="Microsoft YaHei UI" w:eastAsia="Microsoft YaHei UI"/>
      <w:sz w:val="18"/>
      <w:szCs w:val="18"/>
    </w:rPr>
  </w:style>
  <w:style w:type="character" w:customStyle="1" w:styleId="94">
    <w:name w:val="文档结构图 Char1"/>
    <w:semiHidden/>
    <w:qFormat/>
    <w:uiPriority w:val="99"/>
    <w:rPr>
      <w:rFonts w:ascii="Microsoft YaHei UI" w:eastAsia="Microsoft YaHei UI"/>
      <w:sz w:val="18"/>
      <w:szCs w:val="18"/>
    </w:rPr>
  </w:style>
  <w:style w:type="paragraph" w:customStyle="1" w:styleId="95">
    <w:name w:val="样式 标题 2 + 首行缩进:  2 字符 段前: 0.5 行 段后: 0.5 行"/>
    <w:basedOn w:val="3"/>
    <w:qFormat/>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qFormat/>
    <w:uiPriority w:val="0"/>
    <w:pPr>
      <w:spacing w:before="0" w:after="0" w:line="360" w:lineRule="auto"/>
    </w:pPr>
    <w:rPr>
      <w:rFonts w:ascii="仿宋_GB2312" w:eastAsia="仿宋_GB2312" w:cs="宋体"/>
      <w:kern w:val="0"/>
      <w:sz w:val="28"/>
      <w:szCs w:val="20"/>
    </w:rPr>
  </w:style>
  <w:style w:type="character" w:customStyle="1" w:styleId="97">
    <w:name w:val="文字 Char"/>
    <w:link w:val="61"/>
    <w:qFormat/>
    <w:uiPriority w:val="0"/>
    <w:rPr>
      <w:rFonts w:ascii="Times New Roman" w:hAnsi="Times New Roman" w:eastAsia="宋体" w:cs="Times New Roman"/>
      <w:kern w:val="0"/>
      <w:sz w:val="24"/>
      <w:szCs w:val="24"/>
    </w:rPr>
  </w:style>
  <w:style w:type="character" w:customStyle="1" w:styleId="98">
    <w:name w:val="正文文本缩进 字符"/>
    <w:basedOn w:val="46"/>
    <w:semiHidden/>
    <w:qFormat/>
    <w:uiPriority w:val="99"/>
  </w:style>
  <w:style w:type="character" w:customStyle="1" w:styleId="99">
    <w:name w:val="正文文本缩进 Char"/>
    <w:basedOn w:val="46"/>
    <w:qFormat/>
    <w:uiPriority w:val="0"/>
  </w:style>
  <w:style w:type="character" w:customStyle="1" w:styleId="100">
    <w:name w:val="正文文本缩进 Char2"/>
    <w:link w:val="20"/>
    <w:qFormat/>
    <w:uiPriority w:val="0"/>
    <w:rPr>
      <w:rFonts w:ascii="宋体" w:hAnsi="宋体" w:eastAsia="宋体" w:cs="Times New Roman"/>
      <w:kern w:val="0"/>
      <w:sz w:val="24"/>
      <w:szCs w:val="24"/>
    </w:rPr>
  </w:style>
  <w:style w:type="paragraph" w:customStyle="1" w:styleId="101">
    <w:name w:val="l_text"/>
    <w:basedOn w:val="1"/>
    <w:qFormat/>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qFormat/>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qFormat/>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qFormat/>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qFormat/>
    <w:uiPriority w:val="0"/>
    <w:rPr>
      <w:rFonts w:ascii="Arial" w:hAnsi="Arial" w:eastAsia="黑体"/>
      <w:b/>
      <w:bCs/>
      <w:color w:val="auto"/>
      <w:sz w:val="32"/>
      <w:u w:val="none"/>
    </w:rPr>
  </w:style>
  <w:style w:type="character" w:customStyle="1" w:styleId="106">
    <w:name w:val="标题 字符"/>
    <w:basedOn w:val="46"/>
    <w:qFormat/>
    <w:uiPriority w:val="10"/>
    <w:rPr>
      <w:rFonts w:asciiTheme="majorHAnsi" w:hAnsiTheme="majorHAnsi" w:eastAsiaTheme="majorEastAsia" w:cstheme="majorBidi"/>
      <w:b/>
      <w:bCs/>
      <w:sz w:val="32"/>
      <w:szCs w:val="32"/>
    </w:rPr>
  </w:style>
  <w:style w:type="character" w:customStyle="1" w:styleId="107">
    <w:name w:val="标题 Char1"/>
    <w:link w:val="40"/>
    <w:qFormat/>
    <w:uiPriority w:val="0"/>
    <w:rPr>
      <w:rFonts w:ascii="Cambria" w:hAnsi="Cambria" w:eastAsia="宋体" w:cs="Times New Roman"/>
      <w:b/>
      <w:bCs/>
      <w:kern w:val="28"/>
      <w:sz w:val="32"/>
      <w:szCs w:val="32"/>
      <w:lang w:bidi="en-US"/>
    </w:rPr>
  </w:style>
  <w:style w:type="character" w:customStyle="1" w:styleId="108">
    <w:name w:val="副标题 字符"/>
    <w:basedOn w:val="46"/>
    <w:qFormat/>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qFormat/>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qFormat/>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qFormat/>
    <w:uiPriority w:val="30"/>
    <w:rPr>
      <w:i/>
      <w:iCs/>
      <w:color w:val="4F81BD" w:themeColor="accent1"/>
      <w14:textFill>
        <w14:solidFill>
          <w14:schemeClr w14:val="accent1"/>
        </w14:solidFill>
      </w14:textFill>
    </w:rPr>
  </w:style>
  <w:style w:type="character" w:customStyle="1" w:styleId="117">
    <w:name w:val="明显引用 Char1"/>
    <w:link w:val="115"/>
    <w:qFormat/>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qFormat/>
    <w:uiPriority w:val="99"/>
    <w:rPr>
      <w:rFonts w:hAnsi="Courier New" w:cs="Courier New" w:asciiTheme="minorEastAsia"/>
    </w:rPr>
  </w:style>
  <w:style w:type="character" w:customStyle="1" w:styleId="125">
    <w:name w:val="纯文本 Char1"/>
    <w:link w:val="23"/>
    <w:qFormat/>
    <w:uiPriority w:val="0"/>
    <w:rPr>
      <w:rFonts w:ascii="宋体" w:hAnsi="Courier New" w:eastAsia="宋体" w:cs="Courier New"/>
      <w:kern w:val="0"/>
      <w:sz w:val="28"/>
      <w:szCs w:val="21"/>
    </w:rPr>
  </w:style>
  <w:style w:type="character" w:customStyle="1" w:styleId="126">
    <w:name w:val="content1"/>
    <w:qFormat/>
    <w:uiPriority w:val="0"/>
    <w:rPr>
      <w:sz w:val="21"/>
      <w:szCs w:val="21"/>
    </w:rPr>
  </w:style>
  <w:style w:type="character" w:customStyle="1" w:styleId="127">
    <w:name w:val="正文文本 字符"/>
    <w:basedOn w:val="46"/>
    <w:semiHidden/>
    <w:qFormat/>
    <w:uiPriority w:val="99"/>
  </w:style>
  <w:style w:type="character" w:customStyle="1" w:styleId="128">
    <w:name w:val="正文文本 Char1"/>
    <w:link w:val="19"/>
    <w:qFormat/>
    <w:uiPriority w:val="0"/>
    <w:rPr>
      <w:rFonts w:ascii="Times New Roman" w:hAnsi="Times New Roman" w:eastAsia="宋体" w:cs="Times New Roman"/>
      <w:kern w:val="0"/>
      <w:sz w:val="24"/>
      <w:szCs w:val="24"/>
    </w:rPr>
  </w:style>
  <w:style w:type="character" w:customStyle="1" w:styleId="129">
    <w:name w:val="正文首行缩进 Char"/>
    <w:qFormat/>
    <w:uiPriority w:val="0"/>
    <w:rPr>
      <w:rFonts w:ascii="Times New Roman" w:hAnsi="Times New Roman" w:eastAsia="宋体" w:cs="Times New Roman"/>
      <w:sz w:val="24"/>
      <w:szCs w:val="24"/>
    </w:rPr>
  </w:style>
  <w:style w:type="character" w:customStyle="1" w:styleId="130">
    <w:name w:val="正文首行缩进 Char1"/>
    <w:qFormat/>
    <w:uiPriority w:val="0"/>
    <w:rPr>
      <w:rFonts w:ascii="Times New Roman" w:hAnsi="Times New Roman" w:eastAsia="宋体" w:cs="Times New Roman"/>
      <w:sz w:val="28"/>
      <w:szCs w:val="24"/>
    </w:rPr>
  </w:style>
  <w:style w:type="paragraph" w:customStyle="1" w:styleId="131">
    <w:name w:val="样式 标题 3 + 小四 段前: 0 磅 段后: 0 磅"/>
    <w:basedOn w:val="4"/>
    <w:qFormat/>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qFormat/>
    <w:uiPriority w:val="0"/>
    <w:rPr>
      <w:rFonts w:ascii="Calibri" w:hAnsi="Calibri" w:eastAsia="宋体" w:cs="Times New Roman"/>
      <w:kern w:val="0"/>
      <w:sz w:val="16"/>
      <w:szCs w:val="16"/>
      <w:lang w:bidi="en-US"/>
    </w:rPr>
  </w:style>
  <w:style w:type="character" w:customStyle="1" w:styleId="133">
    <w:name w:val="正文文本 3 字符"/>
    <w:basedOn w:val="46"/>
    <w:semiHidden/>
    <w:qFormat/>
    <w:uiPriority w:val="99"/>
    <w:rPr>
      <w:sz w:val="16"/>
      <w:szCs w:val="16"/>
    </w:rPr>
  </w:style>
  <w:style w:type="character" w:customStyle="1" w:styleId="134">
    <w:name w:val="正文文本 3 Char1"/>
    <w:semiHidden/>
    <w:qFormat/>
    <w:uiPriority w:val="99"/>
    <w:rPr>
      <w:sz w:val="16"/>
      <w:szCs w:val="16"/>
    </w:rPr>
  </w:style>
  <w:style w:type="character" w:customStyle="1" w:styleId="135">
    <w:name w:val="正文文本缩进 3 Char2"/>
    <w:link w:val="35"/>
    <w:semiHidden/>
    <w:qFormat/>
    <w:uiPriority w:val="0"/>
    <w:rPr>
      <w:rFonts w:ascii="Calibri" w:hAnsi="Calibri" w:eastAsia="宋体" w:cs="Times New Roman"/>
      <w:kern w:val="0"/>
      <w:sz w:val="16"/>
      <w:szCs w:val="16"/>
      <w:lang w:bidi="en-US"/>
    </w:rPr>
  </w:style>
  <w:style w:type="character" w:customStyle="1" w:styleId="136">
    <w:name w:val="正文文本缩进 3 字符"/>
    <w:basedOn w:val="46"/>
    <w:semiHidden/>
    <w:qFormat/>
    <w:uiPriority w:val="99"/>
    <w:rPr>
      <w:sz w:val="16"/>
      <w:szCs w:val="16"/>
    </w:rPr>
  </w:style>
  <w:style w:type="character" w:customStyle="1" w:styleId="137">
    <w:name w:val="正文文本缩进 3 Char1"/>
    <w:semiHidden/>
    <w:qFormat/>
    <w:uiPriority w:val="99"/>
    <w:rPr>
      <w:sz w:val="16"/>
      <w:szCs w:val="16"/>
    </w:rPr>
  </w:style>
  <w:style w:type="character" w:customStyle="1" w:styleId="138">
    <w:name w:val="正文文本缩进 2 Char2"/>
    <w:link w:val="26"/>
    <w:semiHidden/>
    <w:uiPriority w:val="0"/>
    <w:rPr>
      <w:rFonts w:ascii="Times New Roman" w:hAnsi="Times New Roman" w:eastAsia="宋体" w:cs="Times New Roman"/>
      <w:sz w:val="28"/>
      <w:szCs w:val="24"/>
    </w:rPr>
  </w:style>
  <w:style w:type="character" w:customStyle="1" w:styleId="139">
    <w:name w:val="正文文本缩进 2 字符"/>
    <w:basedOn w:val="46"/>
    <w:semiHidden/>
    <w:qFormat/>
    <w:uiPriority w:val="99"/>
  </w:style>
  <w:style w:type="character" w:customStyle="1" w:styleId="140">
    <w:name w:val="正文文本缩进 2 Char1"/>
    <w:basedOn w:val="46"/>
    <w:semiHidden/>
    <w:qFormat/>
    <w:uiPriority w:val="99"/>
  </w:style>
  <w:style w:type="character" w:customStyle="1" w:styleId="141">
    <w:name w:val="正文文本 2 Char2"/>
    <w:link w:val="38"/>
    <w:semiHidden/>
    <w:qFormat/>
    <w:uiPriority w:val="0"/>
    <w:rPr>
      <w:rFonts w:ascii="Calibri" w:hAnsi="Calibri" w:eastAsia="宋体" w:cs="Times New Roman"/>
      <w:kern w:val="0"/>
      <w:sz w:val="24"/>
      <w:szCs w:val="24"/>
      <w:lang w:bidi="en-US"/>
    </w:rPr>
  </w:style>
  <w:style w:type="character" w:customStyle="1" w:styleId="142">
    <w:name w:val="正文文本 2 字符"/>
    <w:basedOn w:val="46"/>
    <w:semiHidden/>
    <w:qFormat/>
    <w:uiPriority w:val="99"/>
  </w:style>
  <w:style w:type="character" w:customStyle="1" w:styleId="143">
    <w:name w:val="正文文本 2 Char1"/>
    <w:basedOn w:val="46"/>
    <w:semiHidden/>
    <w:qFormat/>
    <w:uiPriority w:val="99"/>
  </w:style>
  <w:style w:type="paragraph" w:customStyle="1" w:styleId="144">
    <w:name w:val="样式1"/>
    <w:basedOn w:val="2"/>
    <w:next w:val="12"/>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qFormat/>
    <w:uiPriority w:val="99"/>
  </w:style>
  <w:style w:type="character" w:customStyle="1" w:styleId="146">
    <w:name w:val="注释标题 Char1"/>
    <w:link w:val="12"/>
    <w:semiHidden/>
    <w:qFormat/>
    <w:uiPriority w:val="0"/>
    <w:rPr>
      <w:rFonts w:ascii="Times New Roman" w:hAnsi="Times New Roman" w:eastAsia="宋体" w:cs="Times New Roman"/>
      <w:kern w:val="0"/>
      <w:sz w:val="28"/>
      <w:szCs w:val="24"/>
    </w:rPr>
  </w:style>
  <w:style w:type="paragraph" w:customStyle="1" w:styleId="147">
    <w:name w:val="样式2"/>
    <w:basedOn w:val="28"/>
    <w:next w:val="144"/>
    <w:qFormat/>
    <w:uiPriority w:val="0"/>
    <w:rPr>
      <w:rFonts w:ascii="Times New Roman" w:hAnsi="Times New Roman" w:eastAsia="宋体" w:cs="Times New Roman"/>
      <w:kern w:val="0"/>
    </w:rPr>
  </w:style>
  <w:style w:type="character" w:customStyle="1" w:styleId="148">
    <w:name w:val="批注框文本 Char"/>
    <w:semiHidden/>
    <w:qFormat/>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qFormat/>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qFormat/>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qFormat/>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qFormat/>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qFormat/>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qFormat/>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qFormat/>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qFormat/>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qFormat/>
    <w:uiPriority w:val="0"/>
    <w:pPr>
      <w:spacing w:before="100" w:beforeLines="100" w:after="60" w:afterLines="100" w:line="400" w:lineRule="exact"/>
    </w:pPr>
    <w:rPr>
      <w:rFonts w:eastAsia="宋体" w:cs="宋体"/>
      <w:sz w:val="30"/>
      <w:szCs w:val="20"/>
    </w:rPr>
  </w:style>
  <w:style w:type="paragraph" w:customStyle="1" w:styleId="177">
    <w:name w:val="3"/>
    <w:basedOn w:val="1"/>
    <w:next w:val="13"/>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qFormat/>
    <w:uiPriority w:val="0"/>
    <w:pPr>
      <w:tabs>
        <w:tab w:val="left" w:pos="720"/>
      </w:tabs>
      <w:spacing w:before="240" w:after="120" w:line="240" w:lineRule="auto"/>
    </w:pPr>
    <w:rPr>
      <w:rFonts w:eastAsia="黑体" w:cs="Times New Roman"/>
      <w:sz w:val="32"/>
    </w:rPr>
  </w:style>
  <w:style w:type="character" w:customStyle="1" w:styleId="181">
    <w:name w:val="标题 1 Char Char"/>
    <w:qFormat/>
    <w:uiPriority w:val="0"/>
    <w:rPr>
      <w:rFonts w:eastAsia="黑体"/>
      <w:b/>
      <w:bCs/>
      <w:kern w:val="44"/>
      <w:sz w:val="32"/>
      <w:szCs w:val="44"/>
      <w:lang w:val="en-US" w:eastAsia="zh-CN" w:bidi="ar-SA"/>
    </w:rPr>
  </w:style>
  <w:style w:type="character" w:customStyle="1" w:styleId="182">
    <w:name w:val="样式1 Char Char Char"/>
    <w:qFormat/>
    <w:uiPriority w:val="0"/>
    <w:rPr>
      <w:rFonts w:eastAsia="黑体"/>
      <w:b/>
      <w:bCs/>
      <w:kern w:val="44"/>
      <w:sz w:val="32"/>
      <w:szCs w:val="44"/>
      <w:lang w:val="en-US" w:eastAsia="zh-CN" w:bidi="ar-SA"/>
    </w:rPr>
  </w:style>
  <w:style w:type="paragraph" w:customStyle="1" w:styleId="183">
    <w:name w:val="样式 标题 1 + 小三 黑色 Char"/>
    <w:basedOn w:val="2"/>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qFormat/>
    <w:uiPriority w:val="0"/>
    <w:rPr>
      <w:rFonts w:eastAsia="黑体"/>
      <w:b/>
      <w:bCs/>
      <w:color w:val="000000"/>
      <w:kern w:val="44"/>
      <w:sz w:val="30"/>
      <w:szCs w:val="44"/>
      <w:lang w:val="en-US" w:eastAsia="zh-CN" w:bidi="ar-SA"/>
    </w:rPr>
  </w:style>
  <w:style w:type="paragraph" w:customStyle="1" w:styleId="185">
    <w:name w:val="正文文字-01"/>
    <w:basedOn w:val="1"/>
    <w:qFormat/>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qFormat/>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qFormat/>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qFormat/>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qFormat/>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qFormat/>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qFormat/>
    <w:uiPriority w:val="0"/>
    <w:pPr>
      <w:spacing w:after="0"/>
      <w:jc w:val="center"/>
    </w:pPr>
    <w:rPr>
      <w:rFonts w:ascii="宋体" w:hAnsi="宋体" w:cs="楷体_GB2312"/>
      <w:b/>
      <w:bCs/>
      <w:sz w:val="21"/>
    </w:rPr>
  </w:style>
  <w:style w:type="character" w:customStyle="1" w:styleId="200">
    <w:name w:val="TableHead Char"/>
    <w:link w:val="199"/>
    <w:qFormat/>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qFormat/>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qFormat/>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qFormat/>
    <w:uiPriority w:val="0"/>
    <w:rPr>
      <w:rFonts w:ascii="Times New Roman" w:hAnsi="Times New Roman" w:eastAsia="宋体" w:cs="Times New Roman"/>
      <w:kern w:val="0"/>
      <w:sz w:val="15"/>
      <w:szCs w:val="24"/>
    </w:rPr>
  </w:style>
  <w:style w:type="paragraph" w:customStyle="1" w:styleId="210">
    <w:name w:val="表中文字（小四）"/>
    <w:basedOn w:val="1"/>
    <w:qFormat/>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qFormat/>
    <w:uiPriority w:val="0"/>
  </w:style>
  <w:style w:type="paragraph" w:customStyle="1" w:styleId="213">
    <w:name w:val="Char Char Char Char Char Char Char Char Char Char Char Char Char Char Char Char Char Char Char Char Char Char Char Char Char"/>
    <w:basedOn w:val="1"/>
    <w:semiHidden/>
    <w:qFormat/>
    <w:uiPriority w:val="0"/>
    <w:rPr>
      <w:rFonts w:ascii="Times New Roman" w:hAnsi="Times New Roman" w:eastAsia="宋体" w:cs="Times New Roman"/>
      <w:kern w:val="0"/>
      <w:sz w:val="28"/>
      <w:szCs w:val="24"/>
    </w:rPr>
  </w:style>
  <w:style w:type="character" w:customStyle="1" w:styleId="214">
    <w:name w:val="批注文字 字符1"/>
    <w:qFormat/>
    <w:uiPriority w:val="99"/>
    <w:rPr>
      <w:rFonts w:ascii="仿宋_GB2312" w:hAnsi="Times New Roman" w:eastAsia="仿宋_GB2312" w:cs="Times New Roman"/>
      <w:kern w:val="0"/>
      <w:sz w:val="24"/>
      <w:szCs w:val="24"/>
    </w:rPr>
  </w:style>
  <w:style w:type="character" w:customStyle="1" w:styleId="215">
    <w:name w:val="批注主题 字符1"/>
    <w:semiHidden/>
    <w:qFormat/>
    <w:uiPriority w:val="99"/>
    <w:rPr>
      <w:rFonts w:ascii="仿宋_GB2312" w:hAnsi="Times New Roman" w:eastAsia="仿宋_GB2312" w:cs="Times New Roman"/>
      <w:b/>
      <w:bCs/>
      <w:kern w:val="0"/>
      <w:sz w:val="24"/>
      <w:szCs w:val="24"/>
    </w:rPr>
  </w:style>
  <w:style w:type="character" w:styleId="216">
    <w:name w:val="Placeholder Text"/>
    <w:semiHidden/>
    <w:qFormat/>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qFormat/>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qFormat/>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qFormat/>
    <w:uiPriority w:val="99"/>
    <w:rPr>
      <w:rFonts w:ascii="Arial" w:hAnsi="Arial" w:cs="Arial"/>
      <w:vanish/>
      <w:sz w:val="16"/>
      <w:szCs w:val="16"/>
    </w:rPr>
  </w:style>
  <w:style w:type="character" w:customStyle="1" w:styleId="277">
    <w:name w:val="z-窗体顶端 Char1"/>
    <w:link w:val="275"/>
    <w:semiHidden/>
    <w:qFormat/>
    <w:uiPriority w:val="99"/>
    <w:rPr>
      <w:rFonts w:ascii="Arial" w:hAnsi="Arial" w:eastAsia="宋体" w:cs="Arial"/>
      <w:vanish/>
      <w:kern w:val="0"/>
      <w:sz w:val="16"/>
      <w:szCs w:val="16"/>
    </w:rPr>
  </w:style>
  <w:style w:type="paragraph" w:customStyle="1" w:styleId="278">
    <w:name w:val="HTML Bottom of Form"/>
    <w:basedOn w:val="1"/>
    <w:next w:val="1"/>
    <w:link w:val="280"/>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qFormat/>
    <w:uiPriority w:val="99"/>
    <w:rPr>
      <w:rFonts w:ascii="Arial" w:hAnsi="Arial" w:cs="Arial"/>
      <w:vanish/>
      <w:sz w:val="16"/>
      <w:szCs w:val="16"/>
    </w:rPr>
  </w:style>
  <w:style w:type="character" w:customStyle="1" w:styleId="280">
    <w:name w:val="z-窗体底端 Char1"/>
    <w:link w:val="278"/>
    <w:qFormat/>
    <w:uiPriority w:val="99"/>
    <w:rPr>
      <w:rFonts w:ascii="Arial" w:hAnsi="Arial" w:eastAsia="宋体" w:cs="Arial"/>
      <w:vanish/>
      <w:kern w:val="0"/>
      <w:sz w:val="16"/>
      <w:szCs w:val="16"/>
    </w:rPr>
  </w:style>
  <w:style w:type="paragraph" w:customStyle="1" w:styleId="2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qFormat/>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qFormat/>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qFormat/>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qFormat/>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qFormat/>
    <w:uiPriority w:val="99"/>
  </w:style>
  <w:style w:type="character" w:customStyle="1" w:styleId="316">
    <w:name w:val="正文首行缩进 2 Char1"/>
    <w:basedOn w:val="98"/>
    <w:link w:val="43"/>
    <w:semiHidden/>
    <w:qFormat/>
    <w:uiPriority w:val="99"/>
  </w:style>
  <w:style w:type="character" w:customStyle="1" w:styleId="317">
    <w:name w:val="标题 5 Char"/>
    <w:qFormat/>
    <w:uiPriority w:val="0"/>
    <w:rPr>
      <w:rFonts w:ascii="Calibri" w:hAnsi="Calibri" w:eastAsia="宋体" w:cs="Times New Roman"/>
      <w:b/>
      <w:bCs/>
      <w:i/>
      <w:iCs/>
      <w:kern w:val="0"/>
      <w:sz w:val="26"/>
      <w:szCs w:val="26"/>
      <w:lang w:bidi="en-US"/>
    </w:rPr>
  </w:style>
  <w:style w:type="character" w:customStyle="1" w:styleId="318">
    <w:name w:val="标题 6 Char"/>
    <w:qFormat/>
    <w:uiPriority w:val="0"/>
    <w:rPr>
      <w:rFonts w:ascii="Calibri" w:hAnsi="Calibri" w:eastAsia="宋体" w:cs="Times New Roman"/>
      <w:b/>
      <w:bCs/>
      <w:kern w:val="0"/>
      <w:sz w:val="22"/>
      <w:lang w:bidi="en-US"/>
    </w:rPr>
  </w:style>
  <w:style w:type="character" w:customStyle="1" w:styleId="319">
    <w:name w:val="标题 7 Char"/>
    <w:uiPriority w:val="0"/>
    <w:rPr>
      <w:rFonts w:ascii="Calibri" w:hAnsi="Calibri" w:eastAsia="宋体" w:cs="Times New Roman"/>
      <w:kern w:val="0"/>
      <w:sz w:val="24"/>
      <w:szCs w:val="24"/>
      <w:lang w:bidi="en-US"/>
    </w:rPr>
  </w:style>
  <w:style w:type="character" w:customStyle="1" w:styleId="320">
    <w:name w:val="标题 8 Char"/>
    <w:qFormat/>
    <w:uiPriority w:val="0"/>
    <w:rPr>
      <w:rFonts w:ascii="Calibri" w:hAnsi="Calibri" w:eastAsia="宋体" w:cs="Times New Roman"/>
      <w:i/>
      <w:iCs/>
      <w:kern w:val="0"/>
      <w:sz w:val="24"/>
      <w:szCs w:val="24"/>
      <w:lang w:bidi="en-US"/>
    </w:rPr>
  </w:style>
  <w:style w:type="character" w:customStyle="1" w:styleId="321">
    <w:name w:val="标题 9 Char"/>
    <w:qFormat/>
    <w:uiPriority w:val="0"/>
    <w:rPr>
      <w:rFonts w:ascii="Cambria" w:hAnsi="Cambria" w:eastAsia="宋体" w:cs="Times New Roman"/>
      <w:kern w:val="0"/>
      <w:sz w:val="22"/>
      <w:lang w:bidi="en-US"/>
    </w:rPr>
  </w:style>
  <w:style w:type="character" w:customStyle="1" w:styleId="322">
    <w:name w:val="文档结构图 Char"/>
    <w:semiHidden/>
    <w:qFormat/>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qFormat/>
    <w:uiPriority w:val="0"/>
    <w:rPr>
      <w:rFonts w:ascii="宋体" w:hAnsi="宋体" w:eastAsia="宋体" w:cs="Times New Roman"/>
      <w:sz w:val="24"/>
      <w:szCs w:val="24"/>
    </w:rPr>
  </w:style>
  <w:style w:type="character" w:customStyle="1" w:styleId="324">
    <w:name w:val="标题 Char"/>
    <w:qFormat/>
    <w:uiPriority w:val="0"/>
    <w:rPr>
      <w:rFonts w:ascii="Cambria" w:hAnsi="Cambria" w:eastAsia="宋体" w:cs="Times New Roman"/>
      <w:b/>
      <w:bCs/>
      <w:kern w:val="28"/>
      <w:sz w:val="32"/>
      <w:szCs w:val="32"/>
      <w:lang w:bidi="en-US"/>
    </w:rPr>
  </w:style>
  <w:style w:type="character" w:customStyle="1" w:styleId="325">
    <w:name w:val="副标题 Char"/>
    <w:qFormat/>
    <w:uiPriority w:val="0"/>
    <w:rPr>
      <w:rFonts w:ascii="Cambria" w:hAnsi="Cambria" w:eastAsia="宋体" w:cs="Times New Roman"/>
      <w:kern w:val="0"/>
      <w:sz w:val="24"/>
      <w:szCs w:val="24"/>
      <w:lang w:bidi="en-US"/>
    </w:rPr>
  </w:style>
  <w:style w:type="character" w:customStyle="1" w:styleId="326">
    <w:name w:val="无间隔 Char"/>
    <w:qFormat/>
    <w:uiPriority w:val="0"/>
    <w:rPr>
      <w:rFonts w:ascii="Calibri" w:hAnsi="Calibri" w:eastAsia="宋体" w:cs="Times New Roman"/>
      <w:kern w:val="0"/>
      <w:sz w:val="24"/>
      <w:szCs w:val="24"/>
      <w:lang w:bidi="en-US"/>
    </w:rPr>
  </w:style>
  <w:style w:type="character" w:customStyle="1" w:styleId="327">
    <w:name w:val="引用 Char"/>
    <w:qFormat/>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qFormat/>
    <w:uiPriority w:val="0"/>
    <w:rPr>
      <w:rFonts w:ascii="Times New Roman" w:hAnsi="Times New Roman" w:eastAsia="宋体" w:cs="Times New Roman"/>
      <w:sz w:val="24"/>
      <w:szCs w:val="24"/>
    </w:rPr>
  </w:style>
  <w:style w:type="character" w:customStyle="1" w:styleId="331">
    <w:name w:val="正文文本 3 Char"/>
    <w:semiHidden/>
    <w:qFormat/>
    <w:uiPriority w:val="0"/>
    <w:rPr>
      <w:rFonts w:ascii="Calibri" w:hAnsi="Calibri" w:eastAsia="宋体" w:cs="Times New Roman"/>
      <w:kern w:val="0"/>
      <w:sz w:val="16"/>
      <w:szCs w:val="16"/>
      <w:lang w:bidi="en-US"/>
    </w:rPr>
  </w:style>
  <w:style w:type="character" w:customStyle="1" w:styleId="332">
    <w:name w:val="正文文本缩进 3 Char"/>
    <w:semiHidden/>
    <w:qFormat/>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qFormat/>
    <w:uiPriority w:val="0"/>
    <w:rPr>
      <w:rFonts w:ascii="Calibri" w:hAnsi="Calibri" w:eastAsia="宋体" w:cs="Times New Roman"/>
      <w:kern w:val="0"/>
      <w:sz w:val="24"/>
      <w:szCs w:val="24"/>
      <w:lang w:bidi="en-US"/>
    </w:rPr>
  </w:style>
  <w:style w:type="character" w:customStyle="1" w:styleId="335">
    <w:name w:val="注释标题 Char"/>
    <w:semiHidden/>
    <w:qFormat/>
    <w:uiPriority w:val="0"/>
    <w:rPr>
      <w:rFonts w:ascii="Times New Roman" w:hAnsi="Times New Roman" w:eastAsia="宋体" w:cs="Times New Roman"/>
      <w:sz w:val="28"/>
      <w:szCs w:val="24"/>
    </w:rPr>
  </w:style>
  <w:style w:type="character" w:customStyle="1" w:styleId="336">
    <w:name w:val="脚注文本 Char"/>
    <w:uiPriority w:val="0"/>
    <w:rPr>
      <w:rFonts w:ascii="Calibri" w:hAnsi="Calibri" w:eastAsia="宋体" w:cs="Times New Roman"/>
      <w:kern w:val="0"/>
      <w:sz w:val="20"/>
      <w:szCs w:val="20"/>
    </w:rPr>
  </w:style>
  <w:style w:type="character" w:customStyle="1" w:styleId="337">
    <w:name w:val="批注文字 Char"/>
    <w:semiHidden/>
    <w:qFormat/>
    <w:uiPriority w:val="99"/>
    <w:rPr>
      <w:rFonts w:ascii="仿宋_GB2312" w:hAnsi="Times New Roman" w:eastAsia="仿宋_GB2312" w:cs="Times New Roman"/>
      <w:kern w:val="0"/>
      <w:sz w:val="24"/>
      <w:szCs w:val="24"/>
    </w:rPr>
  </w:style>
  <w:style w:type="character" w:customStyle="1" w:styleId="338">
    <w:name w:val="批注主题 Char"/>
    <w:semiHidden/>
    <w:qFormat/>
    <w:uiPriority w:val="99"/>
    <w:rPr>
      <w:rFonts w:ascii="仿宋_GB2312" w:hAnsi="Times New Roman" w:eastAsia="仿宋_GB2312" w:cs="Times New Roman"/>
      <w:b/>
      <w:bCs/>
      <w:kern w:val="0"/>
      <w:sz w:val="24"/>
      <w:szCs w:val="24"/>
    </w:rPr>
  </w:style>
  <w:style w:type="character" w:customStyle="1" w:styleId="339">
    <w:name w:val="z-窗体顶端 Char"/>
    <w:semiHidden/>
    <w:qFormat/>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qFormat/>
    <w:uiPriority w:val="99"/>
    <w:rPr>
      <w:color w:val="605E5C"/>
      <w:shd w:val="clear" w:color="auto" w:fill="E1DFDD"/>
    </w:rPr>
  </w:style>
  <w:style w:type="character" w:customStyle="1" w:styleId="342">
    <w:name w:val="未处理的提及2"/>
    <w:basedOn w:val="46"/>
    <w:semiHidden/>
    <w:unhideWhenUsed/>
    <w:qFormat/>
    <w:uiPriority w:val="99"/>
    <w:rPr>
      <w:color w:val="605E5C"/>
      <w:shd w:val="clear" w:color="auto" w:fill="E1DFDD"/>
    </w:rPr>
  </w:style>
  <w:style w:type="paragraph" w:customStyle="1" w:styleId="343">
    <w:name w:val="Char Char Char1"/>
    <w:basedOn w:val="1"/>
    <w:semiHidden/>
    <w:uiPriority w:val="0"/>
    <w:rPr>
      <w:rFonts w:ascii="Times New Roman" w:hAnsi="Times New Roman" w:eastAsia="宋体" w:cs="Times New Roman"/>
      <w:szCs w:val="24"/>
    </w:rPr>
  </w:style>
  <w:style w:type="character" w:customStyle="1" w:styleId="344">
    <w:name w:val="批注文字 字符"/>
    <w:basedOn w:val="46"/>
    <w:uiPriority w:val="99"/>
  </w:style>
  <w:style w:type="character" w:customStyle="1" w:styleId="345">
    <w:name w:val="批注主题 字符"/>
    <w:basedOn w:val="344"/>
    <w:semiHidden/>
    <w:qFormat/>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qFormat/>
    <w:uiPriority w:val="99"/>
    <w:rPr>
      <w:color w:val="605E5C"/>
      <w:shd w:val="clear" w:color="auto" w:fill="E1DFDD"/>
    </w:rPr>
  </w:style>
  <w:style w:type="character" w:customStyle="1" w:styleId="348">
    <w:name w:val="未处理的提及4"/>
    <w:basedOn w:val="46"/>
    <w:semiHidden/>
    <w:unhideWhenUsed/>
    <w:qFormat/>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qFormat/>
    <w:uiPriority w:val="0"/>
    <w:pPr>
      <w:jc w:val="left"/>
    </w:pPr>
    <w:rPr>
      <w:rFonts w:ascii="宋体" w:hAnsi="宋体" w:eastAsia="宋体" w:cs="宋体"/>
      <w:kern w:val="0"/>
      <w:sz w:val="24"/>
      <w:szCs w:val="24"/>
    </w:rPr>
  </w:style>
  <w:style w:type="character" w:customStyle="1" w:styleId="351">
    <w:name w:val="段 Char1"/>
    <w:basedOn w:val="46"/>
    <w:link w:val="349"/>
    <w:qFormat/>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uiPriority w:val="99"/>
    <w:rPr>
      <w:color w:val="605E5C"/>
      <w:shd w:val="clear" w:color="auto" w:fill="E1DFDD"/>
    </w:rPr>
  </w:style>
  <w:style w:type="character" w:customStyle="1" w:styleId="353">
    <w:name w:val="未处理的提及6"/>
    <w:basedOn w:val="46"/>
    <w:semiHidden/>
    <w:unhideWhenUsed/>
    <w:qFormat/>
    <w:uiPriority w:val="99"/>
    <w:rPr>
      <w:color w:val="605E5C"/>
      <w:shd w:val="clear" w:color="auto" w:fill="E1DFDD"/>
    </w:rPr>
  </w:style>
  <w:style w:type="table" w:customStyle="1" w:styleId="354">
    <w:name w:val="网格型3"/>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355">
    <w:name w:val="网格型2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6">
    <w:name w:val="网格型1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jpeg"/><Relationship Id="rId22" Type="http://schemas.openxmlformats.org/officeDocument/2006/relationships/image" Target="media/image11.emf"/><Relationship Id="rId21" Type="http://schemas.openxmlformats.org/officeDocument/2006/relationships/image" Target="media/image10.emf"/><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wmf"/><Relationship Id="rId14" Type="http://schemas.openxmlformats.org/officeDocument/2006/relationships/oleObject" Target="embeddings/oleObject2.bin"/><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F85581-75A7-4BB8-9DDB-177F2A34DA93}">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Pages>
  <Words>5527</Words>
  <Characters>31509</Characters>
  <Lines>262</Lines>
  <Paragraphs>73</Paragraphs>
  <TotalTime>195</TotalTime>
  <ScaleCrop>false</ScaleCrop>
  <LinksUpToDate>false</LinksUpToDate>
  <CharactersWithSpaces>36963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2019-12-17T05:27:00Z</dcterms:created>
  <dc:creator>Administrator</dc:creator>
  <cp:lastModifiedBy>Administrator</cp:lastModifiedBy>
  <cp:lastPrinted>2019-09-29T02:51:00Z</cp:lastPrinted>
  <dcterms:modified xsi:type="dcterms:W3CDTF">2022-03-22T07:16:03Z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