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曲靖市富源县黄泥河镇老龙洞饮用水</w:t>
      </w: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委托单位：黄泥河镇人民政府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"_Toc27510292"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_Toc27510292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_Toc27510298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"_Toc27510299"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_Toc27510299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"_Toc27510309"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水文地质条件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_Toc27510309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"_Toc27510319"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_Toc27510319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"_Toc27510324"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_Toc27510324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准保护区划分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"_Toc27510329"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_Toc27510329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3.3.2 准保护区范围的确定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_Toc27510332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"_Toc27510339"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_Toc27510339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_Toc27510342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富源县老龙洞饮用水水源地基础信息表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"_Toc27510347"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富源县老龙洞集中式饮用水水源保护区划分结果表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"_Toc27510348"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富源县老龙洞饮用水水源地保护区污染源调查表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_Toc27510348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老龙洞饮用水源地区位图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老龙洞饮用水源地水系图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老龙洞饮用水源地保护区区划图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老龙洞饮用水源地保护区划污染源分布图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老龙洞饮用水源地保护区划拐点图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510292"/>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510293"/>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478744139"/>
      <w:bookmarkStart w:id="7" w:name="_Toc27510294"/>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72332582"/>
      <w:bookmarkStart w:id="9" w:name="_Toc27510295"/>
      <w:bookmarkStart w:id="10" w:name="_Toc200905490"/>
      <w:bookmarkStart w:id="11" w:name="_Toc478744140"/>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478744141"/>
      <w:bookmarkStart w:id="15" w:name="_Toc200905491"/>
      <w:bookmarkStart w:id="16" w:name="_Toc272332583"/>
      <w:bookmarkStart w:id="17" w:name="_Toc27510296"/>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72332584"/>
      <w:bookmarkStart w:id="19" w:name="_Toc200905492"/>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《地下水质量标准》（GB／T14848-2017）；</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510297"/>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510298"/>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富源县黄泥河镇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510299"/>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0729966"/>
      <w:bookmarkStart w:id="28" w:name="_Toc12456051"/>
      <w:bookmarkStart w:id="29" w:name="_Toc27510300"/>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0729967"/>
      <w:bookmarkStart w:id="31" w:name="_Toc12456052"/>
      <w:bookmarkStart w:id="32" w:name="_Toc27510301"/>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老龙洞位于富源县黄泥河镇，地理位置为东经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104°40'10"，北纬25°15'45"。</w:t>
      </w:r>
    </w:p>
    <w:p>
      <w:pPr>
        <w:pStyle w:val="4"/>
        <w:rPr>
          <w:color w:val="0D0D0D" w:themeColor="text1" w:themeTint="F2"/>
          <w14:textFill>
            <w14:solidFill>
              <w14:schemeClr w14:val="tx1">
                <w14:lumMod w14:val="95000"/>
                <w14:lumOff w14:val="5000"/>
              </w14:schemeClr>
            </w14:solidFill>
          </w14:textFill>
        </w:rPr>
      </w:pPr>
      <w:bookmarkStart w:id="33" w:name="_Toc12456053"/>
      <w:bookmarkStart w:id="34" w:name="_Toc10729968"/>
      <w:bookmarkStart w:id="35" w:name="_Toc27510302"/>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27510303"/>
      <w:bookmarkStart w:id="37" w:name="_Toc12456054"/>
      <w:bookmarkStart w:id="38" w:name="_Toc10729969"/>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12456055"/>
      <w:bookmarkStart w:id="40" w:name="_Toc10729970"/>
      <w:bookmarkStart w:id="41" w:name="_Toc27510304"/>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10729972"/>
      <w:bookmarkStart w:id="43" w:name="_Toc12456056"/>
      <w:bookmarkStart w:id="44" w:name="_Toc27510305"/>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老龙洞水源地位于富源县黄泥河镇牛场村，涉及乡镇及村委会社会经济概况统计如下。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（1）黄泥河镇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黄泥河镇位于富源县城东南部，镇政府所在地海拔1297m，西距县城92km，东与贵州省兴义市威舍同居一坝，素有“云南东大门”之称。全镇有国土面积263.27km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耕地4.87万亩（其中水田6900亩、旱地4.18万亩），农业人口人均占有耕地0.8亩。辖14个村（居）委会，140个自然村，243个村（居）民小组，67146人。2018年实现农村经济总收入28.93亿元、增长20.34%，种植粮食8.51万亩、产量3404.3万吨；出栏肉猪15.29万头、肉牛1.01万头，农林牧渔业总产值增长10%以上。</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（2）老龙洞水源地保护区范围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保护区内主要居民点涉及黄泥河镇牛场村委会的海子村、大寨村、小寨村、干厂村、龙迤村、东瓜坡村6个自然村，箐口村委会的大凹秋村。其中，海子、大寨、小寨、东瓜坡村的居民全部在保护区内，干厂、龙迤村及大凹秋部分居民居住在保护区内，保护区内居住人口478户1973人，涉及耕地面积508.62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，均为旱地；年内出栏肉猪2084头，肉牛23头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各自然村社会经济概况如下：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1）海子村（黄泥河镇牛场村委会）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海子村，属于山区，国土面积1.99km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1587m，年平均气温15.8℃，适宜种植玉米、烟叶等农作物。有耕地434亩，其中人均耕地0.97亩。全村辖1个村民小组，有农户109户，有乡村人口448人，其中农业人口448人，劳动力268人，其中从事第一产业人数179人。该村2015年农村经济总收入242.82万元，其中：种植业收入43.00万元，畜牧业收入55.6万元（其中，年内出栏肉猪536头）；第二、三产业收入144.22万元，工资性收入91.6万元。农民人均纯收入5424元，农民收入以二、三产业等为主。全村通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2）大寨村（黄泥河镇牛场村委会）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大寨，属于半山区。距离村委会2.00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距离镇8.00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，国土面积1.78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，海拔1631.00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，年平均气温15.50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，年降水量1400.00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适宜种植水稻、玉米、生姜、芭蕉芋等农作物。有耕地317.00亩，其中人均耕地0.98亩；有林地1448.00亩。全村辖2个村民小组，有农户109户，有乡村人口356人，其中农业人口356人，劳动力156人，其中从事第一产业人数85人。该村2012年农村经济总收入240.00万元，其中：种植业收入131.00万元，畜牧业收入76.00万元（其中，年内出栏肉猪142头，肉牛0头，肉羊0头）；林业收入4.00万元，第二、三产业收入30.00万元，工资性收入11.00万元。农民人均纯收入4394.00元，农民收入以种植业等为主。该村</w:t>
      </w:r>
      <w:r>
        <w:rPr>
          <w:rFonts w:hint="eastAsia" w:ascii="Times New Roman" w:hAnsi="Times New Roman" w:eastAsia="仿宋" w:cs="Times New Roman"/>
          <w:color w:val="0D0D0D" w:themeColor="text1" w:themeTint="F2"/>
          <w:sz w:val="28"/>
          <w:szCs w:val="28"/>
          <w:lang w:val="en-US" w:eastAsia="zh-CN"/>
          <w14:textFill>
            <w14:solidFill>
              <w14:schemeClr w14:val="tx1">
                <w14:lumMod w14:val="95000"/>
                <w14:lumOff w14:val="5000"/>
              </w14:schemeClr>
            </w14:solidFill>
          </w14:textFill>
        </w:rPr>
        <w:t>截至</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2012年底，全村有71户通自来水，有0户饮用井水。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3）小寨村（黄泥河镇牛场村委会）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小寨村，属于山区，国土面积2.39km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1587m，年平均气温15.8℃，适宜种植玉米、烟叶等农作物。有耕地543亩，其中人均耕地0.97亩。全村辖1个村民小组，有农户124户，有乡村人口560人，其中农业人口560人，劳动力336人，其中从事第一产业人数221人。该村2015年农村经济总收入297.9万元，其中：种植业收入81.45万元，畜牧业收入43.4万元（其中，年内出栏肉猪289头）；第二、三产业收入173.05万元，工资性收入86.6万元。农民人均纯收入5320元，农民收入以种植业、养殖业、劳务产业等为主。该村全部使用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4）龙迤村（黄泥河镇牛场村委会）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龙迤村，属于山区，国土面积2.15km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1587m，年平均气温15.8℃，适宜种植玉米、烟叶等农作物。有耕地445亩，其中人均耕地0.97亩。全村辖1个村民小组，有农户104户，有乡村人口459人，其中农业人口459人，劳动力275人，其中从事第一产业人数183人。该村2015年农村经济总收入228.68万元，其中：种植业收入48.68万元，畜牧业收入54.00万元（其中，年内出栏肉猪416头，肉牛45头）；第二、三产业收入126.00万元，工资性收入58.30万元。农民人均纯收入4981.00元，农民收入以二、三产业等为主。该村全部使用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5）东瓜坡村（黄泥河镇牛场村委会）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东瓜坡村，属于山区，国土面积1.19km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1587m，年平均气温15.8℃，适宜种植玉米、烟叶等农作物。有耕地220亩，其中人均耕地0.97亩。全村辖1个村民小组，有农户50户，有乡村人口227人，其中农业人口227人，劳动力136人，其中从事第一产业人数90人。该村2015年农村经济总收入117.1万元，其中：种植业收入33万元，畜牧业收入10.5万元（其中，年内出栏肉猪868头）；第二、三产业收入73.6万元，工资性收入42.5万元。农民人均纯收入5160元，农民收入以种植业、养殖业等为主。该村全部使用自来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6）大凹秋坡村（黄泥河镇箐口村委会）</w:t>
      </w:r>
    </w:p>
    <w:p>
      <w:pPr>
        <w:adjustRightInd w:val="0"/>
        <w:snapToGrid w:val="0"/>
        <w:spacing w:line="360" w:lineRule="auto"/>
        <w:ind w:firstLine="560" w:firstLineChars="200"/>
        <w:rPr>
          <w:rFonts w:hint="eastAsia" w:ascii="Times New Roman" w:hAnsi="Times New Roman" w:eastAsia="仿宋" w:cs="Times New Roman"/>
          <w:color w:val="0D0D0D" w:themeColor="text1" w:themeTint="F2"/>
          <w:sz w:val="28"/>
          <w:szCs w:val="28"/>
          <w:lang w:val="en-US" w:eastAsia="zh-CN"/>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大凹秋，属于半山区。距离村委会2.50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距离镇15.50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，国土面积1.24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，年平均气温20.00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，年降水量1460.00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适宜种植烤烟等农作物。有耕地589.00亩，其中人均耕地2.20亩；有林地140.00亩。全村辖1个村民小组，有农户60户，有乡村人口264人，其中农业人口264人，劳动力144人，其中从事第一产业人数111人。该村2012年农村经济总收入162.00万元，其中：种植业收入82.00万元，畜牧业收入60.00万元（其中，年内出栏肉猪82头，肉牛0头，肉羊0头）；林业收入9.00万元，第二、三产业收入4.00万元，工资性收入6.00万元。农民人均纯收入4473.00元，农民收入以烤烟等为主。该村</w:t>
      </w:r>
      <w:r>
        <w:rPr>
          <w:rFonts w:hint="eastAsia" w:ascii="Times New Roman" w:hAnsi="Times New Roman" w:eastAsia="仿宋" w:cs="Times New Roman"/>
          <w:color w:val="0D0D0D" w:themeColor="text1" w:themeTint="F2"/>
          <w:sz w:val="28"/>
          <w:szCs w:val="28"/>
          <w:lang w:val="en-US" w:eastAsia="zh-CN"/>
          <w14:textFill>
            <w14:solidFill>
              <w14:schemeClr w14:val="tx1">
                <w14:lumMod w14:val="95000"/>
                <w14:lumOff w14:val="5000"/>
              </w14:schemeClr>
            </w14:solidFill>
          </w14:textFill>
        </w:rPr>
        <w:t>截至</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2012年底，全村有63户通自来水，有0户饮用井水。</w:t>
      </w:r>
    </w:p>
    <w:p>
      <w:pPr>
        <w:pStyle w:val="3"/>
        <w:rPr>
          <w:color w:val="0D0D0D" w:themeColor="text1" w:themeTint="F2"/>
          <w14:textFill>
            <w14:solidFill>
              <w14:schemeClr w14:val="tx1">
                <w14:lumMod w14:val="95000"/>
                <w14:lumOff w14:val="5000"/>
              </w14:schemeClr>
            </w14:solidFill>
          </w14:textFill>
        </w:rPr>
      </w:pPr>
      <w:bookmarkStart w:id="45" w:name="_Toc12621568"/>
      <w:bookmarkStart w:id="46" w:name="_Toc25679051"/>
      <w:bookmarkStart w:id="47" w:name="_Toc27510306"/>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对老龙洞水源地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保护区内土地利用方式主要为旱地，占保护区面积的55.32%；其次是有林地，占保护区面积的20.96%；草地占保护区面积的15.09%；灌木林地占</w:t>
      </w:r>
      <w:bookmarkStart w:id="232" w:name="_GoBack"/>
      <w:bookmarkEnd w:id="23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保护区面积的6.86%；水域和建设用地面积较小。老龙洞水源地保护区土地利用现状见表2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老龙洞水源地保护区土地利用现状</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5"/>
        <w:gridCol w:w="1081"/>
        <w:gridCol w:w="1081"/>
        <w:gridCol w:w="1081"/>
        <w:gridCol w:w="1081"/>
        <w:gridCol w:w="1081"/>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55" w:type="dxa"/>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6495" w:type="dxa"/>
            <w:gridSpan w:val="6"/>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老龙洞水源地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55"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准保护区</w:t>
            </w:r>
          </w:p>
        </w:tc>
        <w:tc>
          <w:tcPr>
            <w:tcW w:w="2171"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55"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90"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9.59</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12.01</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183.09</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21.81</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192.68</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灌木林地</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4.23</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5.30</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58.81</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7.00</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63.04</w:t>
            </w:r>
          </w:p>
        </w:tc>
        <w:tc>
          <w:tcPr>
            <w:tcW w:w="1090"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65.99</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82.68</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442.63</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52.72</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508.62</w:t>
            </w:r>
          </w:p>
        </w:tc>
        <w:tc>
          <w:tcPr>
            <w:tcW w:w="1090"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widowControl/>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草地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138.76</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16.53</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138.76</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水域</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w:t>
            </w:r>
          </w:p>
        </w:tc>
        <w:tc>
          <w:tcPr>
            <w:tcW w:w="108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w:t>
            </w:r>
          </w:p>
        </w:tc>
        <w:tc>
          <w:tcPr>
            <w:tcW w:w="109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建设用地</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15.97</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1.90</w:t>
            </w:r>
          </w:p>
        </w:tc>
        <w:tc>
          <w:tcPr>
            <w:tcW w:w="108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15.97</w:t>
            </w:r>
          </w:p>
        </w:tc>
        <w:tc>
          <w:tcPr>
            <w:tcW w:w="109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79.81</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839.54</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919.35</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4850" cy="2886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4850" cy="2886075"/>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老龙洞水源地保护区内土地利用状况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12456059"/>
      <w:bookmarkStart w:id="49" w:name="_Toc27510307"/>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老龙洞属于地下水，现状功能为饮用水，水质功能类别为Ⅲ类。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老龙洞饮用水水源地位于曲靖市富源县黄泥河镇，根据《云南省主体功能区规划》，富源县属于省级重点开发区域。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根据《云南省生态功能区划》，老龙洞水源地位于富源县黄泥河镇，所在生态功能分区为：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27510308"/>
      <w:bookmarkStart w:id="52" w:name="_Toc1245606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老龙洞为地下水型饮用水源地，为在用水源地。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老龙洞水源地基本信息表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老龙洞</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地下水型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104°40'10"</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25°15'45"</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3" w:name="_Toc10729974"/>
      <w:bookmarkStart w:id="54" w:name="_Toc12456061"/>
      <w:bookmarkStart w:id="55" w:name="_Toc27510309"/>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水文地质条件</w:t>
      </w:r>
      <w:bookmarkEnd w:id="55"/>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根据“全国地质资料馆NGAC”（http://www.ngac.org.cn/）查询到的罗平幅（G4827）水文地质图（比例尺1:200000），老龙洞属于条带岭谷型岩溶地下水，亦称为峰丛洼地管道型地下水，该水源点以地下水类型为主系暗河出水口，距离上游落水洞2900m，落水洞上游地下水向山谷中部河道排泄，形成河流，之后在落水洞转入地下，受纳北西——南东向岩溶山脊线两侧凹地落洞溶隙通道补水，在老龙洞出露，区域地表水分水岭与地下水分水岭一致。</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该类型碳酸盐岩与碎屑岩以不同的形式分布与组合，碎屑岩常常成为自然的隔水顶/底板。在纵向上，一般情况下，柔性碎裂结构的碎屑岩较之碳酸盐岩抗侵蚀性微弱。地表水流多沿碎屑岩冲刷侵蚀形成沟谷式的负地形，碳酸盐岩则形成舒缓的山脊。有时随着碎屑岩岩性的变化或其他外因条件的影响，二者出现互为颠倒的地形效果，或者共同形成正负地形。但是，不论二者间地形形态如何，碳酸盐岩层的岩溶发育方向及溶蚀强烈带严格受到隔水底板碎屑岩的控制，岩溶作用只能在碳酸盐岩层中形成和发展，而底板顶界附近是地下水的富集、移动通道，岩溶发育强度大大加强。地表上岩溶形态稀疏、单调、规则，在隔水底板以上的部分，间断的、串珠状的发育小型洼地、漏斗，底部常以一个管道状落洞通入地下。地表落洞的连线，常常是地下水流系统的地面投影。地下水沿规则的管道作单向运动，在河谷岸边排出。依其补给途径远近、径流条件优劣，常表现出不同的动态特征。一般情况下，以峰态型径流过程曲线为常见。</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由于构造挤压，区域地层部分出现倒转现象，隔水顶板变为底板，岩溶强烈发育带亦移至新的隔水底板顶界。</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强烈抬升的新构造运动，不断改变地下水动力条件。在纵向上，地表河流的下切常以较快的速度进行，改变着局部溶蚀基准面。为了适应新的岩溶基面，地下水的溯源、下切作用加快了步伐，受外因条件影响下，出现阶梯状流程纵剖面；尤其出口部分，常出现较大的落差。暗河出水口水位高于河水，暗河内顶板坍塌严重，底板冲刷溶蚀之尖棱状石芽，显高速下切之特征。地表河流对条带岭谷区的横向侵蚀作用，常常拦腰切断顺层单向径流的地下水，使单层间出现多个局部地下分水岭，地下水在沟谷切割出两侧流出。</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区划范围水文地质图详见下图。</w:t>
      </w:r>
    </w:p>
    <w:p>
      <w:pPr>
        <w:adjustRightInd w:val="0"/>
        <w:snapToGrid w:val="0"/>
        <w:spacing w:line="360" w:lineRule="auto"/>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5990590" cy="49631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990590" cy="4963160"/>
                    </a:xfrm>
                    <a:prstGeom prst="rect">
                      <a:avLst/>
                    </a:prstGeom>
                  </pic:spPr>
                </pic:pic>
              </a:graphicData>
            </a:graphic>
          </wp:inline>
        </w:drawing>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图2</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.5.1-1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老龙洞水源地区域水文地质图</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27510310"/>
      <w:bookmarkStart w:id="57" w:name="_Toc10729975"/>
      <w:bookmarkStart w:id="58" w:name="_Toc478742807"/>
      <w:bookmarkStart w:id="59" w:name="_Toc12456062"/>
      <w:bookmarkStart w:id="60" w:name="_Toc524596427"/>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w:t>
      </w:r>
      <w:r>
        <w:rPr>
          <w:color w:val="0D0D0D" w:themeColor="text1" w:themeTint="F2"/>
          <w:sz w:val="28"/>
          <w:szCs w:val="28"/>
          <w14:textFill>
            <w14:solidFill>
              <w14:schemeClr w14:val="tx1">
                <w14:lumMod w14:val="95000"/>
                <w14:lumOff w14:val="5000"/>
              </w14:schemeClr>
            </w14:solidFill>
          </w14:textFill>
        </w:rPr>
        <w:t>供水情况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老龙洞为富源县黄泥河镇自来水厂水源点，年取水量为73万m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1.6</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老龙洞供水情况统计表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老龙洞</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73</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12456063"/>
      <w:bookmarkStart w:id="63" w:name="_Toc27510311"/>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老龙洞于2019年11月由曲靖市生态环境局富源分局委托云南蓝硕环境信息咨询有限公司对其水质开展1次监测，本区划引用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监测数据对老龙洞水环境质量进行评估。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17982969"/>
      <w:bookmarkStart w:id="65" w:name="_Toc12456064"/>
      <w:bookmarkStart w:id="66" w:name="_Toc27063979"/>
      <w:bookmarkStart w:id="67" w:name="_Toc27510312"/>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bookmarkEnd w:id="66"/>
      <w:bookmarkEnd w:id="67"/>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9年11月由曲靖市生态环境局富源分局委托云南蓝硕环境信息咨询有限公司对其水质开展1次监测，主要对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GB/T 14848-2017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常规指标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，包括色</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、嗅和味、浑浊度、肉眼可见物、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pH、总硬度</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、溶解性</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固体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氯化物、铁、锰、铜、锌、铝、挥发性酚类、阴离子表面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、耗氧量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氨氮、硫化物、钠、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总大肠菌群</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、菌落总数、亚硝酸盐、硝酸盐、氰化物、氟化物、汞、砷、硒、镉、铬（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铅、三氯甲烷、四氯化碳、笨和甲苯，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、气压、水温和电导率4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为地下水型饮用水源，按《地下水质量标准》（GB／T14848-2017）水质类别分类，老龙洞水质目标执行《地下水质量标准》（GB／T14848-2017）III类水质目标“主要适用于集中式生活饮用水水源及工农业用水”。监测指标主要为《地下水质量标准》（GB／T14848-2017）表1常规指标。老龙洞按地下水评价的主要指标及标准限值见表2.6-1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主要指标地下水</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环境质量标准限值</w:t>
      </w:r>
    </w:p>
    <w:tbl>
      <w:tblPr>
        <w:tblStyle w:val="44"/>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2"/>
        <w:gridCol w:w="2119"/>
        <w:gridCol w:w="1316"/>
        <w:gridCol w:w="1283"/>
        <w:gridCol w:w="1285"/>
        <w:gridCol w:w="1413"/>
        <w:gridCol w:w="15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732"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ind w:right="-130" w:rightChars="-62"/>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119"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参数</w:t>
            </w:r>
          </w:p>
        </w:tc>
        <w:tc>
          <w:tcPr>
            <w:tcW w:w="131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I</w:t>
            </w:r>
          </w:p>
        </w:tc>
        <w:tc>
          <w:tcPr>
            <w:tcW w:w="1283"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 2 \* ROMAN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tc>
        <w:tc>
          <w:tcPr>
            <w:tcW w:w="1285"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 3 \* ROMAN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tc>
        <w:tc>
          <w:tcPr>
            <w:tcW w:w="1413"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 4 \* ROMAN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tc>
        <w:tc>
          <w:tcPr>
            <w:tcW w:w="1502"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 5 \* ROMAN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pH值（无量纲）</w:t>
            </w:r>
          </w:p>
        </w:tc>
        <w:tc>
          <w:tcPr>
            <w:tcW w:w="388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6.5≤</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≤8.5</w:t>
            </w: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5.5≤</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＜6.5</w:t>
            </w:r>
          </w:p>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8.5≤</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＜9.0</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＜5.5</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或pH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总硬度（以CaCO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≤650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&gt;650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溶解性总固体</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铜</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锌</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铝</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挥发性酚类（以苯酚计）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阴离子表面活性剂</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不得检出</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耗氧量（COD</w:t>
            </w:r>
            <w:r>
              <w:rPr>
                <w:rFonts w:hint="eastAsia"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法，以O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氨氮（以N计）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钠</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2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总大肠杆菌（MPN</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b</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/100mL或CFU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c</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菌落总数（CFU/100mL）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2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亚硝酸盐（以N计）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≤4.80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&gt;4.80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硝酸盐（以N计）</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氰化物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氟化物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汞</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砷</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硒</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镉</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≤0.0001</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铬（六价）</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≤0.05</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铅</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1316"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28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c>
          <w:tcPr>
            <w:tcW w:w="1285"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w:t>
            </w:r>
          </w:p>
        </w:tc>
        <w:tc>
          <w:tcPr>
            <w:tcW w:w="141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w:t>
            </w:r>
          </w:p>
        </w:tc>
        <w:tc>
          <w:tcPr>
            <w:tcW w:w="1502"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三氯甲烷（ug/L）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四氯化碳（ug/L）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笨（ug/L）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w:t>
            </w:r>
          </w:p>
        </w:tc>
        <w:tc>
          <w:tcPr>
            <w:tcW w:w="211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甲苯（ug/L）</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c>
          <w:tcPr>
            <w:tcW w:w="128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≤140</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≤700</w:t>
            </w:r>
          </w:p>
        </w:tc>
        <w:tc>
          <w:tcPr>
            <w:tcW w:w="141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≤1400</w:t>
            </w: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&gt;1400</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老龙洞水源地现状水质监测点为取水口。</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8" w:name="_Toc27510313"/>
      <w:bookmarkStart w:id="69" w:name="_Toc27063980"/>
      <w:bookmarkStart w:id="70" w:name="_Toc12456065"/>
      <w:bookmarkStart w:id="71" w:name="_Toc17982970"/>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8"/>
      <w:bookmarkEnd w:id="69"/>
      <w:bookmarkEnd w:id="70"/>
      <w:bookmarkEnd w:id="71"/>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《地下水质量标准》（GB／T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14848-2017）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72" w:name="_Toc27510314"/>
      <w:bookmarkStart w:id="73" w:name="_Toc27063981"/>
      <w:bookmarkStart w:id="74" w:name="_Toc17982971"/>
      <w:bookmarkStart w:id="75" w:name="_Toc12456066"/>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72"/>
      <w:bookmarkEnd w:id="73"/>
      <w:bookmarkEnd w:id="74"/>
      <w:bookmarkEnd w:id="7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监测结果统计如下。对照《地下水质量标准》（GB／T14848-2017）表1中的标准限值。老龙洞2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的总大肠菌群和菌落总数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为地下水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4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IV</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类；其他指标均满足《地下水质量标准》（GB／T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14848-2017）III类水质标准（pH值不参与水质功能类别评价）。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老龙洞2019年常规指标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5"/>
        <w:gridCol w:w="4545"/>
        <w:gridCol w:w="2011"/>
        <w:gridCol w:w="20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1085" w:type="dxa"/>
            <w:vMerge w:val="restart"/>
            <w:tcBorders>
              <w:top w:val="single" w:color="auto" w:sz="4" w:space="0"/>
              <w:left w:val="single" w:color="auto" w:sz="4" w:space="0"/>
              <w:right w:val="single" w:color="auto" w:sz="4" w:space="0"/>
            </w:tcBorders>
            <w:shd w:val="clear" w:color="auto" w:fill="BEBEBE" w:themeFill="background1" w:themeFillShade="BF"/>
            <w:vAlign w:val="center"/>
          </w:tcPr>
          <w:p>
            <w:pPr>
              <w:widowControl/>
              <w:spacing w:line="300" w:lineRule="exact"/>
              <w:ind w:right="-130" w:rightChars="-62"/>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545" w:type="dxa"/>
            <w:vMerge w:val="restart"/>
            <w:tcBorders>
              <w:top w:val="single" w:color="auto" w:sz="4" w:space="0"/>
              <w:left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参数</w:t>
            </w:r>
          </w:p>
        </w:tc>
        <w:tc>
          <w:tcPr>
            <w:tcW w:w="4020" w:type="dxa"/>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 11月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vMerge w:val="continue"/>
            <w:tcBorders>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545" w:type="dxa"/>
            <w:vMerge w:val="continue"/>
            <w:tcBorders>
              <w:left w:val="single" w:color="auto" w:sz="4" w:space="0"/>
              <w:bottom w:val="single" w:color="auto" w:sz="4" w:space="0"/>
              <w:right w:val="single" w:color="auto" w:sz="4" w:space="0"/>
            </w:tcBorders>
            <w:shd w:val="clear" w:color="auto" w:fill="BEBEBE" w:themeFill="background1" w:themeFillShade="BF"/>
            <w:vAlign w:val="center"/>
          </w:tcPr>
          <w:p>
            <w:pPr>
              <w:spacing w:line="300" w:lineRule="exact"/>
              <w:jc w:val="center"/>
              <w:rPr>
                <w:rFonts w:ascii="Times New Roman" w:hAnsi="Times New Roman" w:eastAsia="仿宋" w:cs="Times New Roman"/>
                <w:b/>
                <w:color w:val="0D0D0D" w:themeColor="text1" w:themeTint="F2"/>
                <w:kern w:val="0"/>
                <w:sz w:val="24"/>
                <w:szCs w:val="24"/>
                <w:lang w:bidi="ar"/>
                <w14:textFill>
                  <w14:solidFill>
                    <w14:schemeClr w14:val="tx1">
                      <w14:lumMod w14:val="95000"/>
                      <w14:lumOff w14:val="5000"/>
                    </w14:schemeClr>
                  </w14:solidFill>
                </w14:textFill>
              </w:rPr>
            </w:pPr>
          </w:p>
        </w:tc>
        <w:tc>
          <w:tcPr>
            <w:tcW w:w="2011"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w:t>
            </w:r>
          </w:p>
        </w:tc>
        <w:tc>
          <w:tcPr>
            <w:tcW w:w="2009"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色</w:t>
            </w:r>
          </w:p>
        </w:tc>
        <w:tc>
          <w:tcPr>
            <w:tcW w:w="20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嗅和味</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无臭和味</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浑浊度/NTU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a</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肉眼可见物</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无</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（无量纲）</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8.29</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总硬度（以CaCO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溶解性总固体</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357</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铜</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锌</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铝</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0.008L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挥发性酚类（以苯酚计）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阴离子表面活性剂</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0.06</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耗氧量（COD</w:t>
            </w:r>
            <w:r>
              <w:rPr>
                <w:rFonts w:hint="eastAsia"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法，以O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0.9</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氨氮（以N计）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0.128</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钠</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3.72</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总大肠杆菌（MPN</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b</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/100mL或CFU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c</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w:t>
            </w:r>
          </w:p>
        </w:tc>
        <w:tc>
          <w:tcPr>
            <w:tcW w:w="2011"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w:t>
            </w:r>
            <w:r>
              <w:rPr>
                <w:rFonts w:hint="eastAsia"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1.7</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Ⅳ类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菌落总数（CFU/100mL）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108</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Ⅳ类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亚硝酸盐（以N计）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硝酸盐（以N计）</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氰化物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氟化物</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w:t>
            </w:r>
          </w:p>
        </w:tc>
        <w:tc>
          <w:tcPr>
            <w:tcW w:w="45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汞</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砷</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硒</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镉</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铬（六价）</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铅</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三氯甲烷（ug/L）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34</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四氯化碳（ug/L）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35</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笨（ug/L）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w:t>
            </w:r>
          </w:p>
        </w:tc>
        <w:tc>
          <w:tcPr>
            <w:tcW w:w="4545"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甲苯（ug/L）</w:t>
            </w:r>
          </w:p>
        </w:tc>
        <w:tc>
          <w:tcPr>
            <w:tcW w:w="2011"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5L</w:t>
            </w:r>
          </w:p>
        </w:tc>
        <w:tc>
          <w:tcPr>
            <w:tcW w:w="2009"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Ⅱ类</w:t>
            </w:r>
          </w:p>
        </w:tc>
      </w:tr>
    </w:tbl>
    <w:p>
      <w:pPr>
        <w:adjustRightInd w:val="0"/>
        <w:snapToGrid w:val="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根据老龙洞常规监测水质功能类别评价结果，结合老龙洞流域现状主要污染源，选取《地下水质量标准》（GB／T14848-2017）表1中监测的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24"/>
        <w:gridCol w:w="4622"/>
        <w:gridCol w:w="37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1324" w:type="dxa"/>
            <w:tcBorders>
              <w:top w:val="single" w:color="auto" w:sz="4" w:space="0"/>
              <w:left w:val="single" w:color="auto" w:sz="4" w:space="0"/>
              <w:right w:val="single" w:color="auto" w:sz="4" w:space="0"/>
            </w:tcBorders>
            <w:shd w:val="clear" w:color="auto" w:fill="BEBEBE" w:themeFill="background1" w:themeFillShade="BF"/>
            <w:vAlign w:val="center"/>
          </w:tcPr>
          <w:p>
            <w:pPr>
              <w:widowControl/>
              <w:spacing w:line="300" w:lineRule="exact"/>
              <w:ind w:right="-130" w:rightChars="-62"/>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622" w:type="dxa"/>
            <w:tcBorders>
              <w:top w:val="single" w:color="auto" w:sz="4" w:space="0"/>
              <w:left w:val="single" w:color="auto" w:sz="4" w:space="0"/>
              <w:right w:val="single" w:color="auto" w:sz="4" w:space="0"/>
            </w:tcBorders>
            <w:shd w:val="clear" w:color="auto" w:fill="BEBEBE" w:themeFill="background1" w:themeFillShade="BF"/>
            <w:vAlign w:val="center"/>
          </w:tcPr>
          <w:p>
            <w:pPr>
              <w:widowControl/>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参数</w:t>
            </w:r>
          </w:p>
        </w:tc>
        <w:tc>
          <w:tcPr>
            <w:tcW w:w="3704" w:type="dxa"/>
            <w:tcBorders>
              <w:top w:val="single" w:color="auto" w:sz="4" w:space="0"/>
              <w:left w:val="single" w:color="auto" w:sz="4" w:space="0"/>
              <w:right w:val="single" w:color="auto" w:sz="4" w:space="0"/>
            </w:tcBorders>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622"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色</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浑浊度/NTU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a</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pH</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总硬度（以CaCO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溶解性总固体</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铜</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锌</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铝</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挥发性酚类（以苯酚计）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阴离子表面活性剂</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耗氧量（COD</w:t>
            </w:r>
            <w:r>
              <w:rPr>
                <w:rFonts w:hint="eastAsia"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法，以O</w:t>
            </w:r>
            <w:r>
              <w:rPr>
                <w:rFonts w:ascii="Times New Roman" w:hAnsi="Times New Roman" w:eastAsia="仿宋" w:cs="Times New Roman"/>
                <w:color w:val="0D0D0D" w:themeColor="text1" w:themeTint="F2"/>
                <w:sz w:val="24"/>
                <w:szCs w:val="24"/>
                <w:vertAlign w:val="sub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氨氮（以N计）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硫化物</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钠</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622"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总大肠杆菌（MPN</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b</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/100mL或CFU</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c</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/100mL）</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菌落总数（CFU/100mL）</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622"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亚硝酸盐（以N计）</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硝酸盐（以N计）</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氰化物</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氟化物</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w:t>
            </w:r>
          </w:p>
        </w:tc>
        <w:tc>
          <w:tcPr>
            <w:tcW w:w="4622"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汞</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砷</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硒</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镉</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铬（六价）</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铅</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三氯甲烷</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四氯化碳</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笨</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34</w:t>
            </w:r>
          </w:p>
        </w:tc>
        <w:tc>
          <w:tcPr>
            <w:tcW w:w="4622"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甲苯</w:t>
            </w:r>
          </w:p>
        </w:tc>
        <w:tc>
          <w:tcPr>
            <w:tcW w:w="3704" w:type="dxa"/>
            <w:tcBorders>
              <w:top w:val="nil"/>
              <w:left w:val="single" w:color="auto" w:sz="4" w:space="0"/>
              <w:bottom w:val="single" w:color="auto" w:sz="4" w:space="0"/>
              <w:right w:val="single" w:color="auto" w:sz="4" w:space="0"/>
            </w:tcBorders>
            <w:shd w:val="clear" w:color="auto" w:fill="auto"/>
            <w:vAlign w:val="bottom"/>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《地下水质量标准》（GB／T14848-2017）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除总大肠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菌群和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菌落总数外，其他指标单因子评价指数均小于1，即达到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水质标准。总大肠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菌群和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菌落总数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单因子评价指数分别为23.9和1.08，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；p</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总硬度的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单因子评价指数分别为0.645和0.607，大于0.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，为潜在污染物。</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 xml:space="preserve">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老龙洞各项监测指标除菌落总数外，均达到《地下水质量标准》（GB／T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14848-2017）中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标准限值要求。总大肠菌群和菌落总数的单因子评价指数分别为23.9和1.08，大于0.8，为主要污染物；pH和总硬度的单因子评价指数分别为0.645和0.607，大于0.6，为潜在污染物。</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（1）总大肠</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菌群</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年11月水质监测结果，总大肠菌群监测值在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71.7MPN/100mL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，超过地下水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3.0MPN/100mL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倍。总大肠菌群的单因子评价指数为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23.9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，大于0.8，为主要污染物。</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）菌落总数</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年11月水质监测结果，菌落总数监测值在108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CFU/mL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，超过地下水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100CFU/mL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倍。菌落总数的单因子评价指数为1.08，大于0.8，为主要污染物。</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）pH</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年11月水质监测结果，</w:t>
      </w:r>
      <w:bookmarkStart w:id="76" w:name="_Hlk52446567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值为8.29，未超过</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类水质标准，水质呈弱碱性。pH的单因子评价指数为0.645，大于0.6，为潜在污染物。</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）总硬度</w:t>
      </w:r>
    </w:p>
    <w:bookmarkEnd w:id="76"/>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根据老龙洞2019年11月水质监测结果，总硬度监测值在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273mg/L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，未超过地下水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450mg/L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）。总硬度的单因子评价指数为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0.607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，为潜在污染物。</w:t>
      </w:r>
    </w:p>
    <w:p>
      <w:pPr>
        <w:pStyle w:val="3"/>
        <w:rPr>
          <w:color w:val="0D0D0D" w:themeColor="text1" w:themeTint="F2"/>
          <w14:textFill>
            <w14:solidFill>
              <w14:schemeClr w14:val="tx1">
                <w14:lumMod w14:val="95000"/>
                <w14:lumOff w14:val="5000"/>
              </w14:schemeClr>
            </w14:solidFill>
          </w14:textFill>
        </w:rPr>
      </w:pPr>
      <w:bookmarkStart w:id="77" w:name="_Toc27510315"/>
      <w:bookmarkStart w:id="78" w:name="_Toc10729980"/>
      <w:bookmarkStart w:id="79" w:name="_Toc12456067"/>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7"/>
      <w:bookmarkEnd w:id="78"/>
      <w:bookmarkEnd w:id="7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0"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通过现场踏勘及资料收集，对老龙洞水源地水源地周边及上游范围内的污染源进行调查，从点源、面源、流动源进行分析。</w:t>
      </w:r>
    </w:p>
    <w:bookmarkEnd w:id="80"/>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1" w:name="_Toc25679061"/>
      <w:bookmarkStart w:id="82" w:name="_Toc18506526"/>
      <w:bookmarkStart w:id="83" w:name="_Toc2751031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81"/>
      <w:bookmarkEnd w:id="82"/>
      <w:bookmarkEnd w:id="83"/>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4"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调查分析可知，老龙洞水源地水源地保护区范围内未发现工业企业及违法违规建设项目存在，无城镇生活污水排放口，也无规模化畜禽养殖场（小区）等点源存在。</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5" w:name="_Toc27510317"/>
      <w:bookmarkStart w:id="86" w:name="_Toc18506527"/>
      <w:bookmarkStart w:id="87" w:name="_Toc25679062"/>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85"/>
      <w:bookmarkEnd w:id="86"/>
      <w:bookmarkEnd w:id="8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8"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根据调查可知，老龙洞水源地水源地保护区范围内主要为面源污染，由村庄生活污水、村庄生活垃圾、分散式畜禽养殖、农田种植、水土流失等污染组成。</w:t>
      </w:r>
    </w:p>
    <w:bookmarkEnd w:id="88"/>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9" w:name="_Toc10729981"/>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农村生活污水</w:t>
      </w:r>
      <w:bookmarkEnd w:id="8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老龙洞水源地保护区范围内涉及1个镇、2个行政村、7个自然村，即黄泥河镇牛场村委会的海子村、大寨村、小寨村、干厂村、龙迤村、东瓜坡村6个村，箐口村委会的大凹秋1个自然村，共478户1973人，均居住在准保护区。</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采用人均排污系数法核算农村生活污水及污染物排放量。参考第一次全国污染源普查中西南区污染物排放系数，见下表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  农村人均生活污水排污系数</w:t>
      </w:r>
    </w:p>
    <w:tbl>
      <w:tblPr>
        <w:tblStyle w:val="44"/>
        <w:tblW w:w="96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1676"/>
        <w:gridCol w:w="1629"/>
        <w:gridCol w:w="1629"/>
        <w:gridCol w:w="1629"/>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45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6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污水量（L/cap.d）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45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6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24.48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19.68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0.40</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同时根据部门收资及现场调查，老龙洞水源地的7个自然村未建农村生活污水集中处理设施。</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根据保护区范围内人口统计结果及排污系数计算，老龙洞水源地保护区范围内污水、化学需氧量、氨氮、总氮、总磷排放量分别为17629.15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14.172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0.058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0.288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0.158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t/a。如下表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所示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范围内农村生活污水污染物排放量</w:t>
      </w:r>
    </w:p>
    <w:tbl>
      <w:tblPr>
        <w:tblStyle w:val="4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196"/>
        <w:gridCol w:w="907"/>
        <w:gridCol w:w="939"/>
        <w:gridCol w:w="1116"/>
        <w:gridCol w:w="1116"/>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3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1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90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11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196"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牛场村</w:t>
            </w: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海子村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4002.97</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4002.97</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3.218</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0.065</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大寨村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3180.93</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3180.93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2.557</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0.010</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小寨村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124</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5003.71</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5003.71</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4.023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0.016</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0.082</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干厂村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178.70</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178.70</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0.144</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龙迤村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52</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2055.10</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2055.10</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1.652</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0.034</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东瓜坡</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2028.29</w:t>
            </w:r>
          </w:p>
        </w:tc>
        <w:tc>
          <w:tcPr>
            <w:tcW w:w="11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2028.29</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1.631</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0.033</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箐口村</w:t>
            </w:r>
          </w:p>
        </w:tc>
        <w:tc>
          <w:tcPr>
            <w:tcW w:w="907" w:type="dxa"/>
            <w:vAlign w:val="center"/>
          </w:tcPr>
          <w:p>
            <w:pPr>
              <w:jc w:val="center"/>
              <w:rPr>
                <w:rFonts w:ascii="仿宋" w:hAnsi="仿宋" w:eastAsia="仿宋" w:cs="宋体"/>
                <w:color w:val="0D0D0D" w:themeColor="text1" w:themeTint="F2"/>
                <w:sz w:val="22"/>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大凹秋</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1179.45</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1179.45</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0.948</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0.019</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37" w:type="dxa"/>
            <w:gridSpan w:val="3"/>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478</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17629.15</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17629.15</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14.172</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0.058</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0.288</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0.158</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农村生活垃圾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老龙洞水源地保护区范围内涉及1个镇、2个行政村、7个自然村，即黄泥河镇牛场村委会的海子村、大寨村、小寨村、干厂村、龙迤村、东瓜坡村6个村，箐口村委会的大凹秋1个自然村，共478户1973人，均居住在准保护区。</w:t>
      </w:r>
    </w:p>
    <w:p>
      <w:pPr>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采用人均排污系数法核算农村生活垃圾及污染物排放量，参考第一次全国污染源普查中西南区污染物排放系数，见下表</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农村人均生活垃圾排</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系数</w:t>
      </w:r>
    </w:p>
    <w:tbl>
      <w:tblPr>
        <w:tblStyle w:val="44"/>
        <w:tblW w:w="96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5"/>
        <w:gridCol w:w="1523"/>
        <w:gridCol w:w="1519"/>
        <w:gridCol w:w="1519"/>
        <w:gridCol w:w="1523"/>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指标</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生活垃圾（kg/p.d）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bCs/>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-N（g/p.d）</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2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产生系数</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1.053</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1.755</w:t>
            </w:r>
          </w:p>
        </w:tc>
        <w:tc>
          <w:tcPr>
            <w:tcW w:w="152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15.80</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0.47</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0.79</w:t>
            </w:r>
          </w:p>
        </w:tc>
        <w:tc>
          <w:tcPr>
            <w:tcW w:w="152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根据现场调查了解生活垃圾收集清运情况，本次核算已建设生活垃圾收集处理设施的村落生活垃圾收集处理率取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人口统计结果及排污系数计算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生活垃圾、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、氨氮、总氮、总磷排放量分别为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115.22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11.378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0.338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0.569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0.230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范围内农村生活垃圾污染物排放量</w:t>
      </w:r>
    </w:p>
    <w:tbl>
      <w:tblPr>
        <w:tblStyle w:val="4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196"/>
        <w:gridCol w:w="907"/>
        <w:gridCol w:w="939"/>
        <w:gridCol w:w="1116"/>
        <w:gridCol w:w="1116"/>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3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1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90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11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196"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牛场村</w:t>
            </w: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海子村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26.16</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2.584</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大寨村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20.79</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20.79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2.053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0.061</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小寨村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124</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32.70</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32.70</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3.230</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0.161</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干厂村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1.17</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0.115</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龙迤村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52</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13.43</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13.43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1.326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07" w:type="dxa"/>
            <w:vAlign w:val="bottom"/>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东瓜坡</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13.26</w:t>
            </w:r>
          </w:p>
        </w:tc>
        <w:tc>
          <w:tcPr>
            <w:tcW w:w="11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13.26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1.309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0.065</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4"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箐口村</w:t>
            </w:r>
          </w:p>
        </w:tc>
        <w:tc>
          <w:tcPr>
            <w:tcW w:w="907" w:type="dxa"/>
            <w:vAlign w:val="center"/>
          </w:tcPr>
          <w:p>
            <w:pPr>
              <w:jc w:val="center"/>
              <w:rPr>
                <w:rFonts w:ascii="仿宋" w:hAnsi="仿宋" w:eastAsia="仿宋" w:cs="宋体"/>
                <w:color w:val="0D0D0D" w:themeColor="text1" w:themeTint="F2"/>
                <w:sz w:val="22"/>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大凹秋</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w:t>
            </w:r>
          </w:p>
        </w:tc>
        <w:tc>
          <w:tcPr>
            <w:tcW w:w="1116"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7.71</w:t>
            </w:r>
          </w:p>
        </w:tc>
        <w:tc>
          <w:tcPr>
            <w:tcW w:w="1116"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7.71</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0.761</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0.023</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0.038</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37" w:type="dxa"/>
            <w:gridSpan w:val="3"/>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478</w:t>
            </w:r>
          </w:p>
        </w:tc>
        <w:tc>
          <w:tcPr>
            <w:tcW w:w="111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bCs/>
                <w:color w:val="0D0D0D" w:themeColor="text1" w:themeTint="F2"/>
                <w:sz w:val="24"/>
                <w:szCs w:val="24"/>
                <w14:textFill>
                  <w14:solidFill>
                    <w14:schemeClr w14:val="tx1">
                      <w14:lumMod w14:val="95000"/>
                      <w14:lumOff w14:val="5000"/>
                    </w14:schemeClr>
                  </w14:solidFill>
                </w14:textFill>
              </w:rPr>
              <w:t>115.22</w:t>
            </w:r>
          </w:p>
        </w:tc>
        <w:tc>
          <w:tcPr>
            <w:tcW w:w="1116"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115.22</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11.378</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0.338</w:t>
            </w:r>
          </w:p>
        </w:tc>
        <w:tc>
          <w:tcPr>
            <w:tcW w:w="965"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0.569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0.230</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508.62hm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均为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。耕地种植施用大量的化肥农药，污染物流失对水源地造成污染。老龙洞水源地保护区范围内耕地面积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1619"/>
        <w:gridCol w:w="1619"/>
        <w:gridCol w:w="1621"/>
        <w:gridCol w:w="1621"/>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8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619" w:type="dxa"/>
            <w:shd w:val="clear" w:color="auto" w:fill="D8D8D8" w:themeFill="background1" w:themeFillShade="D9"/>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旱地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161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9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65.99</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1.485</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0.816</w:t>
            </w:r>
          </w:p>
        </w:tc>
        <w:tc>
          <w:tcPr>
            <w:tcW w:w="159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准保护区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442.63</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9.959</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0.697</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5.471</w:t>
            </w:r>
          </w:p>
        </w:tc>
        <w:tc>
          <w:tcPr>
            <w:tcW w:w="159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0"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508.62</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11.444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0.801</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6.287</w:t>
            </w:r>
          </w:p>
        </w:tc>
        <w:tc>
          <w:tcPr>
            <w:tcW w:w="159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0.725</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90" w:name="_Toc10729984"/>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4 畜禽养殖污染</w:t>
      </w:r>
      <w:bookmarkEnd w:id="9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经统计，老龙洞水源地保护区年末出栏肉猪2084头、肉牛23头，均分布在准保护区。</w:t>
      </w:r>
    </w:p>
    <w:p>
      <w:pPr>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畜禽养殖污染物产生量计算采用产污系数法，其中粪便、尿液量产生系数参照《农业农村部办公厅关于做好畜禽粪污资源化跟踪监测工作的通知（农办牧〔2018〕28号）》中肉猪、肉牛、肉鸡、肉羊标准；COD、NH</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-N、TN、TP产生系数以《第一次全国污染源普查畜禽养殖产排污系数手册》（2008年）西南地区相关参数为依据，大牲畜选用肉牛育肥标准、猪选用生猪育肥标准、家禽采用肉鸡标准，畜禽养殖产污系数见表2.7-6。</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畜禽养殖污染产生量计算系数</w:t>
      </w:r>
    </w:p>
    <w:tbl>
      <w:tblPr>
        <w:tblStyle w:val="44"/>
        <w:tblW w:w="9650" w:type="dxa"/>
        <w:jc w:val="center"/>
        <w:tblLayout w:type="fixed"/>
        <w:tblCellMar>
          <w:top w:w="0" w:type="dxa"/>
          <w:left w:w="108" w:type="dxa"/>
          <w:bottom w:w="0" w:type="dxa"/>
          <w:right w:w="108" w:type="dxa"/>
        </w:tblCellMar>
      </w:tblPr>
      <w:tblGrid>
        <w:gridCol w:w="1453"/>
        <w:gridCol w:w="1639"/>
        <w:gridCol w:w="1403"/>
        <w:gridCol w:w="1357"/>
        <w:gridCol w:w="1237"/>
        <w:gridCol w:w="1185"/>
        <w:gridCol w:w="1376"/>
      </w:tblGrid>
      <w:tr>
        <w:tblPrEx>
          <w:tblCellMar>
            <w:top w:w="0" w:type="dxa"/>
            <w:left w:w="108" w:type="dxa"/>
            <w:bottom w:w="0" w:type="dxa"/>
            <w:right w:w="108" w:type="dxa"/>
          </w:tblCellMar>
        </w:tblPrEx>
        <w:trPr>
          <w:trHeight w:val="340" w:hRule="atLeast"/>
          <w:tblHeader/>
          <w:jc w:val="center"/>
        </w:trPr>
        <w:tc>
          <w:tcPr>
            <w:tcW w:w="145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种类</w:t>
            </w:r>
          </w:p>
        </w:tc>
        <w:tc>
          <w:tcPr>
            <w:tcW w:w="163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粪便</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40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尿液量</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35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23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NH</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185"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37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大牲畜</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8.32</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2235.21</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72.87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104.1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10.17</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猪</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2.53</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403.67</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13.818</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19.74</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4.84</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羊</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0.69</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0.41</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45.014</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2.186</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3.123</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1.233</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家禽</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13.05</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0.497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专业户污染排污系数根据《第一次全国污染源普查畜禽养殖产排污系数手册》（2008年）西南地区相关参数为依据，大牲畜选用肉牛育肥标准、猪选用生猪育肥标准，选取西南地区干清粪工艺系数。畜禽养殖污染物排放经村落环境综合整治，散养流失粪尿土壤净化槽、氧化塘湿地等各种处理工艺处理，确定</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本次核算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综合削减率约为88%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污染物外排量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为化学需氧量</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39.098</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氨氮1.335</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总氮1.907</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总磷0.452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老龙洞水源地保护区范围内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养殖污染排放情况统计</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191"/>
        <w:gridCol w:w="1191"/>
        <w:gridCol w:w="1191"/>
        <w:gridCol w:w="1191"/>
        <w:gridCol w:w="1191"/>
        <w:gridCol w:w="1191"/>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31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类别</w:t>
            </w:r>
          </w:p>
        </w:tc>
        <w:tc>
          <w:tcPr>
            <w:tcW w:w="1191"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粪便</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尿液</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87"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7"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19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产生量</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862.24</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1994.32</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325.820</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11.123</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15.889</w:t>
            </w:r>
          </w:p>
        </w:tc>
        <w:tc>
          <w:tcPr>
            <w:tcW w:w="1187"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7"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排放量</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bCs/>
                <w:color w:val="0D0D0D" w:themeColor="text1" w:themeTint="F2"/>
                <w:sz w:val="24"/>
                <w:szCs w:val="24"/>
                <w14:textFill>
                  <w14:solidFill>
                    <w14:schemeClr w14:val="tx1">
                      <w14:lumMod w14:val="95000"/>
                      <w14:lumOff w14:val="5000"/>
                    </w14:schemeClr>
                  </w14:solidFill>
                </w14:textFill>
              </w:rPr>
              <w:t>——</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bCs/>
                <w:color w:val="0D0D0D" w:themeColor="text1" w:themeTint="F2"/>
                <w:sz w:val="24"/>
                <w:szCs w:val="24"/>
                <w14:textFill>
                  <w14:solidFill>
                    <w14:schemeClr w14:val="tx1">
                      <w14:lumMod w14:val="95000"/>
                      <w14:lumOff w14:val="5000"/>
                    </w14:schemeClr>
                  </w14:solidFill>
                </w14:textFill>
              </w:rPr>
              <w:t>——</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39.098</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1.335</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1.907</w:t>
            </w:r>
          </w:p>
        </w:tc>
        <w:tc>
          <w:tcPr>
            <w:tcW w:w="1187"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0.452</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5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.7-8。</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91"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91"/>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老龙洞水源地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.7-9。</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（2）老龙洞水源地</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92"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919.35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92"/>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102.92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11.20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816.43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88.80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301.55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36.94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347.76h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42.60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158.16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19.37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极强烈侵蚀面积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8.96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2834.95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26063.23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2.7-10</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1"/>
        <w:gridCol w:w="1276"/>
        <w:gridCol w:w="1843"/>
        <w:gridCol w:w="1558"/>
        <w:gridCol w:w="156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786"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4864" w:type="dxa"/>
            <w:gridSpan w:val="3"/>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老龙洞水源地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786"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56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准保护区</w:t>
            </w:r>
          </w:p>
        </w:tc>
        <w:tc>
          <w:tcPr>
            <w:tcW w:w="174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79.81</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839.54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43"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6.24</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96.68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43"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7.82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11.52</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2127"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73.57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742.86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127"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92.18</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88.48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33.39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268.16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45.39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36.10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20.52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327.24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347.76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27.89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44.05</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19.66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138.50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26.72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18.64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8.96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3078.90</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2811.76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2834.95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2457.36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23605.87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26063.23</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（3）水土流失污染物产生量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龙洞水源地保护区内水土流失现状，对保护区范围内的土壤氮磷含量进行综合分析，流失土壤中总氮含量取1.32g/kg，总磷含量取19.30mg/kg，化学需氧量含量取2.13%，按照20%的淋溶率计算水土流失污染物产生量。老龙洞水源地保护区范围内水土流失污染物产生量，如下表2.7-11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老龙洞水源地</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产生量</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3078.90</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2457.36</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10.468</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0.649</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0.009</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2811.76</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23605.87</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100.561</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6.232</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0.091</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2834.95</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26063.23</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111.029</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6.881</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0.101</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3" w:name="_Toc18506528"/>
      <w:bookmarkStart w:id="94" w:name="_Toc27510318"/>
      <w:bookmarkStart w:id="95"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93"/>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94"/>
      <w:bookmarkEnd w:id="9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乡道Y059、县道XD45及省道S213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省道主要穿过准保护区，路段长7.06km；县道穿过准保护区路段长0.78km，乡道穿过准保护区路段长2.69km；乡道穿过一级保护区路段长0.56km，其他道路路段长1.38km。省道和乡道车流量较大，对水源地存在污染风险。</w:t>
      </w:r>
    </w:p>
    <w:bookmarkEnd w:id="84"/>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6" w:name="_Toc27510319"/>
      <w:bookmarkStart w:id="97" w:name="_Toc25679064"/>
      <w:bookmarkStart w:id="98" w:name="_Toc18506529"/>
      <w:bookmarkStart w:id="99"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96"/>
      <w:bookmarkEnd w:id="97"/>
      <w:bookmarkEnd w:id="98"/>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，老龙洞水源地各级保护区内各类污染源情况见表2.7-12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从各级保护区分析，准保护区内化学需氧量、氨氮、总氮、总磷排放量占比较大，在90%以上。一级保护区内各类污染物排放量在4.11%~9.19%之间。准保护区内污染源分布较多，污染物排放量较大。</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从各污染源分析，在一级保护区内主要为农业种植及水土流失污染，化学需氧量主要污染源是水土流失，贡献率为87.58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%；氨氮主要污染源是农业种植，贡献率为100%；总氮主要污染源是农业种植、水土流失，贡献率达到55.70%、44.30%；总磷主要污染源是农业种植，贡献率为90.84%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准保护区，化学需氧量主要污染源是水土流失、畜禽养殖，贡献率分别达到57.41%、22.32%；氨氮主要污染源是畜禽养殖、农业种植，贡献率分别达到54.97%、28.71%；总氮主要污染源是水土流失、农业种植，贡献率达到43.08%、37.82%；总磷主要污染源是农业种植、畜禽养殖，贡献率分别达到40.36%、28.93%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综上分析，老龙洞水源地保护区范围内水污染防治重点为种养殖、水土流失，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其次是农村生活污染源。</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74"/>
        <w:gridCol w:w="1793"/>
        <w:gridCol w:w="1764"/>
        <w:gridCol w:w="1368"/>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1417"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79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76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3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33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1.485</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0.816</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10.468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0.649</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11.953</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1.464</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准</w:t>
            </w: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14.172</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0.058</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0.288</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11.378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0.338</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0.569</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9.959</w:t>
            </w:r>
          </w:p>
        </w:tc>
        <w:tc>
          <w:tcPr>
            <w:tcW w:w="1764"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0.697</w:t>
            </w:r>
          </w:p>
        </w:tc>
        <w:tc>
          <w:tcPr>
            <w:tcW w:w="1368"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5.471</w:t>
            </w:r>
          </w:p>
        </w:tc>
        <w:tc>
          <w:tcPr>
            <w:tcW w:w="1334"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39.098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1.335</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1.907</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100.561</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6.232</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175.169</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2.428</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14.467</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14.172</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0.058</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0.288</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11.378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0.338</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0.569</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11.444</w:t>
            </w:r>
          </w:p>
        </w:tc>
        <w:tc>
          <w:tcPr>
            <w:tcW w:w="1764"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0.801</w:t>
            </w:r>
          </w:p>
        </w:tc>
        <w:tc>
          <w:tcPr>
            <w:tcW w:w="1368"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6.287</w:t>
            </w:r>
          </w:p>
        </w:tc>
        <w:tc>
          <w:tcPr>
            <w:tcW w:w="1334"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39.098</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1.335</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1.907</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111.029</w:t>
            </w:r>
          </w:p>
        </w:tc>
        <w:tc>
          <w:tcPr>
            <w:tcW w:w="176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6.881</w:t>
            </w:r>
          </w:p>
        </w:tc>
        <w:tc>
          <w:tcPr>
            <w:tcW w:w="1334"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187.122</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2.532</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15.931</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1.666</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52950" cy="281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52950"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老龙洞水源地各级保护区污染物贡献率分布图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414520" cy="2735580"/>
            <wp:effectExtent l="0" t="0" r="508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414698" cy="2736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414520" cy="2735580"/>
            <wp:effectExtent l="0" t="0" r="508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414698" cy="2736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414520" cy="2735580"/>
            <wp:effectExtent l="0" t="0" r="508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414698" cy="27360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老龙洞水源地各级保护区内各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00" w:name="_Toc25679065"/>
      <w:bookmarkStart w:id="101" w:name="_Toc2751032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2.8 饮用水水源地水环境风险分析</w:t>
      </w:r>
      <w:bookmarkEnd w:id="100"/>
      <w:bookmarkEnd w:id="101"/>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老龙洞水源地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老龙洞水源地饮用水水源地环境风险评价结果</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96"/>
        <w:gridCol w:w="1944"/>
        <w:gridCol w:w="1436"/>
        <w:gridCol w:w="1006"/>
        <w:gridCol w:w="1226"/>
        <w:gridCol w:w="1012"/>
        <w:gridCol w:w="9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96"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1944"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442"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238"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准</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902"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96"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3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006"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22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012"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902"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L&lt;2r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006"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L</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90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存在（82.68%）</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50%~60%</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根据现场调查，老龙洞水源地保护区范围内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无固定风险源。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老龙洞水源地饮用水水源地固定源环境风险低，水源地保护区范围内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无固定污染源，固定源总分值为0，评分值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乡道Y059、县道XD45及省道S213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。其中，省道主要穿过准保护区，路段长7.06km；县道穿过准保护区路段长0.78km，乡道穿过准保护区路段长2.69km；乡道穿过一级保护区路段长0.56km，其他道路路段长1.38km。</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老龙洞水源地保护区范围内流动源总分值为17，</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Rf＞9，应采取风险应急措施。重点加强水源地周边道路车辆通行监管，严格管控准保护区内省道及县道危险品运输。</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根据调查，老龙洞水源地保护区范围内现状非点源主要有农村生活、农业种植、畜禽养殖及水土流失面源污染等，具体详见2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老龙洞水源地保护区范围内耕地面积占比为55.32%，一级保护区、准保护区均有分布。根据非点源风险值计算，非点源风险值为14，</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老龙洞水源地保护区范围内还存在农村生活污水及垃圾污染、畜禽养殖污染及水土流失污染。通过识别环境风险因素，应重点对非点源风险采取应急措施，加快农村农业面源治理及水土流失治理，降低水源保护区环境风险，保证饮用水水质安全。</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02" w:name="_Toc25679066"/>
      <w:bookmarkStart w:id="103" w:name="_Toc27510321"/>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2.9 饮用水水源保护区规范化建设</w:t>
      </w:r>
      <w:bookmarkEnd w:id="99"/>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现状及存在问题</w:t>
      </w:r>
      <w:bookmarkEnd w:id="102"/>
      <w:bookmarkEnd w:id="103"/>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4" w:name="_Toc27510322"/>
      <w:bookmarkStart w:id="105" w:name="_Toc12621595"/>
      <w:bookmarkStart w:id="106" w:name="_Toc2567906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104"/>
      <w:bookmarkEnd w:id="105"/>
      <w:bookmarkEnd w:id="106"/>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老龙洞水源地目前由黄泥河镇管理，没有设置专门的管理机构。</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7" w:name="_Toc12621596"/>
      <w:bookmarkStart w:id="108" w:name="_Toc27510323"/>
      <w:bookmarkStart w:id="109" w:name="_Toc25679068"/>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10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108"/>
      <w:bookmarkEnd w:id="109"/>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10"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10"/>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（1）面源污染相对较大</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范围内主要涉及农村生活、农业种养殖、水土流失污染等面源。</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保护区内</w:t>
      </w:r>
      <w:bookmarkStart w:id="111" w:name="_Hlk20349201"/>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个自然村小组主要分布于</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，农村生活污水及生活垃圾</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造成面源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污染。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此外，还存在大量的畜禽养殖污染，对水源地水质造成一定影响。</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老龙洞水源地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内有大量耕地，</w:t>
      </w:r>
      <w:bookmarkStart w:id="112"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耕地面积占比达到水源地保护区面积的55.32%</w:t>
      </w:r>
      <w:bookmarkEnd w:id="1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88.80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中度及以上侵蚀面积占水土流失面积的63.06%，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11"/>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13"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262626" w:themeColor="text1" w:themeTint="D9"/>
          <w:sz w:val="28"/>
          <w:szCs w:val="28"/>
          <w14:textFill>
            <w14:solidFill>
              <w14:schemeClr w14:val="tx1">
                <w14:lumMod w14:val="85000"/>
                <w14:lumOff w14:val="1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根据水环境风险源分析，老龙洞水源地流动源及非点源环境风险较大，但老龙洞水源地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after="156" w:afterLines="50" w:line="400" w:lineRule="exact"/>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14" w:name="_Toc27510324"/>
      <w:bookmarkStart w:id="115" w:name="_Toc21795750"/>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14"/>
      <w:bookmarkEnd w:id="115"/>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6" w:name="_Toc10723880"/>
      <w:bookmarkStart w:id="117" w:name="_Toc27510325"/>
      <w:bookmarkStart w:id="118" w:name="_Toc12621586"/>
      <w:bookmarkStart w:id="119" w:name="_Toc21795751"/>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6"/>
      <w:bookmarkEnd w:id="117"/>
      <w:bookmarkEnd w:id="118"/>
      <w:bookmarkEnd w:id="119"/>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、水文地质图</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老龙洞饮用水水源保护区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，对局部区域，根据实际情况</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在保障水源水质前提下按便于管理原则</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进行微调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峰丛洼地管道型水源保护区划分</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根据现场调查及结合水文地质图分析，黄泥河镇老龙洞水源地属于</w:t>
      </w: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峰丛洼地管道型</w:t>
      </w:r>
      <w:r>
        <w:rPr>
          <w:rFonts w:hint="eastAsia"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中小水源，根据</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要求，划分方法如下。</w:t>
      </w:r>
    </w:p>
    <w:p>
      <w:pPr>
        <w:adjustRightInd w:val="0"/>
        <w:snapToGrid w:val="0"/>
        <w:spacing w:line="360" w:lineRule="auto"/>
        <w:ind w:firstLine="560" w:firstLineChars="200"/>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①</w:t>
      </w: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一级保护区</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eastAsia="仿宋_GB2312"/>
          <w:color w:val="0D0D0D" w:themeColor="text1" w:themeTint="F2"/>
          <w:sz w:val="28"/>
          <w:szCs w:val="28"/>
          <w14:textFill>
            <w14:solidFill>
              <w14:schemeClr w14:val="tx1">
                <w14:lumMod w14:val="95000"/>
                <w14:lumOff w14:val="5000"/>
              </w14:schemeClr>
            </w14:solidFill>
          </w14:textFill>
        </w:rPr>
        <w:t>参照地表河流型水源地一级保护区的划分方法，即以岩溶管道为轴线，水源地上游不小于1000m，下游不小于100m，两侧宽度按</w:t>
      </w:r>
      <w:r>
        <w:rPr>
          <w:rFonts w:hint="eastAsia" w:eastAsia="仿宋_GB2312"/>
          <w:color w:val="0D0D0D" w:themeColor="text1" w:themeTint="F2"/>
          <w:sz w:val="28"/>
          <w:szCs w:val="28"/>
          <w14:textFill>
            <w14:solidFill>
              <w14:schemeClr w14:val="tx1">
                <w14:lumMod w14:val="95000"/>
                <w14:lumOff w14:val="5000"/>
              </w14:schemeClr>
            </w14:solidFill>
          </w14:textFill>
        </w:rPr>
        <w:t>公式（3）计算（</w:t>
      </w:r>
      <w:r>
        <w:rPr>
          <w:rFonts w:eastAsia="仿宋_GB2312"/>
          <w:color w:val="0D0D0D" w:themeColor="text1" w:themeTint="F2"/>
          <w:sz w:val="28"/>
          <w:szCs w:val="28"/>
          <w14:textFill>
            <w14:solidFill>
              <w14:schemeClr w14:val="tx1">
                <w14:lumMod w14:val="95000"/>
                <w14:lumOff w14:val="5000"/>
              </w14:schemeClr>
            </w14:solidFill>
          </w14:textFill>
        </w:rPr>
        <w:t>若有支流，则支流也要参加计算）。同时，在此类型岩溶水的一级保护区范围内的落水洞处也宜划分为一级保护区，划分方法是以落水洞为圆心，</w:t>
      </w:r>
      <w:r>
        <w:rPr>
          <w:rFonts w:hint="eastAsia" w:eastAsia="仿宋_GB2312"/>
          <w:color w:val="0D0D0D" w:themeColor="text1" w:themeTint="F2"/>
          <w:sz w:val="28"/>
          <w:szCs w:val="28"/>
          <w14:textFill>
            <w14:solidFill>
              <w14:schemeClr w14:val="tx1">
                <w14:lumMod w14:val="95000"/>
                <w14:lumOff w14:val="5000"/>
              </w14:schemeClr>
            </w14:solidFill>
          </w14:textFill>
        </w:rPr>
        <w:t>半径1</w:t>
      </w:r>
      <w:r>
        <w:rPr>
          <w:rFonts w:eastAsia="仿宋_GB2312"/>
          <w:color w:val="0D0D0D" w:themeColor="text1" w:themeTint="F2"/>
          <w:sz w:val="28"/>
          <w:szCs w:val="28"/>
          <w14:textFill>
            <w14:solidFill>
              <w14:schemeClr w14:val="tx1">
                <w14:lumMod w14:val="95000"/>
                <w14:lumOff w14:val="5000"/>
              </w14:schemeClr>
            </w14:solidFill>
          </w14:textFill>
        </w:rPr>
        <w:t>00m</w:t>
      </w:r>
      <w:r>
        <w:rPr>
          <w:rFonts w:hint="eastAsia" w:eastAsia="仿宋_GB2312"/>
          <w:color w:val="0D0D0D" w:themeColor="text1" w:themeTint="F2"/>
          <w:sz w:val="28"/>
          <w:szCs w:val="28"/>
          <w14:textFill>
            <w14:solidFill>
              <w14:schemeClr w14:val="tx1">
                <w14:lumMod w14:val="95000"/>
                <w14:lumOff w14:val="5000"/>
              </w14:schemeClr>
            </w14:solidFill>
          </w14:textFill>
        </w:rPr>
        <w:t>所圈定的区域，</w:t>
      </w:r>
      <w:r>
        <w:rPr>
          <w:rFonts w:eastAsia="仿宋_GB2312"/>
          <w:color w:val="0D0D0D" w:themeColor="text1" w:themeTint="F2"/>
          <w:sz w:val="28"/>
          <w:szCs w:val="28"/>
          <w14:textFill>
            <w14:solidFill>
              <w14:schemeClr w14:val="tx1">
                <w14:lumMod w14:val="95000"/>
                <w14:lumOff w14:val="5000"/>
              </w14:schemeClr>
            </w14:solidFill>
          </w14:textFill>
        </w:rPr>
        <w:t>通过落水洞的地表河流按河流型水源地一级保护区划分方法划定。</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hint="eastAsia" w:eastAsia="仿宋_GB2312"/>
          <w:color w:val="0D0D0D" w:themeColor="text1" w:themeTint="F2"/>
          <w:sz w:val="28"/>
          <w:szCs w:val="28"/>
          <w14:textFill>
            <w14:solidFill>
              <w14:schemeClr w14:val="tx1">
                <w14:lumMod w14:val="95000"/>
                <w14:lumOff w14:val="5000"/>
              </w14:schemeClr>
            </w14:solidFill>
          </w14:textFill>
        </w:rPr>
        <w:t>但因缺乏区域详细水文地质参数，因此</w:t>
      </w:r>
      <w:r>
        <w:rPr>
          <w:rFonts w:eastAsia="仿宋_GB2312"/>
          <w:color w:val="0D0D0D" w:themeColor="text1" w:themeTint="F2"/>
          <w:sz w:val="28"/>
          <w:szCs w:val="28"/>
          <w14:textFill>
            <w14:solidFill>
              <w14:schemeClr w14:val="tx1">
                <w14:lumMod w14:val="95000"/>
                <w14:lumOff w14:val="5000"/>
              </w14:schemeClr>
            </w14:solidFill>
          </w14:textFill>
        </w:rPr>
        <w:t>岩溶管道</w:t>
      </w:r>
      <w:r>
        <w:rPr>
          <w:rFonts w:hint="eastAsia" w:eastAsia="仿宋_GB2312"/>
          <w:color w:val="0D0D0D" w:themeColor="text1" w:themeTint="F2"/>
          <w:sz w:val="28"/>
          <w:szCs w:val="28"/>
          <w14:textFill>
            <w14:solidFill>
              <w14:schemeClr w14:val="tx1">
                <w14:lumMod w14:val="95000"/>
                <w14:lumOff w14:val="5000"/>
              </w14:schemeClr>
            </w14:solidFill>
          </w14:textFill>
        </w:rPr>
        <w:t>两侧以现状河流为边界。</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hint="eastAsia" w:eastAsia="仿宋_GB2312"/>
          <w:color w:val="0D0D0D" w:themeColor="text1" w:themeTint="F2"/>
          <w:sz w:val="28"/>
          <w:szCs w:val="28"/>
          <w14:textFill>
            <w14:solidFill>
              <w14:schemeClr w14:val="tx1">
                <w14:lumMod w14:val="95000"/>
                <w14:lumOff w14:val="5000"/>
              </w14:schemeClr>
            </w14:solidFill>
          </w14:textFill>
        </w:rPr>
        <w:t>②</w:t>
      </w:r>
      <w:r>
        <w:rPr>
          <w:rFonts w:eastAsia="仿宋_GB2312"/>
          <w:color w:val="0D0D0D" w:themeColor="text1" w:themeTint="F2"/>
          <w:sz w:val="28"/>
          <w:szCs w:val="28"/>
          <w14:textFill>
            <w14:solidFill>
              <w14:schemeClr w14:val="tx1">
                <w14:lumMod w14:val="95000"/>
                <w14:lumOff w14:val="5000"/>
              </w14:schemeClr>
            </w14:solidFill>
          </w14:textFill>
        </w:rPr>
        <w:t>二级保护区</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hint="eastAsia" w:eastAsia="仿宋_GB2312"/>
          <w:color w:val="0D0D0D" w:themeColor="text1" w:themeTint="F2"/>
          <w:sz w:val="28"/>
          <w:szCs w:val="28"/>
          <w14:textFill>
            <w14:solidFill>
              <w14:schemeClr w14:val="tx1">
                <w14:lumMod w14:val="95000"/>
                <w14:lumOff w14:val="5000"/>
              </w14:schemeClr>
            </w14:solidFill>
          </w14:textFill>
        </w:rPr>
        <w:t>一般</w:t>
      </w:r>
      <w:r>
        <w:rPr>
          <w:rFonts w:eastAsia="仿宋_GB2312"/>
          <w:color w:val="0D0D0D" w:themeColor="text1" w:themeTint="F2"/>
          <w:sz w:val="28"/>
          <w:szCs w:val="28"/>
          <w14:textFill>
            <w14:solidFill>
              <w14:schemeClr w14:val="tx1">
                <w14:lumMod w14:val="95000"/>
                <w14:lumOff w14:val="5000"/>
              </w14:schemeClr>
            </w14:solidFill>
          </w14:textFill>
        </w:rPr>
        <w:t>不设二级保护区</w:t>
      </w:r>
      <w:r>
        <w:rPr>
          <w:rFonts w:hint="eastAsia" w:eastAsia="仿宋_GB2312"/>
          <w:color w:val="0D0D0D" w:themeColor="text1" w:themeTint="F2"/>
          <w:sz w:val="28"/>
          <w:szCs w:val="28"/>
          <w14:textFill>
            <w14:solidFill>
              <w14:schemeClr w14:val="tx1">
                <w14:lumMod w14:val="95000"/>
                <w14:lumOff w14:val="5000"/>
              </w14:schemeClr>
            </w14:solidFill>
          </w14:textFill>
        </w:rPr>
        <w:t>。但一级保护区内有落水洞的水源，应划分落水洞周边汇水区域为二级保护区。</w:t>
      </w:r>
    </w:p>
    <w:p>
      <w:pPr>
        <w:pStyle w:val="61"/>
        <w:adjustRightInd w:val="0"/>
        <w:snapToGrid w:val="0"/>
        <w:spacing w:after="0" w:afterLines="0"/>
        <w:ind w:firstLine="200"/>
        <w:rPr>
          <w:rFonts w:eastAsia="仿宋_GB2312"/>
          <w:color w:val="0D0D0D" w:themeColor="text1" w:themeTint="F2"/>
          <w:sz w:val="28"/>
          <w:szCs w:val="28"/>
          <w14:textFill>
            <w14:solidFill>
              <w14:schemeClr w14:val="tx1">
                <w14:lumMod w14:val="95000"/>
                <w14:lumOff w14:val="5000"/>
              </w14:schemeClr>
            </w14:solidFill>
          </w14:textFill>
        </w:rPr>
      </w:pPr>
      <w:r>
        <w:rPr>
          <w:rFonts w:hint="eastAsia" w:eastAsia="仿宋_GB2312"/>
          <w:color w:val="0D0D0D" w:themeColor="text1" w:themeTint="F2"/>
          <w:sz w:val="28"/>
          <w:szCs w:val="28"/>
          <w14:textFill>
            <w14:solidFill>
              <w14:schemeClr w14:val="tx1">
                <w14:lumMod w14:val="95000"/>
                <w14:lumOff w14:val="5000"/>
              </w14:schemeClr>
            </w14:solidFill>
          </w14:textFill>
        </w:rPr>
        <w:t>③</w:t>
      </w:r>
      <w:r>
        <w:rPr>
          <w:rFonts w:eastAsia="仿宋_GB2312"/>
          <w:color w:val="0D0D0D" w:themeColor="text1" w:themeTint="F2"/>
          <w:sz w:val="28"/>
          <w:szCs w:val="28"/>
          <w14:textFill>
            <w14:solidFill>
              <w14:schemeClr w14:val="tx1">
                <w14:lumMod w14:val="95000"/>
                <w14:lumOff w14:val="5000"/>
              </w14:schemeClr>
            </w14:solidFill>
          </w14:textFill>
        </w:rPr>
        <w:t>准保护区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4"/>
          <w:szCs w:val="28"/>
          <w14:textFill>
            <w14:solidFill>
              <w14:schemeClr w14:val="tx1">
                <w14:lumMod w14:val="95000"/>
                <w14:lumOff w14:val="5000"/>
              </w14:schemeClr>
            </w14:solidFill>
          </w14:textFill>
        </w:rPr>
      </w:pPr>
      <w:r>
        <w:rPr>
          <w:rFonts w:ascii="Times New Roman" w:hAnsi="Times New Roman" w:eastAsia="仿宋_GB2312" w:cs="Times New Roman"/>
          <w:color w:val="0D0D0D" w:themeColor="text1" w:themeTint="F2"/>
          <w:sz w:val="28"/>
          <w:szCs w:val="28"/>
          <w14:textFill>
            <w14:solidFill>
              <w14:schemeClr w14:val="tx1">
                <w14:lumMod w14:val="95000"/>
                <w14:lumOff w14:val="5000"/>
              </w14:schemeClr>
            </w14:solidFill>
          </w14:textFill>
        </w:rPr>
        <w:t>必要时将水源补给区划为准保护区。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（2）地形边界法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以饮用水水源周边的山脊线</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、河流、道路等</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作为各级保护区边界的方法。</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0" w:name="_Toc21795752"/>
      <w:bookmarkStart w:id="121" w:name="_Toc27510326"/>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3.2 划分</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20"/>
      <w:bookmarkEnd w:id="121"/>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22" w:name="_Toc21795753"/>
      <w:bookmarkStart w:id="123" w:name="_Toc27510327"/>
      <w:r>
        <w:rPr>
          <w:color w:val="0D0D0D" w:themeColor="text1" w:themeTint="F2"/>
          <w:sz w:val="28"/>
          <w:szCs w:val="28"/>
          <w14:textFill>
            <w14:solidFill>
              <w14:schemeClr w14:val="tx1">
                <w14:lumMod w14:val="95000"/>
                <w14:lumOff w14:val="5000"/>
              </w14:schemeClr>
            </w14:solidFill>
          </w14:textFill>
        </w:rPr>
        <w:t xml:space="preserve">3.2.1 </w:t>
      </w:r>
      <w:r>
        <w:rPr>
          <w:rFonts w:hint="eastAsia"/>
          <w:color w:val="0D0D0D" w:themeColor="text1" w:themeTint="F2"/>
          <w:sz w:val="28"/>
          <w:szCs w:val="28"/>
          <w14:textFill>
            <w14:solidFill>
              <w14:schemeClr w14:val="tx1">
                <w14:lumMod w14:val="95000"/>
                <w14:lumOff w14:val="5000"/>
              </w14:schemeClr>
            </w14:solidFill>
          </w14:textFill>
        </w:rPr>
        <w:t>一</w:t>
      </w:r>
      <w:r>
        <w:rPr>
          <w:color w:val="0D0D0D" w:themeColor="text1" w:themeTint="F2"/>
          <w:sz w:val="28"/>
          <w:szCs w:val="28"/>
          <w14:textFill>
            <w14:solidFill>
              <w14:schemeClr w14:val="tx1">
                <w14:lumMod w14:val="95000"/>
                <w14:lumOff w14:val="5000"/>
              </w14:schemeClr>
            </w14:solidFill>
          </w14:textFill>
        </w:rPr>
        <w:t>级保护区划分</w:t>
      </w:r>
      <w:bookmarkEnd w:id="122"/>
      <w:bookmarkEnd w:id="123"/>
    </w:p>
    <w:p>
      <w:pPr>
        <w:widowControl/>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老龙洞是暗河在高于切割山谷河道处出露的地下水，距离上游落水洞约2900</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，落水洞至出露点的地下水还受暗河沿线上侧岩溶山体落洞溶隙、溶孔来水补给。出露点高于山谷河道，为此，下游不设保护区，以出露点高程等高线为下游边界，上游沿暗河管道轴线上溯1000</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暗河管道两侧以现状河流为界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24" w:name="_Toc27510328"/>
      <w:bookmarkStart w:id="125" w:name="_Toc21795755"/>
      <w:r>
        <w:rPr>
          <w:color w:val="0D0D0D" w:themeColor="text1" w:themeTint="F2"/>
          <w:sz w:val="28"/>
          <w:szCs w:val="28"/>
          <w14:textFill>
            <w14:solidFill>
              <w14:schemeClr w14:val="tx1">
                <w14:lumMod w14:val="95000"/>
                <w14:lumOff w14:val="5000"/>
              </w14:schemeClr>
            </w14:solidFill>
          </w14:textFill>
        </w:rPr>
        <w:t>3.2.</w:t>
      </w:r>
      <w:r>
        <w:rPr>
          <w:rFonts w:hint="eastAsia"/>
          <w:color w:val="0D0D0D" w:themeColor="text1" w:themeTint="F2"/>
          <w:sz w:val="28"/>
          <w:szCs w:val="28"/>
          <w14:textFill>
            <w14:solidFill>
              <w14:schemeClr w14:val="tx1">
                <w14:lumMod w14:val="95000"/>
                <w14:lumOff w14:val="5000"/>
              </w14:schemeClr>
            </w14:solidFill>
          </w14:textFill>
        </w:rPr>
        <w:t>2</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准</w:t>
      </w:r>
      <w:r>
        <w:rPr>
          <w:color w:val="0D0D0D" w:themeColor="text1" w:themeTint="F2"/>
          <w:sz w:val="28"/>
          <w:szCs w:val="28"/>
          <w14:textFill>
            <w14:solidFill>
              <w14:schemeClr w14:val="tx1">
                <w14:lumMod w14:val="95000"/>
                <w14:lumOff w14:val="5000"/>
              </w14:schemeClr>
            </w14:solidFill>
          </w14:textFill>
        </w:rPr>
        <w:t>保护区划分</w:t>
      </w:r>
      <w:bookmarkEnd w:id="124"/>
      <w:bookmarkEnd w:id="125"/>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按照区域地下水与地表分水岭一致原则，将水源点一级保护区外的地下水汇水区域划分为准保护区，但不超过省界，实际边界以河流、山脊线、道路、省界作参照。</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6" w:name="_Toc21795756"/>
      <w:bookmarkStart w:id="127" w:name="_Toc27510329"/>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3.3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6"/>
      <w:bookmarkEnd w:id="127"/>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28" w:name="_Toc21795757"/>
      <w:bookmarkStart w:id="129" w:name="_Toc27510330"/>
      <w:r>
        <w:rPr>
          <w:color w:val="0D0D0D" w:themeColor="text1" w:themeTint="F2"/>
          <w:sz w:val="28"/>
          <w:szCs w:val="28"/>
          <w14:textFill>
            <w14:solidFill>
              <w14:schemeClr w14:val="tx1">
                <w14:lumMod w14:val="95000"/>
                <w14:lumOff w14:val="5000"/>
              </w14:schemeClr>
            </w14:solidFill>
          </w14:textFill>
        </w:rPr>
        <w:t>3.3.</w:t>
      </w:r>
      <w:r>
        <w:rPr>
          <w:rFonts w:hint="eastAsia"/>
          <w:color w:val="0D0D0D" w:themeColor="text1" w:themeTint="F2"/>
          <w:sz w:val="28"/>
          <w:szCs w:val="28"/>
          <w14:textFill>
            <w14:solidFill>
              <w14:schemeClr w14:val="tx1">
                <w14:lumMod w14:val="95000"/>
                <w14:lumOff w14:val="5000"/>
              </w14:schemeClr>
            </w14:solidFill>
          </w14:textFill>
        </w:rPr>
        <w:t>1</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一</w:t>
      </w:r>
      <w:r>
        <w:rPr>
          <w:color w:val="0D0D0D" w:themeColor="text1" w:themeTint="F2"/>
          <w:sz w:val="28"/>
          <w:szCs w:val="28"/>
          <w14:textFill>
            <w14:solidFill>
              <w14:schemeClr w14:val="tx1">
                <w14:lumMod w14:val="95000"/>
                <w14:lumOff w14:val="5000"/>
              </w14:schemeClr>
            </w14:solidFill>
          </w14:textFill>
        </w:rPr>
        <w:t>级保护区</w:t>
      </w:r>
      <w:r>
        <w:rPr>
          <w:rFonts w:hint="eastAsia"/>
          <w:color w:val="0D0D0D" w:themeColor="text1" w:themeTint="F2"/>
          <w:sz w:val="28"/>
          <w:szCs w:val="28"/>
          <w14:textFill>
            <w14:solidFill>
              <w14:schemeClr w14:val="tx1">
                <w14:lumMod w14:val="95000"/>
                <w14:lumOff w14:val="5000"/>
              </w14:schemeClr>
            </w14:solidFill>
          </w14:textFill>
        </w:rPr>
        <w:t>范围的确定</w:t>
      </w:r>
      <w:bookmarkEnd w:id="128"/>
      <w:bookmarkEnd w:id="129"/>
    </w:p>
    <w:p>
      <w:pPr>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出露点沿暗河管道上溯1000m为上游边界，以出露点高程等高线为下游边界，以东西两侧河流为界，面积0.7981km</w:t>
      </w:r>
      <w:r>
        <w:rPr>
          <w:rFonts w:hint="eastAsia"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0" w:name="_Toc27510331"/>
      <w:r>
        <w:rPr>
          <w:color w:val="0D0D0D" w:themeColor="text1" w:themeTint="F2"/>
          <w:sz w:val="28"/>
          <w:szCs w:val="28"/>
          <w14:textFill>
            <w14:solidFill>
              <w14:schemeClr w14:val="tx1">
                <w14:lumMod w14:val="95000"/>
                <w14:lumOff w14:val="5000"/>
              </w14:schemeClr>
            </w14:solidFill>
          </w14:textFill>
        </w:rPr>
        <w:t>3.3.</w:t>
      </w:r>
      <w:r>
        <w:rPr>
          <w:rFonts w:hint="eastAsia"/>
          <w:color w:val="0D0D0D" w:themeColor="text1" w:themeTint="F2"/>
          <w:sz w:val="28"/>
          <w:szCs w:val="28"/>
          <w14:textFill>
            <w14:solidFill>
              <w14:schemeClr w14:val="tx1">
                <w14:lumMod w14:val="95000"/>
                <w14:lumOff w14:val="5000"/>
              </w14:schemeClr>
            </w14:solidFill>
          </w14:textFill>
        </w:rPr>
        <w:t>2</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准</w:t>
      </w:r>
      <w:r>
        <w:rPr>
          <w:color w:val="0D0D0D" w:themeColor="text1" w:themeTint="F2"/>
          <w:sz w:val="28"/>
          <w:szCs w:val="28"/>
          <w14:textFill>
            <w14:solidFill>
              <w14:schemeClr w14:val="tx1">
                <w14:lumMod w14:val="95000"/>
                <w14:lumOff w14:val="5000"/>
              </w14:schemeClr>
            </w14:solidFill>
          </w14:textFill>
        </w:rPr>
        <w:t>保护区</w:t>
      </w:r>
      <w:r>
        <w:rPr>
          <w:rFonts w:hint="eastAsia"/>
          <w:color w:val="0D0D0D" w:themeColor="text1" w:themeTint="F2"/>
          <w:sz w:val="28"/>
          <w:szCs w:val="28"/>
          <w14:textFill>
            <w14:solidFill>
              <w14:schemeClr w14:val="tx1">
                <w14:lumMod w14:val="95000"/>
                <w14:lumOff w14:val="5000"/>
              </w14:schemeClr>
            </w14:solidFill>
          </w14:textFill>
        </w:rPr>
        <w:t>范围的确定</w:t>
      </w:r>
      <w:bookmarkEnd w:id="13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按照区域地下水与地表分水岭一致原则，将水源点一级保护区外的地下水汇水区域划分为准保护区，但不超过省界，实际边界以河流、山脊线、道路、省界作参照</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，面积为8.3954 km</w:t>
      </w:r>
      <w:r>
        <w:rPr>
          <w:rFonts w:hint="eastAsia"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老龙洞</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9.1935</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饮用水水源保护区组成</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66"/>
        <w:gridCol w:w="561"/>
        <w:gridCol w:w="2978"/>
        <w:gridCol w:w="2476"/>
        <w:gridCol w:w="15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1527" w:type="dxa"/>
            <w:gridSpan w:val="2"/>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297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4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54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66"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561"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2978"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根据7.4.3.1节，参照地表河流型水源地一级保护区的划分方法，即以岩溶管道为轴线，水源地上游不小于1000m，下游不小于100m，两侧宽度按公式（3）计算。但因缺乏区域详细水文地质参数，因此岩溶管道两侧以现状河流为边界。</w:t>
            </w:r>
          </w:p>
        </w:tc>
        <w:tc>
          <w:tcPr>
            <w:tcW w:w="247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131" w:name="_Hlk25678048"/>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上出露点沿暗河管道上溯1000</w:t>
            </w: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为上游边界，以出露点高程等高线为下游边界，以东西两侧河流为界</w:t>
            </w:r>
            <w:bookmarkEnd w:id="131"/>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c>
          <w:tcPr>
            <w:tcW w:w="1541"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0.7981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66"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准保</w:t>
            </w:r>
          </w:p>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护区</w:t>
            </w:r>
          </w:p>
        </w:tc>
        <w:tc>
          <w:tcPr>
            <w:tcW w:w="561"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2978"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根据7.4.3.3节将水源补给区划为准保护区。按照区域地下水与地表分水岭一致原则，将水源点一级保护区外的地下水汇水区域划分为准保护区。</w:t>
            </w:r>
          </w:p>
        </w:tc>
        <w:tc>
          <w:tcPr>
            <w:tcW w:w="247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按照区域地下水与地表分水岭一致原则，将水源点一级保护区外的地下水汇水区域划分为准保护区，但不超过省界，实际边界以河流、山脊线、道路、省界作参照来确定范围。</w:t>
            </w:r>
          </w:p>
        </w:tc>
        <w:tc>
          <w:tcPr>
            <w:tcW w:w="1541"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8.3954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981"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541"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9.1935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22" w:type="dxa"/>
            <w:gridSpan w:val="5"/>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bookmarkEnd w:id="113"/>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2" w:name="_Toc25162371"/>
      <w:bookmarkStart w:id="133" w:name="_Toc27510332"/>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2"/>
      <w:bookmarkEnd w:id="133"/>
    </w:p>
    <w:p>
      <w:pPr>
        <w:pStyle w:val="3"/>
        <w:rPr>
          <w:color w:val="0D0D0D" w:themeColor="text1" w:themeTint="F2"/>
          <w14:textFill>
            <w14:solidFill>
              <w14:schemeClr w14:val="tx1">
                <w14:lumMod w14:val="95000"/>
                <w14:lumOff w14:val="5000"/>
              </w14:schemeClr>
            </w14:solidFill>
          </w14:textFill>
        </w:rPr>
      </w:pPr>
      <w:bookmarkStart w:id="134" w:name="_Toc27510333"/>
      <w:bookmarkStart w:id="135" w:name="_Toc25162372"/>
      <w:bookmarkStart w:id="136"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34"/>
      <w:bookmarkEnd w:id="13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），结合老龙洞水源地保护区规范化建设及管理现状、存在问题分析，针对老龙洞水源地保护区提出规范化建设项目。</w:t>
      </w:r>
      <w:bookmarkStart w:id="137" w:name="_Toc524596456"/>
    </w:p>
    <w:bookmarkEnd w:id="137"/>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8" w:name="_Toc27510334"/>
      <w:bookmarkStart w:id="139" w:name="_Toc25162373"/>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38"/>
      <w:bookmarkEnd w:id="139"/>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40" w:name="_Hlk2518139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bookmarkEnd w:id="140"/>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1" w:name="_Toc478742845"/>
      <w:bookmarkStart w:id="142" w:name="_Toc452322606"/>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1"/>
      <w:bookmarkEnd w:id="142"/>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老龙洞水源地一级保护区陆域边界长3597m，需要在一级保护区周边人类活动频繁的区域设置隔离防护设施，根据老龙洞水源地一级保护区边道路分布需要设围网的边界长560m。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（2）一级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。经测算，老龙洞水源地一级保护区边界长约3597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，共设拐点9个，需投资0.45元。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（3）准</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。经测算，老龙洞水源地准保护区边界长约15868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，共设拐点19个，需投资0.95万元。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在水源保护区的省道、县道及乡道沿线设置交通警示牌，共计10块；同时，为加强宣传保护，规划在保护区内7个自然村设置水源保护宣传牌，共计7块。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设置1块取水口告示碑，钢筋混凝土，200cm×50cm×250cm，估价2万元/座。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241"/>
        <w:gridCol w:w="1178"/>
        <w:gridCol w:w="1236"/>
        <w:gridCol w:w="160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blHeader/>
        </w:trPr>
        <w:tc>
          <w:tcPr>
            <w:tcW w:w="10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水源地</w:t>
            </w:r>
          </w:p>
        </w:tc>
        <w:tc>
          <w:tcPr>
            <w:tcW w:w="2241"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1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p>
        </w:tc>
        <w:tc>
          <w:tcPr>
            <w:tcW w:w="12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609"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180"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老龙洞</w:t>
            </w: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3597</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560m</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3597</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15868</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取水口告示牌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6264"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23.10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3" w:name="_Toc27510335"/>
      <w:bookmarkStart w:id="144" w:name="_Toc25162374"/>
      <w:bookmarkStart w:id="145" w:name="_Toc524596457"/>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43"/>
      <w:bookmarkEnd w:id="144"/>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准保护区内无新建、扩建对水体污染养殖的建设项目，无毁林开荒行为等</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老龙洞水源地保护区划分结果，一级保护区内无居民居住、畜禽养殖，无与水源保护无关的建设项目及排口，但存在大片耕地；准保护区内有大量居民居住、畜禽养殖及大片耕地。因此主要对保护区内农村生活面源污染、畜禽养殖污染及耕地种植面源污染实施控制工程；并加强保护区内道路交通污染和风险防控。</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bookmarkEnd w:id="145"/>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现状有耕地约989.88亩（65.99 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约158.38万元。</w:t>
      </w:r>
      <w:bookmarkStart w:id="146" w:name="_Toc524596458"/>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（2）准</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bookmarkEnd w:id="146"/>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老龙洞水源地准保护区内的旱地进行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442.63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66.39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老龙洞水源地准保护区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15"/>
        <w:gridCol w:w="2759"/>
        <w:gridCol w:w="141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442.63</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442.63</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66.39</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老龙洞水源地准保护区内主要涉及牛场村6个自然村和箐口村1个自然村，保护区内有478户1973人，各自然村人口较多且分布较为集中，对准保护区内各自然村实施农村生活垃圾及生活污水处置工程。</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农村生活垃圾处置工程：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建成</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“组保洁、村收集、乡（镇）转运、县（市）区处置”的城乡生活垃圾无害化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收运处置四级管理体制，将保护区内农村生活垃圾集中收集并在保护区外进行无害化处置，近期农村生活垃圾收集处理率达80%。垃圾收集基础设施（垃圾房）每个自然村设置1个，按村委会投工投劳，政府补助方式实施，投资以0.5万元/个计；每个村委会配置1辆农用三轮摩托式垃圾清运车，以2万元/辆计；垃圾清运费（含清运人员工资、运输车辆运维等），向农户定期收取后支付，以10元/户/月估算。</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老龙洞水源地准保护区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2个村委会7个自然村，每个村委会至少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根据自然村分布情况共配置垃圾清运车3辆，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；7个自然村各建设1个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，投资3.50万元；478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户垃圾清运年运维费约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5.74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共投资15.24万元。</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农村生活污水处置工程：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各自然村居住较为集中，采用集中生活污水处理方式，并将生活污水收集处理后引出流域外。准保护区主要涉及海子（109户448人）、大寨（109户356人）、小寨（124户560人）、龙迤村（包括保护区外104户459人）、东瓜坡（50户227人）、大凹秋（包括保护区外60户264人），根据各自然村生活污水产生量设计污水集中处理设施规模分别为12 t/d、10 t/d、15t/d、12t/d、6t/d、8t/d，截污管道及设施投资以1万元/ t计，预计投资63.00万元。干厂约有4户居民居住在准保护区，通过实施户普及卫生厕所，用于生活污水处理，以每户0.3万元计，需投资1.20万元。农村生活污水处理共投资64.20万元。</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老龙洞水源地准保护内主要涉及7个自然村，畜禽养殖约为肉猪2084头、肉牛23头。</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提升城乡人居环境五年行动计划”，对保护区内农户畜禽养殖实施“改圈”，规范农村畜禽养殖，加强相关宣传教育工作，提高农户污染防范意识，畜禽养殖粪便禁止排入区内地表水体。农户“改圈”按村民投工投劳，政府补助方式实施，投资按0.5万元/户计，老龙洞水源地保护区内478户，实施“改圈”达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%以上，投资约143.00万元。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7"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）交通污染和风险控制</w:t>
      </w:r>
      <w:bookmarkEnd w:id="14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老龙洞水源地饮水水源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保护区内现状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乡道Y059、县道XD45及省道S213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。其中，省道主要穿过准保护区，路段长7.06km；县道穿过准保护区路段长0.78km，乡道穿过准保护区路段长2.69km；乡道穿过一级保护区路段长0.56km，其他道路路段长1.38km。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为防止和杜绝保护区沿岸道路运输带来的污染和运输事故带来的污染隐患，</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在一级保护区和准保护区主要道路需设置路段截饮用水源保护区交通安全标志，主要道路设置截排水沟，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84.00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282"/>
        <w:gridCol w:w="8"/>
        <w:gridCol w:w="1064"/>
        <w:gridCol w:w="6"/>
        <w:gridCol w:w="1557"/>
        <w:gridCol w:w="1184"/>
        <w:gridCol w:w="1072"/>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41"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保护区划</w:t>
            </w:r>
          </w:p>
        </w:tc>
        <w:tc>
          <w:tcPr>
            <w:tcW w:w="1290" w:type="dxa"/>
            <w:gridSpan w:val="2"/>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公路名称</w:t>
            </w:r>
          </w:p>
        </w:tc>
        <w:tc>
          <w:tcPr>
            <w:tcW w:w="1070" w:type="dxa"/>
            <w:gridSpan w:val="2"/>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557"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拟采取防护措施</w:t>
            </w:r>
          </w:p>
        </w:tc>
        <w:tc>
          <w:tcPr>
            <w:tcW w:w="1184"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07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808"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1"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乡道Y059</w:t>
            </w:r>
          </w:p>
        </w:tc>
        <w:tc>
          <w:tcPr>
            <w:tcW w:w="1070"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0.56</w:t>
            </w:r>
          </w:p>
        </w:tc>
        <w:tc>
          <w:tcPr>
            <w:tcW w:w="1557"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184"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0.56km</w:t>
            </w:r>
          </w:p>
        </w:tc>
        <w:tc>
          <w:tcPr>
            <w:tcW w:w="107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8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1" w:type="dxa"/>
            <w:vMerge w:val="restart"/>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省道</w:t>
            </w:r>
          </w:p>
        </w:tc>
        <w:tc>
          <w:tcPr>
            <w:tcW w:w="1070"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7.06</w:t>
            </w:r>
          </w:p>
        </w:tc>
        <w:tc>
          <w:tcPr>
            <w:tcW w:w="1557"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4"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7.06km</w:t>
            </w:r>
          </w:p>
        </w:tc>
        <w:tc>
          <w:tcPr>
            <w:tcW w:w="107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1" w:type="dxa"/>
            <w:vMerge w:val="continue"/>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县道</w:t>
            </w:r>
          </w:p>
        </w:tc>
        <w:tc>
          <w:tcPr>
            <w:tcW w:w="1070"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0.78</w:t>
            </w:r>
          </w:p>
        </w:tc>
        <w:tc>
          <w:tcPr>
            <w:tcW w:w="1557"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0.78km</w:t>
            </w:r>
          </w:p>
        </w:tc>
        <w:tc>
          <w:tcPr>
            <w:tcW w:w="10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23"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72"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563"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07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84.00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8" w:name="_Toc524596461"/>
      <w:bookmarkStart w:id="149" w:name="_Toc25162375"/>
      <w:bookmarkStart w:id="150" w:name="_Toc27510336"/>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48"/>
      <w:bookmarkEnd w:id="149"/>
      <w:bookmarkEnd w:id="150"/>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对老龙洞水源地一级保护区内全部退耕地989.88亩实施人工造林。投资以0.15万元/亩计。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416"/>
        <w:gridCol w:w="12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894"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1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65.99</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65.99</w:t>
            </w:r>
          </w:p>
        </w:tc>
        <w:tc>
          <w:tcPr>
            <w:tcW w:w="141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989.88</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148.48</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土地利用现状、水土流失现状、水土保持工作方向和水源保护的相关要求，水源地保护区的一级保护区全部作为生态用地，本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规划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对一级保护区内的流失面积40.18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、准保护区内的流失面积474.70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257.44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26"/>
        <w:gridCol w:w="1749"/>
        <w:gridCol w:w="1749"/>
        <w:gridCol w:w="1749"/>
        <w:gridCol w:w="17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73.57</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40.18</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20.09</w:t>
            </w:r>
          </w:p>
        </w:tc>
        <w:tc>
          <w:tcPr>
            <w:tcW w:w="1749"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742.86</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474.70</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237.35</w:t>
            </w:r>
          </w:p>
        </w:tc>
        <w:tc>
          <w:tcPr>
            <w:tcW w:w="174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816.43</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514.88</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257.44</w:t>
            </w:r>
          </w:p>
        </w:tc>
        <w:tc>
          <w:tcPr>
            <w:tcW w:w="174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1" w:name="_Toc27510337"/>
      <w:bookmarkStart w:id="152" w:name="_Toc25162376"/>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51"/>
      <w:bookmarkEnd w:id="152"/>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环境监测是水源地水环境质量监管的最有效方式，也是保护工作成效的重要考核依据。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需要加强水源监测工作，合理布置监测点位，建立常规监测机制，增加监测频次，水质监测结果向社会公布，及时反映水源水质状况，确保饮用水安全。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2891"/>
        <w:gridCol w:w="1595"/>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95"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1595"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1832"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04"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《地下水质量标准》（GB／T14848-2017）</w:t>
            </w:r>
          </w:p>
        </w:tc>
        <w:tc>
          <w:tcPr>
            <w:tcW w:w="289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37项常规指标</w:t>
            </w:r>
          </w:p>
        </w:tc>
        <w:tc>
          <w:tcPr>
            <w:tcW w:w="1595"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183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04"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89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2项常规指标（放射性指标）和54项非常规指标</w:t>
            </w:r>
          </w:p>
        </w:tc>
        <w:tc>
          <w:tcPr>
            <w:tcW w:w="1595"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1832"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（2）预警及应急能力建设工程</w:t>
      </w:r>
    </w:p>
    <w:p>
      <w:pPr>
        <w:widowControl/>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包括保护区范围划定工程、保护区整治工程、生态恢复与建设工程、管理能力建设工程等四大类，共12项具体工程内容。</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1015.23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老龙洞水源地饮用水水源保护区规范化建设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60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418"/>
        <w:gridCol w:w="8221"/>
        <w:gridCol w:w="1559"/>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418"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8221"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55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40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老龙洞水源地一级保护区西侧沿乡道设立围网</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560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，一级保护区按拐点设置界桩9个、准保护区设置界桩19个，保护区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7个自然村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块，取水口告示牌1块。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23.10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989.88</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亩实施退耕还林。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158.38</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农村生活污水处理工程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保护区内自然村建设生活污水集中处理设施，完善截污沟渠及管网，共设计污水处理规模63t/d，以处理一吨污水投资1万元计；分散住户采用户用卫生厕所处理生活污水。</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64.20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农村生活垃圾污染控制工程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w:t>
            </w:r>
            <w:r>
              <w:rPr>
                <w:rFonts w:ascii="仿宋" w:hAnsi="仿宋" w:eastAsia="仿宋" w:cs="宋体"/>
                <w:color w:val="0D0D0D" w:themeColor="text1" w:themeTint="F2"/>
                <w:kern w:val="0"/>
                <w:sz w:val="24"/>
                <w:szCs w:val="24"/>
                <w14:textFill>
                  <w14:solidFill>
                    <w14:schemeClr w14:val="tx1">
                      <w14:lumMod w14:val="95000"/>
                      <w14:lumOff w14:val="5000"/>
                    </w14:schemeClr>
                  </w14:solidFill>
                </w14:textFill>
              </w:rPr>
              <w:t>成“组保洁、村收集、乡（镇）转运、县（市）区处置”的城乡</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生活垃圾无害化收运处置四级管理体制。</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老龙洞水源地</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涉及2个行政村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478</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个自然村垃圾收集基础设施投资约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3.50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万元，2个村委会配备垃圾清运车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辆，共计</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6.00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478</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户垃圾清运年运维费约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5.74</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万元/年。</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15.24</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对准保护区内旱地进行测土配方施肥技术，有效降低保护区耕地化肥施用量，实施总面积约</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442.63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66.39</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农村畜禽养殖面源控制工程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准保护区内农户实施“改圈”，“改圈”率达到6</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0</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%以上，规范农村畜禽养殖，投资按0.5万元/户计。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143.00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老龙洞水源地完善一级保护区内0.56km乡道、准保护区内省道7.06km及县道0.78km路段的截排水沟。</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84.00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对老龙洞水源地一级保护区内全部耕地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989.88亩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实施人工造林。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148.48</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对水源地保护区内水土流失面积进行综合治理，同时开展水土流失监测。老龙洞水源地一级保护区水土流失治理面积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40.18</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，准保护区水土流失治理面积474.70hm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257.44</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老龙洞水源地</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保护区，定期开展饮用水水源地环境状况评估。</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县水利局、县生态环境分局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5"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1015.23</w:t>
            </w:r>
          </w:p>
        </w:tc>
        <w:tc>
          <w:tcPr>
            <w:tcW w:w="1407"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sectPr>
          <w:pgSz w:w="16838" w:h="11906" w:orient="landscape"/>
          <w:pgMar w:top="1800" w:right="1440" w:bottom="1800" w:left="1440" w:header="851" w:footer="992" w:gutter="0"/>
          <w:pgNumType w:fmt="numberInDash"/>
          <w:cols w:space="425" w:num="1"/>
          <w:docGrid w:type="lines" w:linePitch="312" w:charSpace="0"/>
        </w:sectPr>
      </w:pPr>
    </w:p>
    <w:bookmarkEnd w:id="136"/>
    <w:p>
      <w:pPr>
        <w:pStyle w:val="3"/>
        <w:rPr>
          <w:color w:val="0D0D0D" w:themeColor="text1" w:themeTint="F2"/>
          <w14:textFill>
            <w14:solidFill>
              <w14:schemeClr w14:val="tx1">
                <w14:lumMod w14:val="95000"/>
                <w14:lumOff w14:val="5000"/>
              </w14:schemeClr>
            </w14:solidFill>
          </w14:textFill>
        </w:rPr>
      </w:pPr>
      <w:bookmarkStart w:id="153" w:name="_Toc12536222"/>
      <w:bookmarkStart w:id="154" w:name="_Toc27510338"/>
      <w:bookmarkStart w:id="155" w:name="_Toc25162377"/>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53"/>
      <w:bookmarkEnd w:id="154"/>
      <w:bookmarkEnd w:id="155"/>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6" w:name="_Toc531261192"/>
      <w:bookmarkStart w:id="157" w:name="_Toc524596485"/>
      <w:bookmarkStart w:id="158" w:name="_Toc478742873"/>
      <w:bookmarkStart w:id="159" w:name="_Toc25162378"/>
      <w:bookmarkStart w:id="160" w:name="_Toc452322643"/>
      <w:bookmarkStart w:id="161" w:name="_Toc27510339"/>
      <w:bookmarkStart w:id="162" w:name="_Toc200905568"/>
      <w:bookmarkStart w:id="163" w:name="_Toc169504813"/>
      <w:bookmarkStart w:id="164" w:name="_Toc299451597"/>
      <w:bookmarkStart w:id="165" w:name="_Toc169526926"/>
      <w:bookmarkStart w:id="166" w:name="_Toc169506163"/>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56"/>
      <w:bookmarkEnd w:id="157"/>
      <w:bookmarkEnd w:id="158"/>
      <w:bookmarkEnd w:id="159"/>
      <w:bookmarkEnd w:id="160"/>
      <w:bookmarkEnd w:id="161"/>
      <w:bookmarkEnd w:id="162"/>
      <w:bookmarkEnd w:id="163"/>
      <w:bookmarkEnd w:id="164"/>
      <w:bookmarkEnd w:id="165"/>
      <w:bookmarkEnd w:id="166"/>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老龙洞水源地饮用水水源保护区规范化建设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1015.23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7" w:name="_Toc25162379"/>
      <w:bookmarkStart w:id="168" w:name="_Toc27510340"/>
      <w:bookmarkStart w:id="169" w:name="_Toc478742874"/>
      <w:bookmarkStart w:id="170" w:name="_Toc531261193"/>
      <w:bookmarkStart w:id="171" w:name="_Toc524596486"/>
      <w:bookmarkStart w:id="172" w:name="_Toc452322644"/>
      <w:bookmarkStart w:id="173" w:name="_Toc169526927"/>
      <w:bookmarkStart w:id="174" w:name="_Toc299451598"/>
      <w:bookmarkStart w:id="175" w:name="_Toc200905569"/>
      <w:bookmarkStart w:id="176" w:name="_Toc169506164"/>
      <w:bookmarkStart w:id="177" w:name="_Toc169504814"/>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67"/>
      <w:bookmarkEnd w:id="168"/>
      <w:bookmarkEnd w:id="169"/>
      <w:bookmarkEnd w:id="170"/>
      <w:bookmarkEnd w:id="171"/>
      <w:bookmarkEnd w:id="172"/>
      <w:bookmarkEnd w:id="173"/>
      <w:bookmarkEnd w:id="174"/>
      <w:bookmarkEnd w:id="175"/>
      <w:bookmarkEnd w:id="176"/>
      <w:bookmarkEnd w:id="177"/>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78" w:name="_Toc200905570"/>
      <w:bookmarkStart w:id="179" w:name="_Toc478742875"/>
      <w:bookmarkStart w:id="180" w:name="_Toc524596487"/>
      <w:bookmarkStart w:id="181" w:name="_Toc299451599"/>
      <w:bookmarkStart w:id="182" w:name="_Toc4523226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78"/>
      <w:bookmarkEnd w:id="179"/>
      <w:bookmarkEnd w:id="180"/>
      <w:bookmarkEnd w:id="181"/>
      <w:bookmarkEnd w:id="182"/>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，实施交通污染控制工程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3" w:name="_Toc452322646"/>
      <w:bookmarkStart w:id="184" w:name="_Toc478742876"/>
      <w:bookmarkStart w:id="185" w:name="_Toc524596488"/>
      <w:bookmarkStart w:id="186" w:name="_Toc29945160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（2）准</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保护区污染控制工程</w:t>
      </w:r>
      <w:bookmarkEnd w:id="183"/>
      <w:bookmarkEnd w:id="184"/>
      <w:bookmarkEnd w:id="185"/>
      <w:bookmarkEnd w:id="186"/>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保护区道路设置标牌，明确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保护区范围；通过实施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农村生活污水和生活垃圾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污染控制工程；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实施畜禽粪便综合利用工程；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保护区农村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，降低保护区内交通事故污染风险及危害。上述工程或措施均符合国家相关政策及技术规范，具有较强的可操作性和可行性。完成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7" w:name="_Toc478742877"/>
      <w:bookmarkStart w:id="188" w:name="_Toc299451601"/>
      <w:bookmarkStart w:id="189" w:name="_Toc524596489"/>
      <w:bookmarkStart w:id="190" w:name="_Toc452322647"/>
      <w:bookmarkStart w:id="191" w:name="_Toc20090557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87"/>
      <w:bookmarkEnd w:id="188"/>
      <w:bookmarkEnd w:id="189"/>
      <w:bookmarkEnd w:id="190"/>
      <w:bookmarkEnd w:id="191"/>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退耕还林（草）工程、林地保护工程和水土流失治理工程等生态恢复和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2" w:name="_Toc478742878"/>
      <w:bookmarkStart w:id="193" w:name="_Toc524596490"/>
      <w:bookmarkStart w:id="194" w:name="_Toc299451602"/>
      <w:bookmarkStart w:id="195" w:name="_Toc45232264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2"/>
      <w:bookmarkEnd w:id="193"/>
      <w:bookmarkEnd w:id="194"/>
      <w:bookmarkEnd w:id="19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隆阳区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96" w:name="_Toc452322649"/>
      <w:bookmarkStart w:id="197" w:name="_Toc531261194"/>
      <w:bookmarkStart w:id="198" w:name="_Toc478742879"/>
      <w:bookmarkStart w:id="199" w:name="_Toc524596491"/>
      <w:bookmarkStart w:id="200" w:name="_Toc169504815"/>
      <w:bookmarkStart w:id="201" w:name="_Toc200905575"/>
      <w:bookmarkStart w:id="202" w:name="_Toc169506165"/>
      <w:bookmarkStart w:id="203" w:name="_Toc25162380"/>
      <w:bookmarkStart w:id="204" w:name="_Toc27510341"/>
      <w:bookmarkStart w:id="205" w:name="_Toc169526928"/>
      <w:bookmarkStart w:id="206" w:name="_Toc299451603"/>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196"/>
      <w:bookmarkEnd w:id="197"/>
      <w:bookmarkEnd w:id="198"/>
      <w:bookmarkEnd w:id="199"/>
      <w:bookmarkEnd w:id="200"/>
      <w:bookmarkEnd w:id="201"/>
      <w:bookmarkEnd w:id="202"/>
      <w:bookmarkEnd w:id="203"/>
      <w:bookmarkEnd w:id="204"/>
      <w:bookmarkEnd w:id="205"/>
      <w:bookmarkEnd w:id="206"/>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07" w:name="_Toc299451606"/>
      <w:bookmarkStart w:id="208" w:name="_Toc478742880"/>
      <w:bookmarkStart w:id="209" w:name="_Toc524596492"/>
      <w:bookmarkStart w:id="210" w:name="_Toc45232265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农村面源整治</w:t>
      </w:r>
      <w:bookmarkEnd w:id="207"/>
      <w:bookmarkEnd w:id="208"/>
      <w:bookmarkEnd w:id="209"/>
      <w:bookmarkEnd w:id="210"/>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实施农村生活污水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收集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处理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工程，加强农村生活</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垃圾收集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清运管理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，预计农村生活污水收集处理后污染物去除率将可达到50%，农村生活垃圾收集处理率将达到80%以上。</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11" w:name="_Toc452322652"/>
      <w:bookmarkStart w:id="212" w:name="_Toc524596493"/>
      <w:bookmarkStart w:id="213" w:name="_Toc478742881"/>
      <w:bookmarkStart w:id="214" w:name="_Toc29945160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农业面源治理</w:t>
      </w:r>
      <w:bookmarkEnd w:id="211"/>
      <w:bookmarkEnd w:id="212"/>
      <w:bookmarkEnd w:id="213"/>
      <w:bookmarkEnd w:id="214"/>
    </w:p>
    <w:p>
      <w:pPr>
        <w:adjustRightInd w:val="0"/>
        <w:snapToGrid w:val="0"/>
        <w:spacing w:line="360" w:lineRule="auto"/>
        <w:ind w:firstLine="560"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的存留农地进行测土配方施肥技术，降低保护区耕地化肥施用量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pStyle w:val="2"/>
        <w:jc w:val="center"/>
        <w:rPr>
          <w:rFonts w:cs="Times New Roman"/>
          <w:b w:val="0"/>
          <w:color w:val="0D0D0D" w:themeColor="text1" w:themeTint="F2"/>
          <w:szCs w:val="36"/>
          <w14:textFill>
            <w14:solidFill>
              <w14:schemeClr w14:val="tx1">
                <w14:lumMod w14:val="95000"/>
                <w14:lumOff w14:val="5000"/>
              </w14:schemeClr>
            </w14:solidFill>
          </w14:textFill>
        </w:rPr>
      </w:pPr>
      <w:bookmarkStart w:id="215" w:name="_Toc27510342"/>
      <w:r>
        <w:rPr>
          <w:rFonts w:hint="eastAsia"/>
          <w:color w:val="0D0D0D" w:themeColor="text1" w:themeTint="F2"/>
          <w14:textFill>
            <w14:solidFill>
              <w14:schemeClr w14:val="tx1">
                <w14:lumMod w14:val="95000"/>
                <w14:lumOff w14:val="5000"/>
              </w14:schemeClr>
            </w14:solidFill>
          </w14:textFill>
        </w:rPr>
        <w:t>第五章饮用水水源保护区划分方案、图件及有关说明</w:t>
      </w:r>
      <w:bookmarkEnd w:id="215"/>
      <w:r>
        <w:rPr>
          <w:rFonts w:hint="eastAsia" w:cs="Times New Roman"/>
          <w:b w:val="0"/>
          <w:color w:val="0D0D0D" w:themeColor="text1" w:themeTint="F2"/>
          <w:szCs w:val="36"/>
          <w14:textFill>
            <w14:solidFill>
              <w14:schemeClr w14:val="tx1">
                <w14:lumMod w14:val="95000"/>
                <w14:lumOff w14:val="5000"/>
              </w14:schemeClr>
            </w14:solidFill>
          </w14:textFill>
        </w:rPr>
        <w:t xml:space="preserve"> </w:t>
      </w:r>
    </w:p>
    <w:p>
      <w:pPr>
        <w:pStyle w:val="3"/>
        <w:rPr>
          <w:color w:val="0D0D0D" w:themeColor="text1" w:themeTint="F2"/>
          <w14:textFill>
            <w14:solidFill>
              <w14:schemeClr w14:val="tx1">
                <w14:lumMod w14:val="95000"/>
                <w14:lumOff w14:val="5000"/>
              </w14:schemeClr>
            </w14:solidFill>
          </w14:textFill>
        </w:rPr>
      </w:pPr>
      <w:bookmarkStart w:id="216" w:name="_Toc12621608"/>
      <w:bookmarkStart w:id="217" w:name="_Toc20409173"/>
      <w:bookmarkStart w:id="218" w:name="_Toc27510343"/>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饮用水水源保护区划分方案</w:t>
      </w:r>
      <w:bookmarkEnd w:id="216"/>
      <w:bookmarkEnd w:id="217"/>
      <w:bookmarkEnd w:id="218"/>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出露点沿暗河管道上溯1000m为上游边界，以出露点高程等高线为下游边界，以东西两侧河流为界，面积0.7981km</w:t>
      </w:r>
      <w:r>
        <w:rPr>
          <w:rFonts w:hint="eastAsia"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准保护区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按照区域地下水与地表分水岭一致原则，将水源点一级保护区外的地下水汇水区域划分为准保护区，但不超过省界，实际边界以河流、山脊线、道路、省界作参照</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，面积为8.3954 km</w:t>
      </w:r>
      <w:r>
        <w:rPr>
          <w:rFonts w:hint="eastAsia"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和准保护区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9.1935</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19" w:name="_Toc12621609"/>
      <w:bookmarkStart w:id="220" w:name="_Toc20409174"/>
      <w:bookmarkStart w:id="221" w:name="_Toc27510344"/>
      <w:r>
        <w:rPr>
          <w:rFonts w:hint="eastAsia"/>
          <w:color w:val="0D0D0D" w:themeColor="text1" w:themeTint="F2"/>
          <w14:textFill>
            <w14:solidFill>
              <w14:schemeClr w14:val="tx1">
                <w14:lumMod w14:val="95000"/>
                <w14:lumOff w14:val="5000"/>
              </w14:schemeClr>
            </w14:solidFill>
          </w14:textFill>
        </w:rPr>
        <w:t>5.2 饮用水水源保护区划分图件</w:t>
      </w:r>
      <w:bookmarkEnd w:id="219"/>
      <w:bookmarkEnd w:id="220"/>
      <w:bookmarkEnd w:id="221"/>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老龙洞饮用水水源地边界主要拐点的经纬度坐标见表5-1、5-2。</w:t>
      </w: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22"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w:t>
      </w:r>
      <w:bookmarkEnd w:id="222"/>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老龙洞</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4399"/>
        <w:gridCol w:w="4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4399"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4160"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12.457"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47.183"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17.024"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51.280"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24.174"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52.443"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16.979"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2.193"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40' 2.593"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17.363"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49.853"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12.000"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39.600"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1.728"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46.498"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52.840"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54.779"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45.131" N</w:t>
            </w:r>
          </w:p>
        </w:tc>
      </w:tr>
    </w:tbl>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富源县老龙洞</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保护区拐点坐标表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4399"/>
        <w:gridCol w:w="4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4399"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4160"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51.969"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24.798"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24.894"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44.761"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C3</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33.566"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57.107"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C4</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14.497"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10.555"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C5</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23.400"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48.612"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C6</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43.466"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18' 35.474"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C7</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2.933"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18' 24.853"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C8</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36' 45.244"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56.581"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C9</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36' 59.561"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42.806"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C10</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15.201"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27.106"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C11</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37.596"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12.180"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C12</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37' 52.563"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11.258"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C13</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3.876"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2.232"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C14</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14.057"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0.462"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C15</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22.458"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57.146"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C16</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33.435"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49.155"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C17</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38' 42.324"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41.375"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C18</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6.275"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26.689"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C19</w:t>
            </w:r>
          </w:p>
        </w:tc>
        <w:tc>
          <w:tcPr>
            <w:tcW w:w="439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39' 21.520" E</w:t>
            </w:r>
          </w:p>
        </w:tc>
        <w:tc>
          <w:tcPr>
            <w:tcW w:w="41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12.556" N</w:t>
            </w:r>
          </w:p>
        </w:tc>
      </w:tr>
    </w:tbl>
    <w:p>
      <w:pPr>
        <w:adjustRightInd w:val="0"/>
        <w:snapToGrid w:val="0"/>
        <w:spacing w:line="360" w:lineRule="auto"/>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pStyle w:val="2"/>
        <w:rPr>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3" w:name="_Toc27510345"/>
      <w:bookmarkStart w:id="224" w:name="_Toc12621932"/>
      <w:bookmarkStart w:id="225" w:name="_Toc531261196"/>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3"/>
      <w:bookmarkEnd w:id="224"/>
      <w:bookmarkEnd w:id="225"/>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ascii="仿宋" w:hAnsi="仿宋"/>
          <w:color w:val="0D0D0D" w:themeColor="text1" w:themeTint="F2"/>
          <w:sz w:val="28"/>
          <w:szCs w:val="28"/>
          <w14:textFill>
            <w14:solidFill>
              <w14:schemeClr w14:val="tx1">
                <w14:lumMod w14:val="95000"/>
                <w14:lumOff w14:val="5000"/>
              </w14:schemeClr>
            </w14:solidFill>
          </w14:textFill>
        </w:rPr>
      </w:pPr>
      <w:bookmarkStart w:id="226" w:name="_Toc18506561"/>
      <w:bookmarkStart w:id="227" w:name="_Toc27510346"/>
      <w:r>
        <w:rPr>
          <w:rFonts w:ascii="仿宋" w:hAnsi="仿宋"/>
          <w:color w:val="0D0D0D" w:themeColor="text1" w:themeTint="F2"/>
          <w:sz w:val="28"/>
          <w:szCs w:val="28"/>
          <w14:textFill>
            <w14:solidFill>
              <w14:schemeClr w14:val="tx1">
                <w14:lumMod w14:val="95000"/>
                <w14:lumOff w14:val="5000"/>
              </w14:schemeClr>
            </w14:solidFill>
          </w14:textFill>
        </w:rPr>
        <w:t>附表</w:t>
      </w:r>
      <w:r>
        <w:rPr>
          <w:rFonts w:hint="eastAsia" w:ascii="仿宋" w:hAnsi="仿宋"/>
          <w:color w:val="0D0D0D" w:themeColor="text1" w:themeTint="F2"/>
          <w:sz w:val="28"/>
          <w:szCs w:val="28"/>
          <w14:textFill>
            <w14:solidFill>
              <w14:schemeClr w14:val="tx1">
                <w14:lumMod w14:val="95000"/>
                <w14:lumOff w14:val="5000"/>
              </w14:schemeClr>
            </w14:solidFill>
          </w14:textFill>
        </w:rPr>
        <w:t>2 富源县老龙洞饮用水水源地基础信息表</w:t>
      </w:r>
      <w:bookmarkEnd w:id="226"/>
      <w:bookmarkEnd w:id="227"/>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老龙洞</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859"/>
        <w:gridCol w:w="1100"/>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老龙洞</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黄泥河镇</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HA0114530325102G0001</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地下水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地下水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总大肠杆菌（22.9倍）、</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菌落总数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（0.08倍）</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104°40′10"</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25°15′45"</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黄泥河镇</w:t>
            </w:r>
          </w:p>
        </w:tc>
        <w:tc>
          <w:tcPr>
            <w:tcW w:w="185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10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富源县黄泥河镇自来水厂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28" w:name="_Toc12621934"/>
      <w:bookmarkStart w:id="229" w:name="_Toc10723935"/>
      <w:bookmarkStart w:id="230" w:name="_Toc27510347"/>
    </w:p>
    <w:p>
      <w:pPr>
        <w:pStyle w:val="3"/>
        <w:ind w:left="141"/>
        <w:rPr>
          <w:rFonts w:ascii="仿宋" w:hAnsi="仿宋"/>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28"/>
      <w:bookmarkEnd w:id="229"/>
      <w:r>
        <w:rPr>
          <w:rFonts w:hint="eastAsia" w:cs="Times New Roman"/>
          <w:color w:val="0D0D0D" w:themeColor="text1" w:themeTint="F2"/>
          <w:sz w:val="28"/>
          <w:szCs w:val="28"/>
          <w14:textFill>
            <w14:solidFill>
              <w14:schemeClr w14:val="tx1">
                <w14:lumMod w14:val="95000"/>
                <w14:lumOff w14:val="5000"/>
              </w14:schemeClr>
            </w14:solidFill>
          </w14:textFill>
        </w:rPr>
        <w:t xml:space="preserve"> </w:t>
      </w:r>
      <w:r>
        <w:rPr>
          <w:rFonts w:hint="eastAsia" w:ascii="仿宋" w:hAnsi="仿宋"/>
          <w:color w:val="0D0D0D" w:themeColor="text1" w:themeTint="F2"/>
          <w:sz w:val="28"/>
          <w:szCs w:val="28"/>
          <w14:textFill>
            <w14:solidFill>
              <w14:schemeClr w14:val="tx1">
                <w14:lumMod w14:val="95000"/>
                <w14:lumOff w14:val="5000"/>
              </w14:schemeClr>
            </w14:solidFill>
          </w14:textFill>
        </w:rPr>
        <w:t>富源县老龙洞集中式饮用水水源保护区划分结果表</w:t>
      </w:r>
      <w:bookmarkEnd w:id="230"/>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老龙洞</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老龙洞</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地下水型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（地下水）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0.7981</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8.3954</w:t>
            </w:r>
          </w:p>
        </w:tc>
      </w:tr>
      <w:tr>
        <w:tblPrEx>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0.7981</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8.3954</w:t>
            </w:r>
          </w:p>
        </w:tc>
      </w:tr>
      <w:tr>
        <w:tblPrEx>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陆域：出露点沿暗河管道上溯1000m为上游边界，以出露点高程等高线为下游边界，以东西两侧河流为界。</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陆域：按照区域地下水与地表分水岭一致原则，将水源点一级保护区外的地下水汇水区域划分为准保护区，但不超过省界，实际边界以河流、山脊线、道路、省界作参照来确定准保护区范围。</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31" w:name="_Toc27510348"/>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富源县老龙洞饮用水水源地保护区污染源调查表</w:t>
      </w:r>
      <w:bookmarkEnd w:id="231"/>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老龙洞水源地</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709"/>
        <w:gridCol w:w="2722"/>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709"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722"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老龙洞水源地</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70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722"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65.99公顷；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73.57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乡道Y059及其他乡村道路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退耕还林、人工造林</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区</w:t>
            </w:r>
          </w:p>
        </w:tc>
        <w:tc>
          <w:tcPr>
            <w:tcW w:w="70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722"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7个自然村478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1973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2107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442.63公顷；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742.86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省道S213、县道XD45</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及乡道省道及Y059</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农业农村面源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1.农村生活污水及生活垃圾面源污染；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2.农村生活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3.农村生活污水处置工程；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.畜禽养殖</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“改圈”</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347532"/>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2 -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0675918"/>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54 -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1A22"/>
    <w:rsid w:val="00002B1D"/>
    <w:rsid w:val="000051A7"/>
    <w:rsid w:val="000057B4"/>
    <w:rsid w:val="000057E5"/>
    <w:rsid w:val="00006389"/>
    <w:rsid w:val="000214DD"/>
    <w:rsid w:val="00023B70"/>
    <w:rsid w:val="000245F6"/>
    <w:rsid w:val="00024D03"/>
    <w:rsid w:val="00027E7E"/>
    <w:rsid w:val="000362D7"/>
    <w:rsid w:val="00037579"/>
    <w:rsid w:val="00037E78"/>
    <w:rsid w:val="00041333"/>
    <w:rsid w:val="00042407"/>
    <w:rsid w:val="000439BE"/>
    <w:rsid w:val="00044BEE"/>
    <w:rsid w:val="000453C1"/>
    <w:rsid w:val="0004636E"/>
    <w:rsid w:val="00047106"/>
    <w:rsid w:val="00051D4E"/>
    <w:rsid w:val="00053EA4"/>
    <w:rsid w:val="00055B7B"/>
    <w:rsid w:val="00055BA1"/>
    <w:rsid w:val="00057724"/>
    <w:rsid w:val="00071E63"/>
    <w:rsid w:val="00073188"/>
    <w:rsid w:val="00073243"/>
    <w:rsid w:val="0008082C"/>
    <w:rsid w:val="000857FC"/>
    <w:rsid w:val="0009238B"/>
    <w:rsid w:val="000924F1"/>
    <w:rsid w:val="000946A3"/>
    <w:rsid w:val="000A0EB9"/>
    <w:rsid w:val="000A30C6"/>
    <w:rsid w:val="000A42F3"/>
    <w:rsid w:val="000B2196"/>
    <w:rsid w:val="000B32DF"/>
    <w:rsid w:val="000B75C5"/>
    <w:rsid w:val="000C4766"/>
    <w:rsid w:val="000D6FD0"/>
    <w:rsid w:val="000E1D72"/>
    <w:rsid w:val="000E5B0E"/>
    <w:rsid w:val="000F0431"/>
    <w:rsid w:val="000F2DDA"/>
    <w:rsid w:val="000F3D90"/>
    <w:rsid w:val="000F51D5"/>
    <w:rsid w:val="000F7402"/>
    <w:rsid w:val="00103D7C"/>
    <w:rsid w:val="00104C08"/>
    <w:rsid w:val="00110EEA"/>
    <w:rsid w:val="00117795"/>
    <w:rsid w:val="0014035B"/>
    <w:rsid w:val="00142C7C"/>
    <w:rsid w:val="00143B51"/>
    <w:rsid w:val="001450A5"/>
    <w:rsid w:val="001515D1"/>
    <w:rsid w:val="00154210"/>
    <w:rsid w:val="00154E81"/>
    <w:rsid w:val="00160938"/>
    <w:rsid w:val="0016142D"/>
    <w:rsid w:val="0016272A"/>
    <w:rsid w:val="001650DD"/>
    <w:rsid w:val="0017193D"/>
    <w:rsid w:val="00173D56"/>
    <w:rsid w:val="00173E5C"/>
    <w:rsid w:val="00174CAB"/>
    <w:rsid w:val="0017618B"/>
    <w:rsid w:val="00183092"/>
    <w:rsid w:val="0018439D"/>
    <w:rsid w:val="00194212"/>
    <w:rsid w:val="001A0ADE"/>
    <w:rsid w:val="001A2E28"/>
    <w:rsid w:val="001A4329"/>
    <w:rsid w:val="001B3522"/>
    <w:rsid w:val="001B4EB6"/>
    <w:rsid w:val="001B6646"/>
    <w:rsid w:val="001C0FDC"/>
    <w:rsid w:val="001C5CC1"/>
    <w:rsid w:val="001C79D2"/>
    <w:rsid w:val="001C7F24"/>
    <w:rsid w:val="001D007F"/>
    <w:rsid w:val="001D2B32"/>
    <w:rsid w:val="001D4DCB"/>
    <w:rsid w:val="001E2CBB"/>
    <w:rsid w:val="001E3BB6"/>
    <w:rsid w:val="001E7E56"/>
    <w:rsid w:val="001F09BA"/>
    <w:rsid w:val="001F2ED2"/>
    <w:rsid w:val="001F39C9"/>
    <w:rsid w:val="001F4959"/>
    <w:rsid w:val="00200B72"/>
    <w:rsid w:val="002048A9"/>
    <w:rsid w:val="0021314E"/>
    <w:rsid w:val="00214F7F"/>
    <w:rsid w:val="00217CB5"/>
    <w:rsid w:val="00220ABF"/>
    <w:rsid w:val="002232B1"/>
    <w:rsid w:val="00224286"/>
    <w:rsid w:val="002242F4"/>
    <w:rsid w:val="00224325"/>
    <w:rsid w:val="00225115"/>
    <w:rsid w:val="00225CD6"/>
    <w:rsid w:val="00225CE4"/>
    <w:rsid w:val="00234AD7"/>
    <w:rsid w:val="00234D47"/>
    <w:rsid w:val="00235ADC"/>
    <w:rsid w:val="00236BEF"/>
    <w:rsid w:val="00237377"/>
    <w:rsid w:val="00240A23"/>
    <w:rsid w:val="002428DE"/>
    <w:rsid w:val="00242E6F"/>
    <w:rsid w:val="00254575"/>
    <w:rsid w:val="002567B7"/>
    <w:rsid w:val="0026158C"/>
    <w:rsid w:val="0027167D"/>
    <w:rsid w:val="00274605"/>
    <w:rsid w:val="002802F5"/>
    <w:rsid w:val="00286496"/>
    <w:rsid w:val="0028794B"/>
    <w:rsid w:val="00287ED2"/>
    <w:rsid w:val="00290EA0"/>
    <w:rsid w:val="002920BF"/>
    <w:rsid w:val="0029326D"/>
    <w:rsid w:val="0029330D"/>
    <w:rsid w:val="00293CBE"/>
    <w:rsid w:val="002A0A80"/>
    <w:rsid w:val="002A1BF4"/>
    <w:rsid w:val="002C03F5"/>
    <w:rsid w:val="002C1E37"/>
    <w:rsid w:val="002C2F2C"/>
    <w:rsid w:val="002C7C4F"/>
    <w:rsid w:val="002D0832"/>
    <w:rsid w:val="002D0CA3"/>
    <w:rsid w:val="002D311E"/>
    <w:rsid w:val="002D34CB"/>
    <w:rsid w:val="002D5179"/>
    <w:rsid w:val="002D792B"/>
    <w:rsid w:val="002E2790"/>
    <w:rsid w:val="002E392F"/>
    <w:rsid w:val="002F3241"/>
    <w:rsid w:val="002F66F4"/>
    <w:rsid w:val="002F6799"/>
    <w:rsid w:val="002F7BDA"/>
    <w:rsid w:val="0030118C"/>
    <w:rsid w:val="00310CB9"/>
    <w:rsid w:val="00321A93"/>
    <w:rsid w:val="003226A3"/>
    <w:rsid w:val="00323D7E"/>
    <w:rsid w:val="003246BF"/>
    <w:rsid w:val="0032502D"/>
    <w:rsid w:val="00326FEE"/>
    <w:rsid w:val="00331309"/>
    <w:rsid w:val="00334C17"/>
    <w:rsid w:val="0034299F"/>
    <w:rsid w:val="00345FB1"/>
    <w:rsid w:val="003477F8"/>
    <w:rsid w:val="00352FAA"/>
    <w:rsid w:val="00355FE5"/>
    <w:rsid w:val="00356AAB"/>
    <w:rsid w:val="00357883"/>
    <w:rsid w:val="0036175A"/>
    <w:rsid w:val="00363792"/>
    <w:rsid w:val="00364FC4"/>
    <w:rsid w:val="003700F0"/>
    <w:rsid w:val="00371709"/>
    <w:rsid w:val="00377B96"/>
    <w:rsid w:val="00377CBD"/>
    <w:rsid w:val="00377F77"/>
    <w:rsid w:val="00382B27"/>
    <w:rsid w:val="00385DD3"/>
    <w:rsid w:val="00386464"/>
    <w:rsid w:val="00392320"/>
    <w:rsid w:val="00394A47"/>
    <w:rsid w:val="003A0A97"/>
    <w:rsid w:val="003A25C1"/>
    <w:rsid w:val="003A72D2"/>
    <w:rsid w:val="003B0CA0"/>
    <w:rsid w:val="003B437D"/>
    <w:rsid w:val="003C0DB4"/>
    <w:rsid w:val="003C5268"/>
    <w:rsid w:val="003C6F4A"/>
    <w:rsid w:val="003C749D"/>
    <w:rsid w:val="003D161A"/>
    <w:rsid w:val="003D255A"/>
    <w:rsid w:val="003D33EA"/>
    <w:rsid w:val="003D5C8D"/>
    <w:rsid w:val="003D6A90"/>
    <w:rsid w:val="003E538F"/>
    <w:rsid w:val="003E6141"/>
    <w:rsid w:val="003F5C1B"/>
    <w:rsid w:val="00400090"/>
    <w:rsid w:val="00400A21"/>
    <w:rsid w:val="0040266F"/>
    <w:rsid w:val="004031BA"/>
    <w:rsid w:val="004106CF"/>
    <w:rsid w:val="00412929"/>
    <w:rsid w:val="00414205"/>
    <w:rsid w:val="00416620"/>
    <w:rsid w:val="00416A20"/>
    <w:rsid w:val="00416B7C"/>
    <w:rsid w:val="0042349F"/>
    <w:rsid w:val="00425590"/>
    <w:rsid w:val="004272C3"/>
    <w:rsid w:val="00427307"/>
    <w:rsid w:val="00432439"/>
    <w:rsid w:val="00434F19"/>
    <w:rsid w:val="004431B2"/>
    <w:rsid w:val="00445E0F"/>
    <w:rsid w:val="00447332"/>
    <w:rsid w:val="00447F37"/>
    <w:rsid w:val="0045221E"/>
    <w:rsid w:val="00454914"/>
    <w:rsid w:val="00455EB4"/>
    <w:rsid w:val="004578AF"/>
    <w:rsid w:val="004628EA"/>
    <w:rsid w:val="0047226A"/>
    <w:rsid w:val="00472908"/>
    <w:rsid w:val="004736C1"/>
    <w:rsid w:val="004812C3"/>
    <w:rsid w:val="00482263"/>
    <w:rsid w:val="004834DC"/>
    <w:rsid w:val="00486D39"/>
    <w:rsid w:val="00494395"/>
    <w:rsid w:val="004950FB"/>
    <w:rsid w:val="004979B2"/>
    <w:rsid w:val="004A1047"/>
    <w:rsid w:val="004A1E4D"/>
    <w:rsid w:val="004B1778"/>
    <w:rsid w:val="004B4154"/>
    <w:rsid w:val="004B7587"/>
    <w:rsid w:val="004B76E0"/>
    <w:rsid w:val="004C3EA4"/>
    <w:rsid w:val="004C59FE"/>
    <w:rsid w:val="004D15CB"/>
    <w:rsid w:val="004D661E"/>
    <w:rsid w:val="004E0B8A"/>
    <w:rsid w:val="004E1181"/>
    <w:rsid w:val="004E268D"/>
    <w:rsid w:val="004E31D3"/>
    <w:rsid w:val="004E3B02"/>
    <w:rsid w:val="004E51DC"/>
    <w:rsid w:val="004F1096"/>
    <w:rsid w:val="004F2555"/>
    <w:rsid w:val="004F305F"/>
    <w:rsid w:val="004F4AFA"/>
    <w:rsid w:val="004F6DBF"/>
    <w:rsid w:val="004F7688"/>
    <w:rsid w:val="00501A82"/>
    <w:rsid w:val="0050580A"/>
    <w:rsid w:val="00510733"/>
    <w:rsid w:val="00511B03"/>
    <w:rsid w:val="00514A0D"/>
    <w:rsid w:val="00516DD9"/>
    <w:rsid w:val="00521B3D"/>
    <w:rsid w:val="0053357C"/>
    <w:rsid w:val="00534D33"/>
    <w:rsid w:val="0054698B"/>
    <w:rsid w:val="00555F14"/>
    <w:rsid w:val="00555FE2"/>
    <w:rsid w:val="005633C1"/>
    <w:rsid w:val="00563DBF"/>
    <w:rsid w:val="00565CF6"/>
    <w:rsid w:val="00567D90"/>
    <w:rsid w:val="00567ED6"/>
    <w:rsid w:val="00575518"/>
    <w:rsid w:val="00576547"/>
    <w:rsid w:val="0057765D"/>
    <w:rsid w:val="00580DD0"/>
    <w:rsid w:val="00582F51"/>
    <w:rsid w:val="00585A3E"/>
    <w:rsid w:val="0059048D"/>
    <w:rsid w:val="0059157D"/>
    <w:rsid w:val="00595351"/>
    <w:rsid w:val="00596FA7"/>
    <w:rsid w:val="005A1DE4"/>
    <w:rsid w:val="005A4C50"/>
    <w:rsid w:val="005B10E7"/>
    <w:rsid w:val="005B277E"/>
    <w:rsid w:val="005B2D29"/>
    <w:rsid w:val="005B3274"/>
    <w:rsid w:val="005B6C87"/>
    <w:rsid w:val="005C1F31"/>
    <w:rsid w:val="005C5598"/>
    <w:rsid w:val="005D09CB"/>
    <w:rsid w:val="005D3730"/>
    <w:rsid w:val="005D423A"/>
    <w:rsid w:val="005D4BBD"/>
    <w:rsid w:val="005E074F"/>
    <w:rsid w:val="005E1777"/>
    <w:rsid w:val="005E2D96"/>
    <w:rsid w:val="005E3609"/>
    <w:rsid w:val="005E4911"/>
    <w:rsid w:val="005F0EA7"/>
    <w:rsid w:val="005F2B58"/>
    <w:rsid w:val="005F2DD4"/>
    <w:rsid w:val="00601654"/>
    <w:rsid w:val="00601FB1"/>
    <w:rsid w:val="006022B8"/>
    <w:rsid w:val="00602BC7"/>
    <w:rsid w:val="00604C86"/>
    <w:rsid w:val="0061223E"/>
    <w:rsid w:val="0061288E"/>
    <w:rsid w:val="006129B1"/>
    <w:rsid w:val="006148E7"/>
    <w:rsid w:val="00614957"/>
    <w:rsid w:val="00617DF6"/>
    <w:rsid w:val="006210E7"/>
    <w:rsid w:val="00623420"/>
    <w:rsid w:val="00631FC0"/>
    <w:rsid w:val="00637330"/>
    <w:rsid w:val="00640911"/>
    <w:rsid w:val="0064789A"/>
    <w:rsid w:val="00652246"/>
    <w:rsid w:val="00655FE6"/>
    <w:rsid w:val="00662FC1"/>
    <w:rsid w:val="006659B8"/>
    <w:rsid w:val="006751E8"/>
    <w:rsid w:val="00676EAC"/>
    <w:rsid w:val="00680815"/>
    <w:rsid w:val="00681908"/>
    <w:rsid w:val="00683CEB"/>
    <w:rsid w:val="0068449E"/>
    <w:rsid w:val="0068715B"/>
    <w:rsid w:val="0069443F"/>
    <w:rsid w:val="00694D4E"/>
    <w:rsid w:val="0069529D"/>
    <w:rsid w:val="006A2C50"/>
    <w:rsid w:val="006A4F95"/>
    <w:rsid w:val="006A546F"/>
    <w:rsid w:val="006B0565"/>
    <w:rsid w:val="006B16F0"/>
    <w:rsid w:val="006B2091"/>
    <w:rsid w:val="006B337B"/>
    <w:rsid w:val="006B4446"/>
    <w:rsid w:val="006C224B"/>
    <w:rsid w:val="006D05B1"/>
    <w:rsid w:val="006D0F75"/>
    <w:rsid w:val="006D3B5C"/>
    <w:rsid w:val="006D5639"/>
    <w:rsid w:val="006D6030"/>
    <w:rsid w:val="006E0D67"/>
    <w:rsid w:val="006E18EA"/>
    <w:rsid w:val="006E20D9"/>
    <w:rsid w:val="006E2A62"/>
    <w:rsid w:val="006E357C"/>
    <w:rsid w:val="006E562B"/>
    <w:rsid w:val="006F15E1"/>
    <w:rsid w:val="006F640B"/>
    <w:rsid w:val="006F7475"/>
    <w:rsid w:val="00702F86"/>
    <w:rsid w:val="007145E5"/>
    <w:rsid w:val="00716036"/>
    <w:rsid w:val="00717CC5"/>
    <w:rsid w:val="0072026D"/>
    <w:rsid w:val="00720E1F"/>
    <w:rsid w:val="0072335D"/>
    <w:rsid w:val="00725180"/>
    <w:rsid w:val="00727B4B"/>
    <w:rsid w:val="00730FB8"/>
    <w:rsid w:val="00731DE8"/>
    <w:rsid w:val="00734873"/>
    <w:rsid w:val="00734B93"/>
    <w:rsid w:val="00741BA0"/>
    <w:rsid w:val="00741CB4"/>
    <w:rsid w:val="00742036"/>
    <w:rsid w:val="00742055"/>
    <w:rsid w:val="007436D7"/>
    <w:rsid w:val="00743BFF"/>
    <w:rsid w:val="00753267"/>
    <w:rsid w:val="0075607B"/>
    <w:rsid w:val="007614F8"/>
    <w:rsid w:val="00761D23"/>
    <w:rsid w:val="007641B6"/>
    <w:rsid w:val="00764B2F"/>
    <w:rsid w:val="0076611B"/>
    <w:rsid w:val="00767447"/>
    <w:rsid w:val="007711DE"/>
    <w:rsid w:val="00771671"/>
    <w:rsid w:val="00774566"/>
    <w:rsid w:val="00774AAF"/>
    <w:rsid w:val="00775329"/>
    <w:rsid w:val="00775C7F"/>
    <w:rsid w:val="00780EB1"/>
    <w:rsid w:val="0078133D"/>
    <w:rsid w:val="007830F0"/>
    <w:rsid w:val="00783D7A"/>
    <w:rsid w:val="00784D61"/>
    <w:rsid w:val="00784EEC"/>
    <w:rsid w:val="00790B54"/>
    <w:rsid w:val="00791F4E"/>
    <w:rsid w:val="00794B0B"/>
    <w:rsid w:val="007A33C1"/>
    <w:rsid w:val="007A3642"/>
    <w:rsid w:val="007A590D"/>
    <w:rsid w:val="007A65FC"/>
    <w:rsid w:val="007A67B2"/>
    <w:rsid w:val="007A79B8"/>
    <w:rsid w:val="007B0AA1"/>
    <w:rsid w:val="007B32E7"/>
    <w:rsid w:val="007B4755"/>
    <w:rsid w:val="007B5260"/>
    <w:rsid w:val="007C3B7D"/>
    <w:rsid w:val="007C435F"/>
    <w:rsid w:val="007C47F3"/>
    <w:rsid w:val="007C6646"/>
    <w:rsid w:val="007C69E7"/>
    <w:rsid w:val="007C7B3A"/>
    <w:rsid w:val="007C7EE3"/>
    <w:rsid w:val="007D0BBD"/>
    <w:rsid w:val="007E0966"/>
    <w:rsid w:val="007E5CCE"/>
    <w:rsid w:val="007F04EA"/>
    <w:rsid w:val="007F493E"/>
    <w:rsid w:val="007F4C0A"/>
    <w:rsid w:val="007F56F7"/>
    <w:rsid w:val="007F5E23"/>
    <w:rsid w:val="008041BA"/>
    <w:rsid w:val="00806C65"/>
    <w:rsid w:val="0080747F"/>
    <w:rsid w:val="00807A38"/>
    <w:rsid w:val="00811BBF"/>
    <w:rsid w:val="00812CBA"/>
    <w:rsid w:val="00824544"/>
    <w:rsid w:val="008252D8"/>
    <w:rsid w:val="00832112"/>
    <w:rsid w:val="00832C3E"/>
    <w:rsid w:val="00835636"/>
    <w:rsid w:val="00846C7B"/>
    <w:rsid w:val="00850F99"/>
    <w:rsid w:val="008526A3"/>
    <w:rsid w:val="00853B99"/>
    <w:rsid w:val="00853C1D"/>
    <w:rsid w:val="00854FCB"/>
    <w:rsid w:val="008567CC"/>
    <w:rsid w:val="00860C8B"/>
    <w:rsid w:val="00860CA7"/>
    <w:rsid w:val="00867D4D"/>
    <w:rsid w:val="00870B10"/>
    <w:rsid w:val="00872263"/>
    <w:rsid w:val="0088359E"/>
    <w:rsid w:val="00884367"/>
    <w:rsid w:val="00887469"/>
    <w:rsid w:val="00887E27"/>
    <w:rsid w:val="00895A64"/>
    <w:rsid w:val="008968C5"/>
    <w:rsid w:val="00897381"/>
    <w:rsid w:val="008A003C"/>
    <w:rsid w:val="008A11A9"/>
    <w:rsid w:val="008A2074"/>
    <w:rsid w:val="008A3990"/>
    <w:rsid w:val="008A4333"/>
    <w:rsid w:val="008A528B"/>
    <w:rsid w:val="008A742C"/>
    <w:rsid w:val="008B170A"/>
    <w:rsid w:val="008B218C"/>
    <w:rsid w:val="008B2450"/>
    <w:rsid w:val="008B69D0"/>
    <w:rsid w:val="008C1E7A"/>
    <w:rsid w:val="008C256E"/>
    <w:rsid w:val="008D7256"/>
    <w:rsid w:val="008E08B8"/>
    <w:rsid w:val="008E0D02"/>
    <w:rsid w:val="008F5C40"/>
    <w:rsid w:val="0090420A"/>
    <w:rsid w:val="00904BEA"/>
    <w:rsid w:val="00904DD5"/>
    <w:rsid w:val="00913E6E"/>
    <w:rsid w:val="00924266"/>
    <w:rsid w:val="0092507B"/>
    <w:rsid w:val="00935524"/>
    <w:rsid w:val="00943383"/>
    <w:rsid w:val="0094425D"/>
    <w:rsid w:val="00945519"/>
    <w:rsid w:val="00945BEA"/>
    <w:rsid w:val="00947534"/>
    <w:rsid w:val="009477A5"/>
    <w:rsid w:val="00952441"/>
    <w:rsid w:val="00956F20"/>
    <w:rsid w:val="00960D6D"/>
    <w:rsid w:val="009616D8"/>
    <w:rsid w:val="009664F3"/>
    <w:rsid w:val="00967C8B"/>
    <w:rsid w:val="00970864"/>
    <w:rsid w:val="0097140D"/>
    <w:rsid w:val="00972238"/>
    <w:rsid w:val="00975C9D"/>
    <w:rsid w:val="0097772A"/>
    <w:rsid w:val="009805DC"/>
    <w:rsid w:val="00981160"/>
    <w:rsid w:val="0098418B"/>
    <w:rsid w:val="00985F15"/>
    <w:rsid w:val="00990E03"/>
    <w:rsid w:val="0099264E"/>
    <w:rsid w:val="009947F8"/>
    <w:rsid w:val="00995A84"/>
    <w:rsid w:val="009966D7"/>
    <w:rsid w:val="009976CB"/>
    <w:rsid w:val="00997C30"/>
    <w:rsid w:val="00997CF4"/>
    <w:rsid w:val="009A107E"/>
    <w:rsid w:val="009A13AB"/>
    <w:rsid w:val="009A50C2"/>
    <w:rsid w:val="009A5975"/>
    <w:rsid w:val="009A6EAA"/>
    <w:rsid w:val="009B3520"/>
    <w:rsid w:val="009B65A1"/>
    <w:rsid w:val="009B734F"/>
    <w:rsid w:val="009B7709"/>
    <w:rsid w:val="009C0133"/>
    <w:rsid w:val="009C2FB2"/>
    <w:rsid w:val="009C624A"/>
    <w:rsid w:val="009D03B9"/>
    <w:rsid w:val="009D11E8"/>
    <w:rsid w:val="009D25CC"/>
    <w:rsid w:val="009D2EE4"/>
    <w:rsid w:val="009E147C"/>
    <w:rsid w:val="009E20A5"/>
    <w:rsid w:val="009E3084"/>
    <w:rsid w:val="009E4358"/>
    <w:rsid w:val="009E513E"/>
    <w:rsid w:val="009F039A"/>
    <w:rsid w:val="009F0C6B"/>
    <w:rsid w:val="00A05395"/>
    <w:rsid w:val="00A07136"/>
    <w:rsid w:val="00A10C44"/>
    <w:rsid w:val="00A11282"/>
    <w:rsid w:val="00A1452A"/>
    <w:rsid w:val="00A14E86"/>
    <w:rsid w:val="00A14F2A"/>
    <w:rsid w:val="00A15D1C"/>
    <w:rsid w:val="00A21269"/>
    <w:rsid w:val="00A2291B"/>
    <w:rsid w:val="00A23014"/>
    <w:rsid w:val="00A2335D"/>
    <w:rsid w:val="00A24853"/>
    <w:rsid w:val="00A24ACA"/>
    <w:rsid w:val="00A26414"/>
    <w:rsid w:val="00A2679E"/>
    <w:rsid w:val="00A2759D"/>
    <w:rsid w:val="00A277FC"/>
    <w:rsid w:val="00A27A1B"/>
    <w:rsid w:val="00A30C5F"/>
    <w:rsid w:val="00A31CE1"/>
    <w:rsid w:val="00A32549"/>
    <w:rsid w:val="00A333B1"/>
    <w:rsid w:val="00A341A6"/>
    <w:rsid w:val="00A35854"/>
    <w:rsid w:val="00A36716"/>
    <w:rsid w:val="00A37A36"/>
    <w:rsid w:val="00A37E34"/>
    <w:rsid w:val="00A4301A"/>
    <w:rsid w:val="00A432FC"/>
    <w:rsid w:val="00A437A2"/>
    <w:rsid w:val="00A5247D"/>
    <w:rsid w:val="00A52561"/>
    <w:rsid w:val="00A55E77"/>
    <w:rsid w:val="00A56C73"/>
    <w:rsid w:val="00A65960"/>
    <w:rsid w:val="00A704A9"/>
    <w:rsid w:val="00A704EA"/>
    <w:rsid w:val="00A70B0F"/>
    <w:rsid w:val="00A74CEF"/>
    <w:rsid w:val="00A75CC6"/>
    <w:rsid w:val="00A80215"/>
    <w:rsid w:val="00A81521"/>
    <w:rsid w:val="00A82BC4"/>
    <w:rsid w:val="00A832F2"/>
    <w:rsid w:val="00A85DB4"/>
    <w:rsid w:val="00A85E44"/>
    <w:rsid w:val="00A86AD4"/>
    <w:rsid w:val="00A90B13"/>
    <w:rsid w:val="00A918E4"/>
    <w:rsid w:val="00A9651D"/>
    <w:rsid w:val="00A96FC5"/>
    <w:rsid w:val="00A97E02"/>
    <w:rsid w:val="00AA2D02"/>
    <w:rsid w:val="00AA4AB9"/>
    <w:rsid w:val="00AA648F"/>
    <w:rsid w:val="00AB11F3"/>
    <w:rsid w:val="00AB197F"/>
    <w:rsid w:val="00AB25F7"/>
    <w:rsid w:val="00AB4EB3"/>
    <w:rsid w:val="00AC2043"/>
    <w:rsid w:val="00AC6D09"/>
    <w:rsid w:val="00AC6DC8"/>
    <w:rsid w:val="00AD4395"/>
    <w:rsid w:val="00AD44CD"/>
    <w:rsid w:val="00AD72B6"/>
    <w:rsid w:val="00AD73FE"/>
    <w:rsid w:val="00AE1C33"/>
    <w:rsid w:val="00AE4814"/>
    <w:rsid w:val="00AE624F"/>
    <w:rsid w:val="00AF1958"/>
    <w:rsid w:val="00AF6EE6"/>
    <w:rsid w:val="00B02E29"/>
    <w:rsid w:val="00B04954"/>
    <w:rsid w:val="00B0539E"/>
    <w:rsid w:val="00B05450"/>
    <w:rsid w:val="00B1449C"/>
    <w:rsid w:val="00B14A32"/>
    <w:rsid w:val="00B15EE6"/>
    <w:rsid w:val="00B2110C"/>
    <w:rsid w:val="00B24229"/>
    <w:rsid w:val="00B24FAB"/>
    <w:rsid w:val="00B2620A"/>
    <w:rsid w:val="00B26D42"/>
    <w:rsid w:val="00B277FC"/>
    <w:rsid w:val="00B344A4"/>
    <w:rsid w:val="00B34CBF"/>
    <w:rsid w:val="00B37296"/>
    <w:rsid w:val="00B410E3"/>
    <w:rsid w:val="00B43DD2"/>
    <w:rsid w:val="00B44499"/>
    <w:rsid w:val="00B4525C"/>
    <w:rsid w:val="00B50B41"/>
    <w:rsid w:val="00B56480"/>
    <w:rsid w:val="00B56EF4"/>
    <w:rsid w:val="00B57C3B"/>
    <w:rsid w:val="00B63579"/>
    <w:rsid w:val="00B66BC3"/>
    <w:rsid w:val="00B66FAA"/>
    <w:rsid w:val="00B67D3A"/>
    <w:rsid w:val="00B70E7D"/>
    <w:rsid w:val="00B72D16"/>
    <w:rsid w:val="00B80EF8"/>
    <w:rsid w:val="00B8720F"/>
    <w:rsid w:val="00B90F8C"/>
    <w:rsid w:val="00B95C42"/>
    <w:rsid w:val="00BB1804"/>
    <w:rsid w:val="00BB222E"/>
    <w:rsid w:val="00BB2580"/>
    <w:rsid w:val="00BB25EF"/>
    <w:rsid w:val="00BB37D7"/>
    <w:rsid w:val="00BB4D24"/>
    <w:rsid w:val="00BB7437"/>
    <w:rsid w:val="00BC6127"/>
    <w:rsid w:val="00BD1009"/>
    <w:rsid w:val="00BD294D"/>
    <w:rsid w:val="00BD2DDF"/>
    <w:rsid w:val="00BD48C9"/>
    <w:rsid w:val="00BD66E4"/>
    <w:rsid w:val="00BE2192"/>
    <w:rsid w:val="00BE2BE8"/>
    <w:rsid w:val="00BE35C8"/>
    <w:rsid w:val="00BE39E5"/>
    <w:rsid w:val="00BE5049"/>
    <w:rsid w:val="00BE6A4D"/>
    <w:rsid w:val="00BF0BE3"/>
    <w:rsid w:val="00BF0E97"/>
    <w:rsid w:val="00BF3E15"/>
    <w:rsid w:val="00BF4B4F"/>
    <w:rsid w:val="00C00778"/>
    <w:rsid w:val="00C032F3"/>
    <w:rsid w:val="00C037A8"/>
    <w:rsid w:val="00C04BA7"/>
    <w:rsid w:val="00C054D8"/>
    <w:rsid w:val="00C07690"/>
    <w:rsid w:val="00C118FF"/>
    <w:rsid w:val="00C12762"/>
    <w:rsid w:val="00C139C0"/>
    <w:rsid w:val="00C20D1C"/>
    <w:rsid w:val="00C27B6A"/>
    <w:rsid w:val="00C36310"/>
    <w:rsid w:val="00C36C5E"/>
    <w:rsid w:val="00C36F46"/>
    <w:rsid w:val="00C41E47"/>
    <w:rsid w:val="00C4395B"/>
    <w:rsid w:val="00C4506B"/>
    <w:rsid w:val="00C45D6A"/>
    <w:rsid w:val="00C46E34"/>
    <w:rsid w:val="00C47205"/>
    <w:rsid w:val="00C503E4"/>
    <w:rsid w:val="00C531B5"/>
    <w:rsid w:val="00C57BC8"/>
    <w:rsid w:val="00C707EB"/>
    <w:rsid w:val="00C76B4C"/>
    <w:rsid w:val="00C8237E"/>
    <w:rsid w:val="00C8348B"/>
    <w:rsid w:val="00C84291"/>
    <w:rsid w:val="00C875E3"/>
    <w:rsid w:val="00C979F7"/>
    <w:rsid w:val="00C97B30"/>
    <w:rsid w:val="00CA0CF8"/>
    <w:rsid w:val="00CA67F2"/>
    <w:rsid w:val="00CB284C"/>
    <w:rsid w:val="00CB5362"/>
    <w:rsid w:val="00CB7AE0"/>
    <w:rsid w:val="00CC0316"/>
    <w:rsid w:val="00CC199D"/>
    <w:rsid w:val="00CC34D9"/>
    <w:rsid w:val="00CC4D8C"/>
    <w:rsid w:val="00CD48C7"/>
    <w:rsid w:val="00CD6C16"/>
    <w:rsid w:val="00CD7884"/>
    <w:rsid w:val="00CD7A25"/>
    <w:rsid w:val="00CF1356"/>
    <w:rsid w:val="00CF247F"/>
    <w:rsid w:val="00CF7F7F"/>
    <w:rsid w:val="00D019B0"/>
    <w:rsid w:val="00D029BC"/>
    <w:rsid w:val="00D030FE"/>
    <w:rsid w:val="00D04631"/>
    <w:rsid w:val="00D1020C"/>
    <w:rsid w:val="00D1060A"/>
    <w:rsid w:val="00D106CF"/>
    <w:rsid w:val="00D143A0"/>
    <w:rsid w:val="00D1799A"/>
    <w:rsid w:val="00D203B5"/>
    <w:rsid w:val="00D2062B"/>
    <w:rsid w:val="00D22098"/>
    <w:rsid w:val="00D24229"/>
    <w:rsid w:val="00D26C3D"/>
    <w:rsid w:val="00D3383E"/>
    <w:rsid w:val="00D41894"/>
    <w:rsid w:val="00D44870"/>
    <w:rsid w:val="00D527E0"/>
    <w:rsid w:val="00D52CD7"/>
    <w:rsid w:val="00D5648C"/>
    <w:rsid w:val="00D614D5"/>
    <w:rsid w:val="00D61DAE"/>
    <w:rsid w:val="00D70ED2"/>
    <w:rsid w:val="00D7111C"/>
    <w:rsid w:val="00D735DC"/>
    <w:rsid w:val="00D76CD5"/>
    <w:rsid w:val="00D80D7D"/>
    <w:rsid w:val="00D817E2"/>
    <w:rsid w:val="00D8546C"/>
    <w:rsid w:val="00D86000"/>
    <w:rsid w:val="00D8669A"/>
    <w:rsid w:val="00D90197"/>
    <w:rsid w:val="00D94B5D"/>
    <w:rsid w:val="00D95116"/>
    <w:rsid w:val="00D95D7A"/>
    <w:rsid w:val="00DA0E5F"/>
    <w:rsid w:val="00DA2789"/>
    <w:rsid w:val="00DA3858"/>
    <w:rsid w:val="00DA68A2"/>
    <w:rsid w:val="00DB1AF5"/>
    <w:rsid w:val="00DB39C1"/>
    <w:rsid w:val="00DB60F2"/>
    <w:rsid w:val="00DB7AF8"/>
    <w:rsid w:val="00DC0681"/>
    <w:rsid w:val="00DC2E6B"/>
    <w:rsid w:val="00DC612E"/>
    <w:rsid w:val="00DC76C6"/>
    <w:rsid w:val="00DD1D80"/>
    <w:rsid w:val="00DD2647"/>
    <w:rsid w:val="00DE06AA"/>
    <w:rsid w:val="00DE1CE3"/>
    <w:rsid w:val="00DE4BA5"/>
    <w:rsid w:val="00DE55A7"/>
    <w:rsid w:val="00DF07BD"/>
    <w:rsid w:val="00DF2ACF"/>
    <w:rsid w:val="00DF312A"/>
    <w:rsid w:val="00DF3275"/>
    <w:rsid w:val="00DF71D2"/>
    <w:rsid w:val="00E0197F"/>
    <w:rsid w:val="00E01D45"/>
    <w:rsid w:val="00E02F95"/>
    <w:rsid w:val="00E034ED"/>
    <w:rsid w:val="00E0360C"/>
    <w:rsid w:val="00E06398"/>
    <w:rsid w:val="00E1183E"/>
    <w:rsid w:val="00E13022"/>
    <w:rsid w:val="00E163AF"/>
    <w:rsid w:val="00E173B7"/>
    <w:rsid w:val="00E20CD1"/>
    <w:rsid w:val="00E23852"/>
    <w:rsid w:val="00E249AF"/>
    <w:rsid w:val="00E305C8"/>
    <w:rsid w:val="00E32BA2"/>
    <w:rsid w:val="00E35FB8"/>
    <w:rsid w:val="00E36E93"/>
    <w:rsid w:val="00E400BC"/>
    <w:rsid w:val="00E40926"/>
    <w:rsid w:val="00E42B07"/>
    <w:rsid w:val="00E445E3"/>
    <w:rsid w:val="00E4493C"/>
    <w:rsid w:val="00E45378"/>
    <w:rsid w:val="00E50BC4"/>
    <w:rsid w:val="00E52265"/>
    <w:rsid w:val="00E52C39"/>
    <w:rsid w:val="00E555D2"/>
    <w:rsid w:val="00E5719D"/>
    <w:rsid w:val="00E628A5"/>
    <w:rsid w:val="00E66747"/>
    <w:rsid w:val="00E704DC"/>
    <w:rsid w:val="00E708D4"/>
    <w:rsid w:val="00E71516"/>
    <w:rsid w:val="00E740DF"/>
    <w:rsid w:val="00E75251"/>
    <w:rsid w:val="00E85C0A"/>
    <w:rsid w:val="00E86725"/>
    <w:rsid w:val="00E87336"/>
    <w:rsid w:val="00E90E20"/>
    <w:rsid w:val="00E91059"/>
    <w:rsid w:val="00E91661"/>
    <w:rsid w:val="00E93EF5"/>
    <w:rsid w:val="00E9483B"/>
    <w:rsid w:val="00EA0459"/>
    <w:rsid w:val="00EA17E0"/>
    <w:rsid w:val="00EA2607"/>
    <w:rsid w:val="00EA2C71"/>
    <w:rsid w:val="00EA395F"/>
    <w:rsid w:val="00EA62E8"/>
    <w:rsid w:val="00EA63E3"/>
    <w:rsid w:val="00EB10FC"/>
    <w:rsid w:val="00EB1853"/>
    <w:rsid w:val="00EB62E3"/>
    <w:rsid w:val="00EB6A65"/>
    <w:rsid w:val="00EC6C2C"/>
    <w:rsid w:val="00ED169D"/>
    <w:rsid w:val="00ED1F25"/>
    <w:rsid w:val="00ED3B84"/>
    <w:rsid w:val="00ED499B"/>
    <w:rsid w:val="00ED525A"/>
    <w:rsid w:val="00ED5E01"/>
    <w:rsid w:val="00EE2825"/>
    <w:rsid w:val="00EE3C96"/>
    <w:rsid w:val="00EF1F22"/>
    <w:rsid w:val="00EF21B3"/>
    <w:rsid w:val="00EF291E"/>
    <w:rsid w:val="00EF428C"/>
    <w:rsid w:val="00EF4ECD"/>
    <w:rsid w:val="00EF5F8E"/>
    <w:rsid w:val="00EF66E0"/>
    <w:rsid w:val="00EF70E2"/>
    <w:rsid w:val="00EF7DFA"/>
    <w:rsid w:val="00F006A8"/>
    <w:rsid w:val="00F00BAF"/>
    <w:rsid w:val="00F024BB"/>
    <w:rsid w:val="00F03116"/>
    <w:rsid w:val="00F044A2"/>
    <w:rsid w:val="00F11C8F"/>
    <w:rsid w:val="00F145DE"/>
    <w:rsid w:val="00F15652"/>
    <w:rsid w:val="00F201D8"/>
    <w:rsid w:val="00F22942"/>
    <w:rsid w:val="00F24F6D"/>
    <w:rsid w:val="00F30BA4"/>
    <w:rsid w:val="00F31718"/>
    <w:rsid w:val="00F33DE4"/>
    <w:rsid w:val="00F35384"/>
    <w:rsid w:val="00F42DDF"/>
    <w:rsid w:val="00F449EB"/>
    <w:rsid w:val="00F45B37"/>
    <w:rsid w:val="00F50A53"/>
    <w:rsid w:val="00F51A17"/>
    <w:rsid w:val="00F51E06"/>
    <w:rsid w:val="00F520AE"/>
    <w:rsid w:val="00F546AD"/>
    <w:rsid w:val="00F564E8"/>
    <w:rsid w:val="00F61742"/>
    <w:rsid w:val="00F640E5"/>
    <w:rsid w:val="00F66B8F"/>
    <w:rsid w:val="00F716BB"/>
    <w:rsid w:val="00F73DE7"/>
    <w:rsid w:val="00F73F6D"/>
    <w:rsid w:val="00F74719"/>
    <w:rsid w:val="00F76C96"/>
    <w:rsid w:val="00F7783B"/>
    <w:rsid w:val="00F8163F"/>
    <w:rsid w:val="00F82566"/>
    <w:rsid w:val="00F825DE"/>
    <w:rsid w:val="00F84C59"/>
    <w:rsid w:val="00F85C38"/>
    <w:rsid w:val="00F93BFF"/>
    <w:rsid w:val="00F93E52"/>
    <w:rsid w:val="00F95758"/>
    <w:rsid w:val="00F95F77"/>
    <w:rsid w:val="00F97699"/>
    <w:rsid w:val="00FA426E"/>
    <w:rsid w:val="00FA518D"/>
    <w:rsid w:val="00FA7518"/>
    <w:rsid w:val="00FB064D"/>
    <w:rsid w:val="00FB6A24"/>
    <w:rsid w:val="00FC0DE5"/>
    <w:rsid w:val="00FC12FF"/>
    <w:rsid w:val="00FC6174"/>
    <w:rsid w:val="00FC7CC5"/>
    <w:rsid w:val="00FD069B"/>
    <w:rsid w:val="00FD4B1F"/>
    <w:rsid w:val="00FD5D2F"/>
    <w:rsid w:val="00FE2150"/>
    <w:rsid w:val="00FE5295"/>
    <w:rsid w:val="00FF5208"/>
    <w:rsid w:val="00FF5E1F"/>
    <w:rsid w:val="00FF799F"/>
    <w:rsid w:val="1CA65093"/>
    <w:rsid w:val="2461328E"/>
    <w:rsid w:val="2D3C5D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uiPriority="99" w:name="Body Text First Indent 2"/>
    <w:lsdException w:qFormat="1" w:unhideWhenUsed="0" w:uiPriority="0" w:name="Note Heading"/>
    <w:lsdException w:uiPriority="0" w:name="Body Text 2"/>
    <w:lsdException w:uiPriority="0" w:name="Body Text 3"/>
    <w:lsdException w:qFormat="1" w:unhideWhenUsed="0" w:uiPriority="0" w:name="Body Text Indent 2"/>
    <w:lsdException w:qFormat="1" w:uiPriority="0" w:name="Body Text Indent 3"/>
    <w:lsdException w:uiPriority="99"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uiPriority w:val="99"/>
    <w:pPr>
      <w:numPr>
        <w:ilvl w:val="0"/>
        <w:numId w:val="1"/>
      </w:numPr>
      <w:contextualSpacing/>
    </w:pPr>
  </w:style>
  <w:style w:type="paragraph" w:styleId="16">
    <w:name w:val="Document Map"/>
    <w:basedOn w:val="1"/>
    <w:link w:val="92"/>
    <w:semiHidden/>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qFormat/>
    <w:uiPriority w:val="0"/>
    <w:pPr>
      <w:spacing w:after="120"/>
    </w:pPr>
    <w:rPr>
      <w:rFonts w:ascii="Times New Roman" w:hAnsi="Times New Roman" w:eastAsia="宋体" w:cs="Times New Roman"/>
      <w:kern w:val="0"/>
      <w:sz w:val="24"/>
      <w:szCs w:val="24"/>
    </w:rPr>
  </w:style>
  <w:style w:type="paragraph" w:styleId="20">
    <w:name w:val="Body Text Indent"/>
    <w:basedOn w:val="1"/>
    <w:link w:val="100"/>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qFormat/>
    <w:uiPriority w:val="99"/>
    <w:rPr>
      <w:sz w:val="18"/>
      <w:szCs w:val="18"/>
    </w:rPr>
  </w:style>
  <w:style w:type="paragraph" w:styleId="28">
    <w:name w:val="footer"/>
    <w:basedOn w:val="1"/>
    <w:link w:val="54"/>
    <w:unhideWhenUsed/>
    <w:qFormat/>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qFormat/>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qFormat/>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uiPriority w:val="0"/>
  </w:style>
  <w:style w:type="character" w:styleId="49">
    <w:name w:val="FollowedHyperlink"/>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qFormat/>
    <w:uiPriority w:val="99"/>
    <w:rPr>
      <w:sz w:val="21"/>
      <w:szCs w:val="21"/>
    </w:rPr>
  </w:style>
  <w:style w:type="character" w:customStyle="1" w:styleId="53">
    <w:name w:val="页眉 Char1"/>
    <w:basedOn w:val="46"/>
    <w:link w:val="29"/>
    <w:uiPriority w:val="99"/>
    <w:rPr>
      <w:sz w:val="18"/>
      <w:szCs w:val="18"/>
    </w:rPr>
  </w:style>
  <w:style w:type="character" w:customStyle="1" w:styleId="54">
    <w:name w:val="页脚 Char1"/>
    <w:basedOn w:val="46"/>
    <w:link w:val="28"/>
    <w:qFormat/>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qFormat/>
    <w:uiPriority w:val="9"/>
    <w:rPr>
      <w:rFonts w:ascii="Times New Roman" w:hAnsi="Times New Roman" w:eastAsia="仿宋" w:cstheme="majorBidi"/>
      <w:b/>
      <w:bCs/>
      <w:sz w:val="32"/>
      <w:szCs w:val="32"/>
    </w:rPr>
  </w:style>
  <w:style w:type="character" w:customStyle="1" w:styleId="57">
    <w:name w:val="标题 3 Char2"/>
    <w:basedOn w:val="46"/>
    <w:link w:val="4"/>
    <w:uiPriority w:val="9"/>
    <w:rPr>
      <w:rFonts w:ascii="Times New Roman" w:hAnsi="Times New Roman" w:eastAsia="仿宋"/>
      <w:b/>
      <w:bCs/>
      <w:sz w:val="30"/>
      <w:szCs w:val="32"/>
    </w:rPr>
  </w:style>
  <w:style w:type="paragraph" w:customStyle="1" w:styleId="58">
    <w:name w:val="Char Char Char"/>
    <w:basedOn w:val="1"/>
    <w:semiHidden/>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qFormat/>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qFormat/>
    <w:uiPriority w:val="99"/>
    <w:rPr>
      <w:b/>
      <w:bCs/>
    </w:rPr>
  </w:style>
  <w:style w:type="character" w:customStyle="1" w:styleId="69">
    <w:name w:val="标题 5 字符"/>
    <w:basedOn w:val="46"/>
    <w:semiHidden/>
    <w:qFormat/>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qFormat/>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uiPriority w:val="9"/>
    <w:rPr>
      <w:rFonts w:asciiTheme="majorHAnsi" w:hAnsiTheme="majorHAnsi" w:eastAsiaTheme="majorEastAsia" w:cstheme="majorBidi"/>
      <w:szCs w:val="21"/>
    </w:rPr>
  </w:style>
  <w:style w:type="character" w:customStyle="1" w:styleId="74">
    <w:name w:val="页脚 Char"/>
    <w:uiPriority w:val="99"/>
    <w:rPr>
      <w:sz w:val="18"/>
      <w:szCs w:val="18"/>
    </w:rPr>
  </w:style>
  <w:style w:type="paragraph" w:customStyle="1" w:styleId="75">
    <w:name w:val="Char Char Char1 Char Char Char Char Char Char2 Char"/>
    <w:basedOn w:val="1"/>
    <w:semiHidden/>
    <w:uiPriority w:val="0"/>
    <w:rPr>
      <w:rFonts w:ascii="黑体" w:hAnsi="Times New Roman" w:eastAsia="黑体" w:cs="Times New Roman"/>
      <w:b/>
      <w:kern w:val="0"/>
      <w:sz w:val="32"/>
      <w:szCs w:val="32"/>
    </w:rPr>
  </w:style>
  <w:style w:type="character" w:customStyle="1" w:styleId="76">
    <w:name w:val="页眉 Char"/>
    <w:qFormat/>
    <w:uiPriority w:val="99"/>
    <w:rPr>
      <w:sz w:val="18"/>
      <w:szCs w:val="18"/>
    </w:rPr>
  </w:style>
  <w:style w:type="paragraph" w:customStyle="1" w:styleId="77">
    <w:name w:val="Char Char Char1 Char Char Char Char Char Char2 Char1"/>
    <w:basedOn w:val="1"/>
    <w:semiHidden/>
    <w:qFormat/>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uiPriority w:val="0"/>
  </w:style>
  <w:style w:type="character" w:customStyle="1" w:styleId="80">
    <w:name w:val="标题 1 Char"/>
    <w:qFormat/>
    <w:uiPriority w:val="0"/>
    <w:rPr>
      <w:b/>
      <w:bCs/>
      <w:kern w:val="44"/>
      <w:sz w:val="44"/>
      <w:szCs w:val="44"/>
    </w:rPr>
  </w:style>
  <w:style w:type="character" w:customStyle="1" w:styleId="81">
    <w:name w:val="标题 2 Char"/>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qFormat/>
    <w:uiPriority w:val="0"/>
    <w:rPr>
      <w:rFonts w:ascii="Calibri" w:hAnsi="Calibri" w:eastAsia="宋体" w:cs="Times New Roman"/>
      <w:b/>
      <w:bCs/>
      <w:kern w:val="0"/>
      <w:sz w:val="28"/>
      <w:szCs w:val="28"/>
      <w:lang w:bidi="en-US"/>
    </w:rPr>
  </w:style>
  <w:style w:type="character" w:customStyle="1" w:styleId="84">
    <w:name w:val="标题 5 Char1"/>
    <w:link w:val="6"/>
    <w:uiPriority w:val="0"/>
    <w:rPr>
      <w:rFonts w:ascii="Calibri" w:hAnsi="Calibri" w:eastAsia="宋体" w:cs="Times New Roman"/>
      <w:b/>
      <w:bCs/>
      <w:i/>
      <w:iCs/>
      <w:kern w:val="0"/>
      <w:sz w:val="26"/>
      <w:szCs w:val="26"/>
      <w:lang w:bidi="en-US"/>
    </w:rPr>
  </w:style>
  <w:style w:type="character" w:customStyle="1" w:styleId="85">
    <w:name w:val="标题 6 Char1"/>
    <w:link w:val="7"/>
    <w:qFormat/>
    <w:uiPriority w:val="0"/>
    <w:rPr>
      <w:rFonts w:ascii="Calibri" w:hAnsi="Calibri" w:eastAsia="宋体" w:cs="Times New Roman"/>
      <w:b/>
      <w:bCs/>
      <w:kern w:val="0"/>
      <w:sz w:val="22"/>
      <w:szCs w:val="28"/>
      <w:lang w:bidi="en-US"/>
    </w:rPr>
  </w:style>
  <w:style w:type="character" w:customStyle="1" w:styleId="86">
    <w:name w:val="标题 7 Char1"/>
    <w:link w:val="8"/>
    <w:uiPriority w:val="0"/>
    <w:rPr>
      <w:rFonts w:ascii="Calibri" w:hAnsi="Calibri" w:eastAsia="宋体" w:cs="Times New Roman"/>
      <w:kern w:val="0"/>
      <w:sz w:val="24"/>
      <w:szCs w:val="24"/>
      <w:lang w:bidi="en-US"/>
    </w:rPr>
  </w:style>
  <w:style w:type="character" w:customStyle="1" w:styleId="87">
    <w:name w:val="标题 8 Char1"/>
    <w:link w:val="9"/>
    <w:qFormat/>
    <w:uiPriority w:val="0"/>
    <w:rPr>
      <w:rFonts w:ascii="Calibri" w:hAnsi="Calibri" w:eastAsia="宋体" w:cs="Times New Roman"/>
      <w:i/>
      <w:iCs/>
      <w:kern w:val="0"/>
      <w:sz w:val="24"/>
      <w:szCs w:val="24"/>
      <w:lang w:bidi="en-US"/>
    </w:rPr>
  </w:style>
  <w:style w:type="character" w:customStyle="1" w:styleId="88">
    <w:name w:val="标题 9 Char1"/>
    <w:link w:val="10"/>
    <w:uiPriority w:val="0"/>
    <w:rPr>
      <w:rFonts w:ascii="Cambria" w:hAnsi="Cambria" w:eastAsia="宋体" w:cs="Times New Roman"/>
      <w:kern w:val="0"/>
      <w:sz w:val="22"/>
      <w:szCs w:val="28"/>
      <w:lang w:bidi="en-US"/>
    </w:rPr>
  </w:style>
  <w:style w:type="character" w:customStyle="1" w:styleId="89">
    <w:name w:val="标题 1 Char1"/>
    <w:uiPriority w:val="0"/>
    <w:rPr>
      <w:rFonts w:ascii="仿宋_GB2312" w:hAnsi="Times New Roman" w:eastAsia="仿宋_GB2312" w:cs="Times New Roman"/>
      <w:b/>
      <w:bCs/>
      <w:kern w:val="44"/>
      <w:sz w:val="32"/>
      <w:szCs w:val="44"/>
    </w:rPr>
  </w:style>
  <w:style w:type="character" w:customStyle="1" w:styleId="90">
    <w:name w:val="标题 2 Char1"/>
    <w:qFormat/>
    <w:uiPriority w:val="0"/>
    <w:rPr>
      <w:rFonts w:ascii="Arial" w:hAnsi="Arial" w:eastAsia="黑体" w:cs="Times New Roman"/>
      <w:b/>
      <w:bCs/>
      <w:kern w:val="0"/>
      <w:sz w:val="30"/>
      <w:szCs w:val="32"/>
    </w:rPr>
  </w:style>
  <w:style w:type="character" w:customStyle="1" w:styleId="91">
    <w:name w:val="标题 3 Char1"/>
    <w:uiPriority w:val="0"/>
    <w:rPr>
      <w:rFonts w:ascii="仿宋_GB2312" w:hAnsi="Times New Roman" w:eastAsia="仿宋_GB2312" w:cs="Times New Roman"/>
      <w:b/>
      <w:bCs/>
      <w:kern w:val="0"/>
      <w:sz w:val="28"/>
      <w:szCs w:val="32"/>
    </w:rPr>
  </w:style>
  <w:style w:type="character" w:customStyle="1" w:styleId="92">
    <w:name w:val="文档结构图 Char2"/>
    <w:link w:val="16"/>
    <w:semiHidden/>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uiPriority w:val="99"/>
    <w:rPr>
      <w:rFonts w:ascii="Microsoft YaHei UI" w:eastAsia="Microsoft YaHei UI"/>
      <w:sz w:val="18"/>
      <w:szCs w:val="18"/>
    </w:rPr>
  </w:style>
  <w:style w:type="character" w:customStyle="1" w:styleId="94">
    <w:name w:val="文档结构图 Char1"/>
    <w:semiHidden/>
    <w:uiPriority w:val="99"/>
    <w:rPr>
      <w:rFonts w:ascii="Microsoft YaHei UI" w:eastAsia="Microsoft YaHei UI"/>
      <w:sz w:val="18"/>
      <w:szCs w:val="18"/>
    </w:rPr>
  </w:style>
  <w:style w:type="paragraph" w:customStyle="1" w:styleId="95">
    <w:name w:val="样式 标题 2 + 首行缩进:  2 字符 段前: 0.5 行 段后: 0.5 行"/>
    <w:basedOn w:val="3"/>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uiPriority w:val="0"/>
    <w:pPr>
      <w:spacing w:before="0" w:after="0" w:line="360" w:lineRule="auto"/>
    </w:pPr>
    <w:rPr>
      <w:rFonts w:ascii="仿宋_GB2312" w:eastAsia="仿宋_GB2312" w:cs="宋体"/>
      <w:kern w:val="0"/>
      <w:sz w:val="28"/>
      <w:szCs w:val="20"/>
    </w:rPr>
  </w:style>
  <w:style w:type="character" w:customStyle="1" w:styleId="97">
    <w:name w:val="文字 Char"/>
    <w:link w:val="61"/>
    <w:uiPriority w:val="0"/>
    <w:rPr>
      <w:rFonts w:ascii="Times New Roman" w:hAnsi="Times New Roman" w:eastAsia="宋体" w:cs="Times New Roman"/>
      <w:kern w:val="0"/>
      <w:sz w:val="24"/>
      <w:szCs w:val="24"/>
    </w:rPr>
  </w:style>
  <w:style w:type="character" w:customStyle="1" w:styleId="98">
    <w:name w:val="正文文本缩进 字符"/>
    <w:basedOn w:val="46"/>
    <w:semiHidden/>
    <w:qFormat/>
    <w:uiPriority w:val="99"/>
  </w:style>
  <w:style w:type="character" w:customStyle="1" w:styleId="99">
    <w:name w:val="正文文本缩进 Char"/>
    <w:basedOn w:val="46"/>
    <w:qFormat/>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qFormat/>
    <w:uiPriority w:val="0"/>
    <w:rPr>
      <w:rFonts w:ascii="Arial" w:hAnsi="Arial" w:eastAsia="黑体"/>
      <w:b/>
      <w:bCs/>
      <w:color w:val="auto"/>
      <w:sz w:val="32"/>
      <w:u w:val="none"/>
    </w:rPr>
  </w:style>
  <w:style w:type="character" w:customStyle="1" w:styleId="106">
    <w:name w:val="标题 字符"/>
    <w:basedOn w:val="46"/>
    <w:uiPriority w:val="10"/>
    <w:rPr>
      <w:rFonts w:asciiTheme="majorHAnsi" w:hAnsiTheme="majorHAnsi" w:eastAsiaTheme="majorEastAsia" w:cstheme="majorBidi"/>
      <w:b/>
      <w:bCs/>
      <w:sz w:val="32"/>
      <w:szCs w:val="32"/>
    </w:rPr>
  </w:style>
  <w:style w:type="character" w:customStyle="1" w:styleId="107">
    <w:name w:val="标题 Char1"/>
    <w:link w:val="40"/>
    <w:uiPriority w:val="0"/>
    <w:rPr>
      <w:rFonts w:ascii="Cambria" w:hAnsi="Cambria" w:eastAsia="宋体" w:cs="Times New Roman"/>
      <w:b/>
      <w:bCs/>
      <w:kern w:val="28"/>
      <w:sz w:val="32"/>
      <w:szCs w:val="32"/>
      <w:lang w:bidi="en-US"/>
    </w:rPr>
  </w:style>
  <w:style w:type="character" w:customStyle="1" w:styleId="108">
    <w:name w:val="副标题 字符"/>
    <w:basedOn w:val="46"/>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qFormat/>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uiPriority w:val="30"/>
    <w:rPr>
      <w:i/>
      <w:iCs/>
      <w:color w:val="4F81BD" w:themeColor="accent1"/>
      <w14:textFill>
        <w14:solidFill>
          <w14:schemeClr w14:val="accent1"/>
        </w14:solidFill>
      </w14:textFill>
    </w:rPr>
  </w:style>
  <w:style w:type="character" w:customStyle="1" w:styleId="117">
    <w:name w:val="明显引用 Char1"/>
    <w:link w:val="115"/>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qFormat/>
    <w:uiPriority w:val="99"/>
    <w:rPr>
      <w:rFonts w:hAnsi="Courier New" w:cs="Courier New" w:asciiTheme="minorEastAsia"/>
    </w:rPr>
  </w:style>
  <w:style w:type="character" w:customStyle="1" w:styleId="125">
    <w:name w:val="纯文本 Char1"/>
    <w:link w:val="23"/>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qFormat/>
    <w:uiPriority w:val="99"/>
  </w:style>
  <w:style w:type="character" w:customStyle="1" w:styleId="128">
    <w:name w:val="正文文本 Char1"/>
    <w:link w:val="19"/>
    <w:uiPriority w:val="0"/>
    <w:rPr>
      <w:rFonts w:ascii="Times New Roman" w:hAnsi="Times New Roman" w:eastAsia="宋体" w:cs="Times New Roman"/>
      <w:kern w:val="0"/>
      <w:sz w:val="24"/>
      <w:szCs w:val="24"/>
    </w:rPr>
  </w:style>
  <w:style w:type="character" w:customStyle="1" w:styleId="129">
    <w:name w:val="正文首行缩进 Char"/>
    <w:uiPriority w:val="0"/>
    <w:rPr>
      <w:rFonts w:ascii="Times New Roman" w:hAnsi="Times New Roman" w:eastAsia="宋体" w:cs="Times New Roman"/>
      <w:sz w:val="24"/>
      <w:szCs w:val="24"/>
    </w:rPr>
  </w:style>
  <w:style w:type="character" w:customStyle="1" w:styleId="130">
    <w:name w:val="正文首行缩进 Char1"/>
    <w:uiPriority w:val="0"/>
    <w:rPr>
      <w:rFonts w:ascii="Times New Roman" w:hAnsi="Times New Roman" w:eastAsia="宋体" w:cs="Times New Roman"/>
      <w:sz w:val="28"/>
      <w:szCs w:val="24"/>
    </w:rPr>
  </w:style>
  <w:style w:type="paragraph" w:customStyle="1" w:styleId="131">
    <w:name w:val="样式 标题 3 + 小四 段前: 0 磅 段后: 0 磅"/>
    <w:basedOn w:val="4"/>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qFormat/>
    <w:uiPriority w:val="0"/>
    <w:rPr>
      <w:rFonts w:ascii="Calibri" w:hAnsi="Calibri" w:eastAsia="宋体" w:cs="Times New Roman"/>
      <w:kern w:val="0"/>
      <w:sz w:val="16"/>
      <w:szCs w:val="16"/>
      <w:lang w:bidi="en-US"/>
    </w:rPr>
  </w:style>
  <w:style w:type="character" w:customStyle="1" w:styleId="133">
    <w:name w:val="正文文本 3 字符"/>
    <w:basedOn w:val="46"/>
    <w:semiHidden/>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qFormat/>
    <w:uiPriority w:val="0"/>
    <w:rPr>
      <w:rFonts w:ascii="Calibri" w:hAnsi="Calibri" w:eastAsia="宋体" w:cs="Times New Roman"/>
      <w:kern w:val="0"/>
      <w:sz w:val="16"/>
      <w:szCs w:val="16"/>
      <w:lang w:bidi="en-US"/>
    </w:rPr>
  </w:style>
  <w:style w:type="character" w:customStyle="1" w:styleId="136">
    <w:name w:val="正文文本缩进 3 字符"/>
    <w:basedOn w:val="46"/>
    <w:semiHidden/>
    <w:uiPriority w:val="99"/>
    <w:rPr>
      <w:sz w:val="16"/>
      <w:szCs w:val="16"/>
    </w:rPr>
  </w:style>
  <w:style w:type="character" w:customStyle="1" w:styleId="137">
    <w:name w:val="正文文本缩进 3 Char1"/>
    <w:semiHidden/>
    <w:qFormat/>
    <w:uiPriority w:val="99"/>
    <w:rPr>
      <w:sz w:val="16"/>
      <w:szCs w:val="16"/>
    </w:rPr>
  </w:style>
  <w:style w:type="character" w:customStyle="1" w:styleId="138">
    <w:name w:val="正文文本缩进 2 Char2"/>
    <w:link w:val="26"/>
    <w:semiHidden/>
    <w:qFormat/>
    <w:uiPriority w:val="0"/>
    <w:rPr>
      <w:rFonts w:ascii="Times New Roman" w:hAnsi="Times New Roman" w:eastAsia="宋体" w:cs="Times New Roman"/>
      <w:sz w:val="28"/>
      <w:szCs w:val="24"/>
    </w:rPr>
  </w:style>
  <w:style w:type="character" w:customStyle="1" w:styleId="139">
    <w:name w:val="正文文本缩进 2 字符"/>
    <w:basedOn w:val="46"/>
    <w:semiHidden/>
    <w:qFormat/>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uiPriority w:val="99"/>
  </w:style>
  <w:style w:type="character" w:customStyle="1" w:styleId="143">
    <w:name w:val="正文文本 2 Char1"/>
    <w:basedOn w:val="46"/>
    <w:semiHidden/>
    <w:qFormat/>
    <w:uiPriority w:val="99"/>
  </w:style>
  <w:style w:type="paragraph" w:customStyle="1" w:styleId="144">
    <w:name w:val="样式1"/>
    <w:basedOn w:val="2"/>
    <w:next w:val="12"/>
    <w:qFormat/>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uiPriority w:val="99"/>
  </w:style>
  <w:style w:type="character" w:customStyle="1" w:styleId="146">
    <w:name w:val="注释标题 Char1"/>
    <w:link w:val="12"/>
    <w:semiHidden/>
    <w:qFormat/>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qFormat/>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uiPriority w:val="0"/>
    <w:pPr>
      <w:tabs>
        <w:tab w:val="left" w:pos="720"/>
      </w:tabs>
      <w:spacing w:before="240" w:after="120" w:line="240" w:lineRule="auto"/>
    </w:pPr>
    <w:rPr>
      <w:rFonts w:eastAsia="黑体" w:cs="Times New Roman"/>
      <w:sz w:val="32"/>
    </w:rPr>
  </w:style>
  <w:style w:type="character" w:customStyle="1" w:styleId="181">
    <w:name w:val="标题 1 Char Char"/>
    <w:uiPriority w:val="0"/>
    <w:rPr>
      <w:rFonts w:eastAsia="黑体"/>
      <w:b/>
      <w:bCs/>
      <w:kern w:val="44"/>
      <w:sz w:val="32"/>
      <w:szCs w:val="44"/>
      <w:lang w:val="en-US" w:eastAsia="zh-CN" w:bidi="ar-SA"/>
    </w:rPr>
  </w:style>
  <w:style w:type="character" w:customStyle="1" w:styleId="182">
    <w:name w:val="样式1 Char Char Char"/>
    <w:uiPriority w:val="0"/>
    <w:rPr>
      <w:rFonts w:eastAsia="黑体"/>
      <w:b/>
      <w:bCs/>
      <w:kern w:val="44"/>
      <w:sz w:val="32"/>
      <w:szCs w:val="44"/>
      <w:lang w:val="en-US" w:eastAsia="zh-CN" w:bidi="ar-SA"/>
    </w:rPr>
  </w:style>
  <w:style w:type="paragraph" w:customStyle="1" w:styleId="183">
    <w:name w:val="样式 标题 1 + 小三 黑色 Char"/>
    <w:basedOn w:val="2"/>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qFormat/>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uiPriority w:val="0"/>
    <w:pPr>
      <w:spacing w:after="0"/>
      <w:jc w:val="center"/>
    </w:pPr>
    <w:rPr>
      <w:rFonts w:ascii="宋体" w:hAnsi="宋体" w:cs="楷体_GB2312"/>
      <w:b/>
      <w:bCs/>
      <w:sz w:val="21"/>
    </w:rPr>
  </w:style>
  <w:style w:type="character" w:customStyle="1" w:styleId="200">
    <w:name w:val="TableHead Char"/>
    <w:link w:val="199"/>
    <w:qFormat/>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qFormat/>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qFormat/>
    <w:uiPriority w:val="0"/>
  </w:style>
  <w:style w:type="paragraph" w:customStyle="1" w:styleId="213">
    <w:name w:val="Char Char Char Char Char Char Char Char Char Char Char Char Char Char Char Char Char Char Char Char Char Char Char Char Char"/>
    <w:basedOn w:val="1"/>
    <w:semiHidden/>
    <w:qFormat/>
    <w:uiPriority w:val="0"/>
    <w:rPr>
      <w:rFonts w:ascii="Times New Roman" w:hAnsi="Times New Roman" w:eastAsia="宋体" w:cs="Times New Roman"/>
      <w:kern w:val="0"/>
      <w:sz w:val="28"/>
      <w:szCs w:val="24"/>
    </w:rPr>
  </w:style>
  <w:style w:type="character" w:customStyle="1" w:styleId="214">
    <w:name w:val="批注文字 字符1"/>
    <w:uiPriority w:val="99"/>
    <w:rPr>
      <w:rFonts w:ascii="仿宋_GB2312" w:hAnsi="Times New Roman" w:eastAsia="仿宋_GB2312" w:cs="Times New Roman"/>
      <w:kern w:val="0"/>
      <w:sz w:val="24"/>
      <w:szCs w:val="24"/>
    </w:rPr>
  </w:style>
  <w:style w:type="character" w:customStyle="1" w:styleId="215">
    <w:name w:val="批注主题 字符1"/>
    <w:semiHidden/>
    <w:qFormat/>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8">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qFormat/>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3">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uiPriority w:val="99"/>
    <w:rPr>
      <w:rFonts w:ascii="Arial" w:hAnsi="Arial" w:cs="Arial"/>
      <w:vanish/>
      <w:sz w:val="16"/>
      <w:szCs w:val="16"/>
    </w:rPr>
  </w:style>
  <w:style w:type="character" w:customStyle="1" w:styleId="277">
    <w:name w:val="z-窗体顶端 Char1"/>
    <w:link w:val="275"/>
    <w:semiHidden/>
    <w:qFormat/>
    <w:uiPriority w:val="99"/>
    <w:rPr>
      <w:rFonts w:ascii="Arial" w:hAnsi="Arial" w:eastAsia="宋体" w:cs="Arial"/>
      <w:vanish/>
      <w:kern w:val="0"/>
      <w:sz w:val="16"/>
      <w:szCs w:val="16"/>
    </w:rPr>
  </w:style>
  <w:style w:type="paragraph" w:customStyle="1" w:styleId="278">
    <w:name w:val="HTML Bottom of Form"/>
    <w:basedOn w:val="1"/>
    <w:next w:val="1"/>
    <w:link w:val="280"/>
    <w:unhideWhenUsed/>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uiPriority w:val="99"/>
    <w:rPr>
      <w:rFonts w:ascii="Arial" w:hAnsi="Arial" w:cs="Arial"/>
      <w:vanish/>
      <w:sz w:val="16"/>
      <w:szCs w:val="16"/>
    </w:rPr>
  </w:style>
  <w:style w:type="character" w:customStyle="1" w:styleId="280">
    <w:name w:val="z-窗体底端 Char1"/>
    <w:link w:val="278"/>
    <w:uiPriority w:val="99"/>
    <w:rPr>
      <w:rFonts w:ascii="Arial" w:hAnsi="Arial" w:eastAsia="宋体" w:cs="Arial"/>
      <w:vanish/>
      <w:kern w:val="0"/>
      <w:sz w:val="16"/>
      <w:szCs w:val="16"/>
    </w:rPr>
  </w:style>
  <w:style w:type="paragraph" w:customStyle="1" w:styleId="2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qFormat/>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uiPriority w:val="99"/>
  </w:style>
  <w:style w:type="character" w:customStyle="1" w:styleId="316">
    <w:name w:val="正文首行缩进 2 Char1"/>
    <w:basedOn w:val="98"/>
    <w:link w:val="43"/>
    <w:semiHidden/>
    <w:uiPriority w:val="99"/>
  </w:style>
  <w:style w:type="character" w:customStyle="1" w:styleId="317">
    <w:name w:val="标题 5 Char"/>
    <w:uiPriority w:val="0"/>
    <w:rPr>
      <w:rFonts w:ascii="Calibri" w:hAnsi="Calibri" w:eastAsia="宋体" w:cs="Times New Roman"/>
      <w:b/>
      <w:bCs/>
      <w:i/>
      <w:iCs/>
      <w:kern w:val="0"/>
      <w:sz w:val="26"/>
      <w:szCs w:val="26"/>
      <w:lang w:bidi="en-US"/>
    </w:rPr>
  </w:style>
  <w:style w:type="character" w:customStyle="1" w:styleId="318">
    <w:name w:val="标题 6 Char"/>
    <w:qFormat/>
    <w:uiPriority w:val="0"/>
    <w:rPr>
      <w:rFonts w:ascii="Calibri" w:hAnsi="Calibri" w:eastAsia="宋体" w:cs="Times New Roman"/>
      <w:b/>
      <w:bCs/>
      <w:kern w:val="0"/>
      <w:sz w:val="22"/>
      <w:lang w:bidi="en-US"/>
    </w:rPr>
  </w:style>
  <w:style w:type="character" w:customStyle="1" w:styleId="319">
    <w:name w:val="标题 7 Char"/>
    <w:qFormat/>
    <w:uiPriority w:val="0"/>
    <w:rPr>
      <w:rFonts w:ascii="Calibri" w:hAnsi="Calibri" w:eastAsia="宋体" w:cs="Times New Roman"/>
      <w:kern w:val="0"/>
      <w:sz w:val="24"/>
      <w:szCs w:val="24"/>
      <w:lang w:bidi="en-US"/>
    </w:rPr>
  </w:style>
  <w:style w:type="character" w:customStyle="1" w:styleId="320">
    <w:name w:val="标题 8 Char"/>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uiPriority w:val="0"/>
    <w:rPr>
      <w:rFonts w:ascii="宋体" w:hAnsi="宋体" w:eastAsia="宋体" w:cs="Times New Roman"/>
      <w:sz w:val="24"/>
      <w:szCs w:val="24"/>
    </w:rPr>
  </w:style>
  <w:style w:type="character" w:customStyle="1" w:styleId="324">
    <w:name w:val="标题 Char"/>
    <w:uiPriority w:val="0"/>
    <w:rPr>
      <w:rFonts w:ascii="Cambria" w:hAnsi="Cambria" w:eastAsia="宋体" w:cs="Times New Roman"/>
      <w:b/>
      <w:bCs/>
      <w:kern w:val="28"/>
      <w:sz w:val="32"/>
      <w:szCs w:val="32"/>
      <w:lang w:bidi="en-US"/>
    </w:rPr>
  </w:style>
  <w:style w:type="character" w:customStyle="1" w:styleId="325">
    <w:name w:val="副标题 Char"/>
    <w:uiPriority w:val="0"/>
    <w:rPr>
      <w:rFonts w:ascii="Cambria" w:hAnsi="Cambria" w:eastAsia="宋体" w:cs="Times New Roman"/>
      <w:kern w:val="0"/>
      <w:sz w:val="24"/>
      <w:szCs w:val="24"/>
      <w:lang w:bidi="en-US"/>
    </w:rPr>
  </w:style>
  <w:style w:type="character" w:customStyle="1" w:styleId="326">
    <w:name w:val="无间隔 Char"/>
    <w:uiPriority w:val="0"/>
    <w:rPr>
      <w:rFonts w:ascii="Calibri" w:hAnsi="Calibri" w:eastAsia="宋体" w:cs="Times New Roman"/>
      <w:kern w:val="0"/>
      <w:sz w:val="24"/>
      <w:szCs w:val="24"/>
      <w:lang w:bidi="en-US"/>
    </w:rPr>
  </w:style>
  <w:style w:type="character" w:customStyle="1" w:styleId="327">
    <w:name w:val="引用 Char"/>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uiPriority w:val="0"/>
    <w:rPr>
      <w:rFonts w:ascii="Times New Roman" w:hAnsi="Times New Roman" w:eastAsia="宋体" w:cs="Times New Roman"/>
      <w:sz w:val="24"/>
      <w:szCs w:val="24"/>
    </w:rPr>
  </w:style>
  <w:style w:type="character" w:customStyle="1" w:styleId="331">
    <w:name w:val="正文文本 3 Char"/>
    <w:semiHidden/>
    <w:uiPriority w:val="0"/>
    <w:rPr>
      <w:rFonts w:ascii="Calibri" w:hAnsi="Calibri" w:eastAsia="宋体" w:cs="Times New Roman"/>
      <w:kern w:val="0"/>
      <w:sz w:val="16"/>
      <w:szCs w:val="16"/>
      <w:lang w:bidi="en-US"/>
    </w:rPr>
  </w:style>
  <w:style w:type="character" w:customStyle="1" w:styleId="332">
    <w:name w:val="正文文本缩进 3 Char"/>
    <w:semiHidden/>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qFormat/>
    <w:uiPriority w:val="0"/>
    <w:rPr>
      <w:rFonts w:ascii="Calibri" w:hAnsi="Calibri" w:eastAsia="宋体" w:cs="Times New Roman"/>
      <w:kern w:val="0"/>
      <w:sz w:val="20"/>
      <w:szCs w:val="20"/>
    </w:rPr>
  </w:style>
  <w:style w:type="character" w:customStyle="1" w:styleId="337">
    <w:name w:val="批注文字 Char"/>
    <w:semiHidden/>
    <w:qFormat/>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qFormat/>
    <w:uiPriority w:val="0"/>
    <w:rPr>
      <w:rFonts w:ascii="Times New Roman" w:hAnsi="Times New Roman" w:eastAsia="宋体" w:cs="Times New Roman"/>
      <w:szCs w:val="24"/>
    </w:rPr>
  </w:style>
  <w:style w:type="character" w:customStyle="1" w:styleId="344">
    <w:name w:val="批注文字 字符"/>
    <w:basedOn w:val="46"/>
    <w:qFormat/>
    <w:uiPriority w:val="99"/>
  </w:style>
  <w:style w:type="character" w:customStyle="1" w:styleId="345">
    <w:name w:val="批注主题 字符"/>
    <w:basedOn w:val="344"/>
    <w:semiHidden/>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qFormat/>
    <w:uiPriority w:val="99"/>
    <w:rPr>
      <w:color w:val="605E5C"/>
      <w:shd w:val="clear" w:color="auto" w:fill="E1DFDD"/>
    </w:rPr>
  </w:style>
  <w:style w:type="character" w:customStyle="1" w:styleId="348">
    <w:name w:val="未处理的提及4"/>
    <w:basedOn w:val="46"/>
    <w:semiHidden/>
    <w:unhideWhenUsed/>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qFormat/>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uiPriority w:val="99"/>
    <w:rPr>
      <w:color w:val="605E5C"/>
      <w:shd w:val="clear" w:color="auto" w:fill="E1DFDD"/>
    </w:rPr>
  </w:style>
  <w:style w:type="character" w:customStyle="1" w:styleId="353">
    <w:name w:val="未处理的提及6"/>
    <w:basedOn w:val="4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ED2F84-6C3D-4D24-A0A9-D724EC4507B8}">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62</Pages>
  <Words>6052</Words>
  <Characters>34498</Characters>
  <Lines>287</Lines>
  <Paragraphs>80</Paragraphs>
  <TotalTime>95</TotalTime>
  <ScaleCrop>false</ScaleCrop>
  <LinksUpToDate>false</LinksUpToDate>
  <CharactersWithSpaces>40470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2019-12-17T15:51:00Z</dcterms:created>
  <dc:creator>Administrator</dc:creator>
  <cp:lastModifiedBy>Administrator</cp:lastModifiedBy>
  <cp:lastPrinted>2019-09-29T02:51:00Z</cp:lastPrinted>
  <dcterms:modified xsi:type="dcterms:W3CDTF">2021-08-19T02:30:25Z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