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黑体" w:hAnsi="黑体" w:eastAsia="黑体" w:cs="黑体"/>
          <w:b/>
          <w:sz w:val="44"/>
          <w:szCs w:val="44"/>
        </w:rPr>
      </w:pPr>
      <w:r>
        <w:rPr>
          <w:rFonts w:hint="eastAsia" w:ascii="新宋体" w:hAnsi="新宋体" w:eastAsia="新宋体" w:cs="新宋体"/>
          <w:b w:val="0"/>
          <w:bCs/>
          <w:sz w:val="28"/>
          <w:szCs w:val="28"/>
          <w:lang w:eastAsia="zh-CN"/>
        </w:rPr>
        <w:t>附件</w:t>
      </w:r>
      <w:r>
        <w:rPr>
          <w:rFonts w:hint="eastAsia" w:ascii="新宋体" w:hAnsi="新宋体" w:eastAsia="新宋体" w:cs="新宋体"/>
          <w:b w:val="0"/>
          <w:bCs/>
          <w:sz w:val="28"/>
          <w:szCs w:val="28"/>
          <w:lang w:val="en-US" w:eastAsia="zh-CN"/>
        </w:rPr>
        <w:t xml:space="preserve">6 </w:t>
      </w:r>
      <w:bookmarkStart w:id="0" w:name="_GoBack"/>
      <w:bookmarkEnd w:id="0"/>
      <w:r>
        <w:rPr>
          <w:rFonts w:hint="eastAsia" w:ascii="黑体" w:hAnsi="黑体" w:eastAsia="黑体" w:cs="黑体"/>
          <w:b/>
          <w:sz w:val="44"/>
          <w:szCs w:val="44"/>
          <w:lang w:eastAsia="zh-CN"/>
        </w:rPr>
        <w:t>富源县应急管理局</w:t>
      </w:r>
      <w:r>
        <w:rPr>
          <w:rFonts w:hint="eastAsia" w:ascii="黑体" w:hAnsi="黑体" w:eastAsia="黑体" w:cs="黑体"/>
          <w:b/>
          <w:sz w:val="44"/>
          <w:szCs w:val="44"/>
        </w:rPr>
        <w:t>行政执法</w:t>
      </w:r>
    </w:p>
    <w:p>
      <w:pPr>
        <w:spacing w:line="596" w:lineRule="exact"/>
        <w:jc w:val="center"/>
        <w:rPr>
          <w:rFonts w:hint="eastAsia" w:ascii="宋体" w:hAnsi="宋体"/>
          <w:b/>
          <w:sz w:val="44"/>
          <w:szCs w:val="44"/>
        </w:rPr>
      </w:pPr>
      <w:r>
        <w:rPr>
          <w:rFonts w:hint="eastAsia" w:ascii="黑体" w:hAnsi="黑体" w:eastAsia="黑体" w:cs="黑体"/>
          <w:b/>
          <w:sz w:val="44"/>
          <w:szCs w:val="44"/>
        </w:rPr>
        <w:t>救济渠道公示</w:t>
      </w:r>
    </w:p>
    <w:p>
      <w:pPr>
        <w:spacing w:line="596" w:lineRule="exact"/>
        <w:rPr>
          <w:rFonts w:hint="eastAsia" w:ascii="仿宋" w:hAnsi="仿宋" w:eastAsia="仿宋"/>
          <w:b/>
          <w:sz w:val="44"/>
          <w:szCs w:val="44"/>
        </w:rPr>
      </w:pPr>
    </w:p>
    <w:p>
      <w:pPr>
        <w:spacing w:line="596" w:lineRule="exact"/>
        <w:ind w:firstLine="643" w:firstLineChars="200"/>
        <w:rPr>
          <w:rFonts w:hint="eastAsia" w:ascii="仿宋" w:hAnsi="仿宋" w:eastAsia="仿宋"/>
          <w:b w:val="0"/>
          <w:bCs/>
          <w:sz w:val="32"/>
          <w:szCs w:val="32"/>
        </w:rPr>
      </w:pPr>
      <w:r>
        <w:rPr>
          <w:rFonts w:hint="eastAsia" w:ascii="宋体" w:hAnsi="宋体"/>
          <w:b/>
          <w:sz w:val="32"/>
          <w:szCs w:val="32"/>
        </w:rPr>
        <w:t>一、相对人权利</w:t>
      </w:r>
      <w:r>
        <w:rPr>
          <w:rFonts w:hint="eastAsia" w:ascii="仿宋" w:hAnsi="仿宋" w:eastAsia="仿宋"/>
          <w:b/>
          <w:sz w:val="32"/>
          <w:szCs w:val="32"/>
        </w:rPr>
        <w:t>：</w:t>
      </w:r>
      <w:r>
        <w:rPr>
          <w:rFonts w:hint="eastAsia" w:ascii="仿宋" w:hAnsi="仿宋" w:eastAsia="仿宋"/>
          <w:b w:val="0"/>
          <w:bCs/>
          <w:sz w:val="32"/>
          <w:szCs w:val="32"/>
        </w:rPr>
        <w:t>行政管理相对人依法享有请执法人员回避的权利；依法享有陈述权、申辩权和申请听证的权利；对行政机关作出的行政执法行为享有申请行政复议或者提起行政诉讼的权利。</w:t>
      </w:r>
    </w:p>
    <w:p>
      <w:pPr>
        <w:spacing w:line="596" w:lineRule="exact"/>
        <w:ind w:firstLine="643" w:firstLineChars="200"/>
        <w:rPr>
          <w:rFonts w:ascii="仿宋" w:hAnsi="仿宋" w:eastAsia="仿宋"/>
          <w:b w:val="0"/>
          <w:bCs/>
          <w:sz w:val="32"/>
          <w:szCs w:val="32"/>
        </w:rPr>
      </w:pPr>
      <w:r>
        <w:rPr>
          <w:rFonts w:ascii="宋体" w:hAnsi="宋体"/>
          <w:b/>
          <w:sz w:val="32"/>
          <w:szCs w:val="32"/>
        </w:rPr>
        <w:t>二、救济渠道</w:t>
      </w:r>
      <w:r>
        <w:rPr>
          <w:rFonts w:ascii="仿宋" w:hAnsi="仿宋" w:eastAsia="仿宋"/>
          <w:b/>
          <w:sz w:val="32"/>
          <w:szCs w:val="32"/>
        </w:rPr>
        <w:t>：</w:t>
      </w:r>
      <w:r>
        <w:rPr>
          <w:rFonts w:ascii="仿宋" w:hAnsi="仿宋" w:eastAsia="仿宋"/>
          <w:b w:val="0"/>
          <w:bCs/>
          <w:sz w:val="32"/>
          <w:szCs w:val="32"/>
        </w:rPr>
        <w:t>行政管理相对人行使申请回避权、陈述权、申辩权、申请听证权利依法向本机关提出；申请行政复议应在收到行政执法决定书之日起</w:t>
      </w:r>
      <w:r>
        <w:rPr>
          <w:rFonts w:hint="eastAsia" w:ascii="仿宋" w:hAnsi="仿宋" w:eastAsia="仿宋"/>
          <w:b w:val="0"/>
          <w:bCs/>
          <w:sz w:val="32"/>
          <w:szCs w:val="32"/>
        </w:rPr>
        <w:t>60日内向</w:t>
      </w:r>
      <w:r>
        <w:rPr>
          <w:rFonts w:hint="eastAsia" w:ascii="仿宋" w:hAnsi="仿宋" w:eastAsia="仿宋"/>
          <w:b w:val="0"/>
          <w:bCs/>
          <w:sz w:val="32"/>
          <w:szCs w:val="32"/>
          <w:lang w:eastAsia="zh-CN"/>
        </w:rPr>
        <w:t>富源县</w:t>
      </w:r>
      <w:r>
        <w:rPr>
          <w:rFonts w:hint="eastAsia" w:ascii="仿宋" w:hAnsi="仿宋" w:eastAsia="仿宋"/>
          <w:b w:val="0"/>
          <w:bCs/>
          <w:sz w:val="32"/>
          <w:szCs w:val="32"/>
        </w:rPr>
        <w:t>人民政府或</w:t>
      </w:r>
      <w:r>
        <w:rPr>
          <w:rFonts w:hint="eastAsia" w:ascii="仿宋" w:hAnsi="仿宋" w:eastAsia="仿宋"/>
          <w:b w:val="0"/>
          <w:bCs/>
          <w:sz w:val="32"/>
          <w:szCs w:val="32"/>
          <w:lang w:eastAsia="zh-CN"/>
        </w:rPr>
        <w:t>富源县应急管理</w:t>
      </w:r>
      <w:r>
        <w:rPr>
          <w:rFonts w:hint="eastAsia" w:ascii="仿宋" w:hAnsi="仿宋" w:eastAsia="仿宋"/>
          <w:b w:val="0"/>
          <w:bCs/>
          <w:sz w:val="32"/>
          <w:szCs w:val="32"/>
        </w:rPr>
        <w:t>局提出；提起行政诉讼应在收到行政执法决定书之日起6个月内向</w:t>
      </w:r>
      <w:r>
        <w:rPr>
          <w:rFonts w:hint="eastAsia" w:ascii="仿宋" w:hAnsi="仿宋" w:eastAsia="仿宋"/>
          <w:b w:val="0"/>
          <w:bCs/>
          <w:sz w:val="32"/>
          <w:szCs w:val="32"/>
          <w:lang w:eastAsia="zh-CN"/>
        </w:rPr>
        <w:t>凤泉区</w:t>
      </w:r>
      <w:r>
        <w:rPr>
          <w:rFonts w:hint="eastAsia" w:ascii="仿宋" w:hAnsi="仿宋" w:eastAsia="仿宋"/>
          <w:b w:val="0"/>
          <w:bCs/>
          <w:sz w:val="32"/>
          <w:szCs w:val="32"/>
        </w:rPr>
        <w:t>人民法院提出。</w:t>
      </w:r>
    </w:p>
    <w:p>
      <w:pPr>
        <w:spacing w:line="596" w:lineRule="exact"/>
        <w:ind w:firstLine="643" w:firstLineChars="200"/>
        <w:rPr>
          <w:rFonts w:hint="eastAsia" w:ascii="仿宋" w:hAnsi="仿宋" w:eastAsia="仿宋"/>
          <w:b/>
          <w:sz w:val="32"/>
          <w:szCs w:val="32"/>
        </w:rPr>
      </w:pPr>
      <w:r>
        <w:rPr>
          <w:rFonts w:hint="eastAsia" w:ascii="宋体" w:hAnsi="宋体"/>
          <w:b/>
          <w:sz w:val="32"/>
          <w:szCs w:val="32"/>
        </w:rPr>
        <w:t>三、监督举报</w:t>
      </w:r>
      <w:r>
        <w:rPr>
          <w:rFonts w:hint="eastAsia" w:ascii="仿宋" w:hAnsi="仿宋" w:eastAsia="仿宋"/>
          <w:b/>
          <w:sz w:val="32"/>
          <w:szCs w:val="32"/>
        </w:rPr>
        <w:t>：</w:t>
      </w:r>
      <w:r>
        <w:rPr>
          <w:rFonts w:hint="eastAsia" w:ascii="仿宋" w:hAnsi="仿宋" w:eastAsia="仿宋"/>
          <w:b/>
          <w:sz w:val="32"/>
          <w:szCs w:val="32"/>
          <w:lang w:eastAsia="zh-CN"/>
        </w:rPr>
        <w:t>富源县应急管理</w:t>
      </w:r>
      <w:r>
        <w:rPr>
          <w:rFonts w:hint="eastAsia" w:ascii="仿宋" w:hAnsi="仿宋" w:eastAsia="仿宋"/>
          <w:b/>
          <w:sz w:val="32"/>
          <w:szCs w:val="32"/>
        </w:rPr>
        <w:t>局</w:t>
      </w:r>
      <w:r>
        <w:rPr>
          <w:rFonts w:hint="eastAsia" w:ascii="仿宋" w:hAnsi="仿宋" w:eastAsia="仿宋"/>
          <w:b/>
          <w:sz w:val="32"/>
          <w:szCs w:val="32"/>
          <w:lang w:eastAsia="zh-CN"/>
        </w:rPr>
        <w:t>办公室</w:t>
      </w:r>
    </w:p>
    <w:p>
      <w:pPr>
        <w:spacing w:line="596" w:lineRule="exact"/>
        <w:ind w:firstLine="1285" w:firstLineChars="400"/>
        <w:rPr>
          <w:rFonts w:hint="eastAsia" w:ascii="仿宋" w:hAnsi="仿宋" w:eastAsia="仿宋"/>
          <w:b/>
          <w:sz w:val="32"/>
          <w:szCs w:val="32"/>
        </w:rPr>
      </w:pPr>
      <w:r>
        <w:rPr>
          <w:rFonts w:hint="eastAsia" w:ascii="仿宋" w:hAnsi="仿宋" w:eastAsia="仿宋"/>
          <w:b/>
          <w:sz w:val="32"/>
          <w:szCs w:val="32"/>
        </w:rPr>
        <w:t>电话：</w:t>
      </w:r>
      <w:r>
        <w:rPr>
          <w:rFonts w:hint="eastAsia" w:ascii="仿宋" w:hAnsi="仿宋" w:eastAsia="仿宋"/>
          <w:b/>
          <w:sz w:val="32"/>
          <w:szCs w:val="32"/>
          <w:lang w:val="en-US" w:eastAsia="zh-CN"/>
        </w:rPr>
        <w:t>0874——4612121</w:t>
      </w:r>
      <w:r>
        <w:rPr>
          <w:rFonts w:hint="eastAsia" w:ascii="仿宋" w:hAnsi="仿宋" w:eastAsia="仿宋"/>
          <w:b/>
          <w:sz w:val="32"/>
          <w:szCs w:val="32"/>
        </w:rPr>
        <w:t xml:space="preserve"> </w:t>
      </w:r>
      <w:r>
        <w:rPr>
          <w:rFonts w:hint="eastAsia" w:ascii="仿宋" w:hAnsi="仿宋" w:eastAsia="仿宋"/>
          <w:b/>
          <w:sz w:val="32"/>
          <w:szCs w:val="32"/>
          <w:lang w:val="en-US" w:eastAsia="zh-CN"/>
        </w:rPr>
        <w:t xml:space="preserve">  </w:t>
      </w:r>
      <w:r>
        <w:rPr>
          <w:rFonts w:hint="eastAsia" w:ascii="仿宋" w:hAnsi="仿宋" w:eastAsia="仿宋"/>
          <w:b/>
          <w:sz w:val="32"/>
          <w:szCs w:val="32"/>
        </w:rPr>
        <w:t>邮箱:</w:t>
      </w:r>
      <w:r>
        <w:rPr>
          <w:rFonts w:hint="eastAsia" w:ascii="仿宋" w:hAnsi="仿宋" w:eastAsia="仿宋"/>
          <w:b/>
          <w:sz w:val="32"/>
          <w:szCs w:val="32"/>
          <w:lang w:val="en-US" w:eastAsia="zh-CN"/>
        </w:rPr>
        <w:t>fyajj@126.com</w:t>
      </w:r>
      <w:r>
        <w:rPr>
          <w:rFonts w:hint="eastAsia" w:ascii="仿宋" w:hAnsi="仿宋" w:eastAsia="仿宋"/>
          <w:b/>
          <w:sz w:val="32"/>
          <w:szCs w:val="32"/>
        </w:rPr>
        <w:t xml:space="preserve">          </w:t>
      </w:r>
    </w:p>
    <w:p>
      <w:pPr>
        <w:spacing w:line="596"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 xml:space="preserve">    </w:t>
      </w:r>
      <w:r>
        <w:rPr>
          <w:rFonts w:hint="eastAsia" w:ascii="仿宋" w:hAnsi="仿宋" w:eastAsia="仿宋"/>
          <w:b/>
          <w:sz w:val="32"/>
          <w:szCs w:val="32"/>
        </w:rPr>
        <w:t>地址：</w:t>
      </w:r>
      <w:r>
        <w:rPr>
          <w:rFonts w:hint="eastAsia" w:ascii="仿宋" w:hAnsi="仿宋" w:eastAsia="仿宋"/>
          <w:b/>
          <w:sz w:val="32"/>
          <w:szCs w:val="32"/>
          <w:lang w:eastAsia="zh-CN"/>
        </w:rPr>
        <w:t>富源县胜境街道壁板坡林场综合楼六楼</w:t>
      </w:r>
    </w:p>
    <w:p>
      <w:pPr>
        <w:spacing w:line="596" w:lineRule="exact"/>
        <w:rPr>
          <w:rFonts w:hint="default" w:ascii="仿宋" w:hAnsi="仿宋" w:eastAsia="仿宋"/>
          <w:b/>
          <w:sz w:val="32"/>
          <w:szCs w:val="32"/>
          <w:lang w:val="en-US" w:eastAsia="zh-CN"/>
        </w:rPr>
      </w:pPr>
    </w:p>
    <w:p/>
    <w:sectPr>
      <w:footerReference r:id="rId3" w:type="default"/>
      <w:footerReference r:id="rId4" w:type="even"/>
      <w:pgSz w:w="11907" w:h="16840"/>
      <w:pgMar w:top="1928" w:right="1474" w:bottom="1531" w:left="1588" w:header="851" w:footer="1701" w:gutter="0"/>
      <w:cols w:space="72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68" w:firstLine="300"/>
      <w:jc w:val="right"/>
      <w:rPr>
        <w:rFonts w:hint="eastAsia" w:ascii="宋体" w:hAnsi="宋体"/>
        <w:sz w:val="30"/>
      </w:rPr>
    </w:pPr>
    <w:r>
      <w:rPr>
        <w:rStyle w:val="5"/>
        <w:rFonts w:hint="eastAsia" w:ascii="宋体" w:hAnsi="宋体"/>
        <w:sz w:val="30"/>
      </w:rPr>
      <w:t xml:space="preserve">— </w:t>
    </w:r>
    <w:r>
      <w:rPr>
        <w:rFonts w:ascii="宋体" w:hAnsi="宋体"/>
        <w:sz w:val="30"/>
      </w:rPr>
      <w:fldChar w:fldCharType="begin"/>
    </w:r>
    <w:r>
      <w:rPr>
        <w:rStyle w:val="5"/>
        <w:rFonts w:ascii="宋体" w:hAnsi="宋体"/>
        <w:sz w:val="30"/>
      </w:rPr>
      <w:instrText xml:space="preserve"> PAGE </w:instrText>
    </w:r>
    <w:r>
      <w:rPr>
        <w:rFonts w:ascii="宋体" w:hAnsi="宋体"/>
        <w:sz w:val="30"/>
      </w:rPr>
      <w:fldChar w:fldCharType="separate"/>
    </w:r>
    <w:r>
      <w:rPr>
        <w:rStyle w:val="5"/>
        <w:rFonts w:ascii="宋体" w:hAnsi="宋体"/>
        <w:sz w:val="30"/>
      </w:rPr>
      <w:t>1</w:t>
    </w:r>
    <w:r>
      <w:rPr>
        <w:rFonts w:ascii="宋体" w:hAnsi="宋体"/>
        <w:sz w:val="30"/>
      </w:rPr>
      <w:fldChar w:fldCharType="end"/>
    </w:r>
    <w:r>
      <w:rPr>
        <w:rStyle w:val="5"/>
        <w:rFonts w:hint="eastAsia" w:ascii="宋体" w:hAnsi="宋体"/>
        <w:sz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7980"/>
        <w:tab w:val="clear" w:pos="8306"/>
      </w:tabs>
      <w:ind w:right="468" w:firstLine="300"/>
      <w:rPr>
        <w:rFonts w:hint="eastAsia" w:ascii="宋体" w:hAnsi="宋体"/>
        <w:sz w:val="30"/>
      </w:rPr>
    </w:pPr>
    <w:r>
      <w:rPr>
        <w:rStyle w:val="5"/>
        <w:rFonts w:hint="eastAsia" w:ascii="宋体" w:hAnsi="宋体"/>
        <w:sz w:val="30"/>
      </w:rPr>
      <w:t xml:space="preserve">— </w:t>
    </w:r>
    <w:r>
      <w:rPr>
        <w:rFonts w:ascii="宋体" w:hAnsi="宋体"/>
        <w:sz w:val="30"/>
      </w:rPr>
      <w:fldChar w:fldCharType="begin"/>
    </w:r>
    <w:r>
      <w:rPr>
        <w:rStyle w:val="5"/>
        <w:rFonts w:ascii="宋体" w:hAnsi="宋体"/>
        <w:sz w:val="30"/>
      </w:rPr>
      <w:instrText xml:space="preserve"> PAGE </w:instrText>
    </w:r>
    <w:r>
      <w:rPr>
        <w:rFonts w:ascii="宋体" w:hAnsi="宋体"/>
        <w:sz w:val="30"/>
      </w:rPr>
      <w:fldChar w:fldCharType="separate"/>
    </w:r>
    <w:r>
      <w:rPr>
        <w:rStyle w:val="5"/>
        <w:rFonts w:ascii="宋体" w:hAnsi="宋体"/>
        <w:sz w:val="30"/>
      </w:rPr>
      <w:t>2</w:t>
    </w:r>
    <w:r>
      <w:rPr>
        <w:rFonts w:ascii="宋体" w:hAnsi="宋体"/>
        <w:sz w:val="30"/>
      </w:rPr>
      <w:fldChar w:fldCharType="end"/>
    </w:r>
    <w:r>
      <w:rPr>
        <w:rStyle w:val="5"/>
        <w:rFonts w:hint="eastAsia" w:ascii="宋体" w:hAnsi="宋体"/>
        <w:sz w:val="3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664E5"/>
    <w:rsid w:val="74477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心怡//yy</cp:lastModifiedBy>
  <dcterms:modified xsi:type="dcterms:W3CDTF">2021-07-26T01:39:29Z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