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both"/>
        <w:rPr>
          <w:rFonts w:hint="eastAsia" w:ascii="新宋体" w:hAnsi="新宋体" w:eastAsia="新宋体" w:cs="新宋体"/>
          <w:b/>
          <w:i w:val="0"/>
          <w:caps w:val="0"/>
          <w:color w:val="333333"/>
          <w:spacing w:val="0"/>
          <w:sz w:val="28"/>
          <w:szCs w:val="28"/>
          <w:shd w:val="clear" w:fill="FFFFFF"/>
          <w:lang w:val="en-US" w:eastAsia="zh-CN"/>
        </w:rPr>
      </w:pPr>
      <w:r>
        <w:rPr>
          <w:rFonts w:hint="eastAsia" w:ascii="新宋体" w:hAnsi="新宋体" w:eastAsia="新宋体" w:cs="新宋体"/>
          <w:b/>
          <w:i w:val="0"/>
          <w:caps w:val="0"/>
          <w:color w:val="333333"/>
          <w:spacing w:val="0"/>
          <w:sz w:val="28"/>
          <w:szCs w:val="28"/>
          <w:shd w:val="clear" w:fill="FFFFFF"/>
          <w:lang w:eastAsia="zh-CN"/>
        </w:rPr>
        <w:t>附件</w:t>
      </w:r>
      <w:r>
        <w:rPr>
          <w:rFonts w:hint="eastAsia" w:ascii="新宋体" w:hAnsi="新宋体" w:eastAsia="新宋体" w:cs="新宋体"/>
          <w:b/>
          <w:i w:val="0"/>
          <w:caps w:val="0"/>
          <w:color w:val="333333"/>
          <w:spacing w:val="0"/>
          <w:sz w:val="28"/>
          <w:szCs w:val="28"/>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both"/>
        <w:rPr>
          <w:rFonts w:ascii="宋体" w:hAnsi="宋体" w:eastAsia="宋体" w:cs="宋体"/>
          <w:i w:val="0"/>
          <w:caps w:val="0"/>
          <w:color w:val="333333"/>
          <w:spacing w:val="0"/>
          <w:sz w:val="27"/>
          <w:szCs w:val="27"/>
        </w:rPr>
      </w:pPr>
      <w:bookmarkStart w:id="0" w:name="_GoBack"/>
      <w:bookmarkEnd w:id="0"/>
      <w:r>
        <w:rPr>
          <w:rFonts w:hint="eastAsia" w:ascii="宋体" w:hAnsi="宋体" w:eastAsia="宋体" w:cs="宋体"/>
          <w:b/>
          <w:i w:val="0"/>
          <w:caps w:val="0"/>
          <w:color w:val="333333"/>
          <w:spacing w:val="0"/>
          <w:sz w:val="40"/>
          <w:szCs w:val="40"/>
          <w:shd w:val="clear" w:fill="FFFFFF"/>
          <w:lang w:eastAsia="zh-CN"/>
        </w:rPr>
        <w:t>富源县</w:t>
      </w:r>
      <w:r>
        <w:rPr>
          <w:rFonts w:ascii="宋体" w:hAnsi="宋体" w:eastAsia="宋体" w:cs="宋体"/>
          <w:b/>
          <w:i w:val="0"/>
          <w:caps w:val="0"/>
          <w:color w:val="333333"/>
          <w:spacing w:val="0"/>
          <w:sz w:val="40"/>
          <w:szCs w:val="40"/>
          <w:shd w:val="clear" w:fill="FFFFFF"/>
        </w:rPr>
        <w:t>应急管理</w:t>
      </w:r>
      <w:r>
        <w:rPr>
          <w:rFonts w:hint="eastAsia" w:ascii="宋体" w:hAnsi="宋体" w:eastAsia="宋体" w:cs="宋体"/>
          <w:b/>
          <w:i w:val="0"/>
          <w:caps w:val="0"/>
          <w:color w:val="333333"/>
          <w:spacing w:val="0"/>
          <w:sz w:val="40"/>
          <w:szCs w:val="40"/>
          <w:shd w:val="clear" w:fill="FFFFFF"/>
          <w:lang w:eastAsia="zh-CN"/>
        </w:rPr>
        <w:t>局</w:t>
      </w:r>
      <w:r>
        <w:rPr>
          <w:rFonts w:ascii="宋体" w:hAnsi="宋体" w:eastAsia="宋体" w:cs="宋体"/>
          <w:b/>
          <w:i w:val="0"/>
          <w:caps w:val="0"/>
          <w:color w:val="333333"/>
          <w:spacing w:val="0"/>
          <w:kern w:val="0"/>
          <w:sz w:val="40"/>
          <w:szCs w:val="40"/>
          <w:shd w:val="clear" w:fill="FFFFFF"/>
          <w:lang w:val="en-US" w:eastAsia="zh-CN" w:bidi="ar"/>
        </w:rPr>
        <w:t>行政执法事前公示信息清单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right="0" w:firstLine="321" w:firstLineChars="100"/>
        <w:jc w:val="left"/>
        <w:rPr>
          <w:rFonts w:hint="default" w:ascii="宋体" w:hAnsi="宋体" w:eastAsia="宋体" w:cs="宋体"/>
          <w:b/>
          <w:i w:val="0"/>
          <w:caps w:val="0"/>
          <w:color w:val="333333"/>
          <w:spacing w:val="0"/>
          <w:kern w:val="0"/>
          <w:sz w:val="32"/>
          <w:szCs w:val="32"/>
          <w:shd w:val="clear" w:fill="FFFFFF"/>
          <w:lang w:val="en-US" w:eastAsia="zh-CN" w:bidi="ar"/>
        </w:rPr>
      </w:pPr>
      <w:r>
        <w:rPr>
          <w:rFonts w:hint="eastAsia" w:ascii="宋体" w:hAnsi="宋体" w:eastAsia="宋体" w:cs="宋体"/>
          <w:b/>
          <w:i w:val="0"/>
          <w:caps w:val="0"/>
          <w:color w:val="333333"/>
          <w:spacing w:val="0"/>
          <w:kern w:val="0"/>
          <w:sz w:val="32"/>
          <w:szCs w:val="32"/>
          <w:shd w:val="clear" w:fill="FFFFFF"/>
          <w:lang w:val="en-US" w:eastAsia="zh-CN" w:bidi="ar"/>
        </w:rPr>
        <w:t>一、</w:t>
      </w:r>
      <w:r>
        <w:rPr>
          <w:rFonts w:ascii="宋体" w:hAnsi="宋体" w:eastAsia="宋体" w:cs="宋体"/>
          <w:b/>
          <w:i w:val="0"/>
          <w:caps w:val="0"/>
          <w:color w:val="333333"/>
          <w:spacing w:val="0"/>
          <w:kern w:val="0"/>
          <w:sz w:val="32"/>
          <w:szCs w:val="32"/>
          <w:shd w:val="clear" w:fill="FFFFFF"/>
          <w:lang w:val="en-US" w:eastAsia="zh-CN" w:bidi="ar"/>
        </w:rPr>
        <w:t>行政执法主体</w:t>
      </w:r>
      <w:r>
        <w:rPr>
          <w:rFonts w:hint="eastAsia" w:ascii="宋体" w:hAnsi="宋体" w:eastAsia="宋体" w:cs="宋体"/>
          <w:b/>
          <w:i w:val="0"/>
          <w:caps w:val="0"/>
          <w:color w:val="333333"/>
          <w:spacing w:val="0"/>
          <w:kern w:val="0"/>
          <w:sz w:val="32"/>
          <w:szCs w:val="32"/>
          <w:shd w:val="clear" w:fill="FFFFFF"/>
          <w:lang w:val="en-US" w:eastAsia="zh-CN" w:bidi="ar"/>
        </w:rPr>
        <w:t>（执法主体清单）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atLeast"/>
        <w:ind w:left="0" w:right="0" w:firstLine="640" w:firstLineChars="200"/>
        <w:jc w:val="both"/>
        <w:textAlignment w:val="auto"/>
        <w:rPr>
          <w:rFonts w:hint="default"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富源县应急管理局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right="0" w:firstLine="321" w:firstLineChars="100"/>
        <w:jc w:val="left"/>
        <w:rPr>
          <w:rFonts w:hint="eastAsia" w:ascii="宋体" w:hAnsi="宋体" w:eastAsia="宋体" w:cs="宋体"/>
          <w:b/>
          <w:i w:val="0"/>
          <w:caps w:val="0"/>
          <w:color w:val="333333"/>
          <w:spacing w:val="0"/>
          <w:kern w:val="0"/>
          <w:sz w:val="32"/>
          <w:szCs w:val="32"/>
          <w:shd w:val="clear" w:fill="FFFFFF"/>
          <w:lang w:val="en-US" w:eastAsia="zh-CN" w:bidi="ar"/>
        </w:rPr>
      </w:pPr>
      <w:r>
        <w:rPr>
          <w:rFonts w:ascii="宋体" w:hAnsi="宋体" w:eastAsia="宋体" w:cs="宋体"/>
          <w:b/>
          <w:i w:val="0"/>
          <w:caps w:val="0"/>
          <w:color w:val="333333"/>
          <w:spacing w:val="0"/>
          <w:kern w:val="0"/>
          <w:sz w:val="32"/>
          <w:szCs w:val="32"/>
          <w:shd w:val="clear" w:fill="FFFFFF"/>
          <w:lang w:val="en-US" w:eastAsia="zh-CN" w:bidi="ar"/>
        </w:rPr>
        <w:t>主要从事行政执法工作人员</w:t>
      </w:r>
      <w:r>
        <w:rPr>
          <w:rFonts w:hint="eastAsia" w:ascii="宋体" w:hAnsi="宋体" w:eastAsia="宋体" w:cs="宋体"/>
          <w:b/>
          <w:i w:val="0"/>
          <w:caps w:val="0"/>
          <w:color w:val="333333"/>
          <w:spacing w:val="0"/>
          <w:kern w:val="0"/>
          <w:sz w:val="32"/>
          <w:szCs w:val="32"/>
          <w:shd w:val="clear" w:fill="FFFFFF"/>
          <w:lang w:val="en-US" w:eastAsia="zh-CN" w:bidi="ar"/>
        </w:rPr>
        <w:t>信息</w:t>
      </w:r>
    </w:p>
    <w:tbl>
      <w:tblPr>
        <w:tblStyle w:val="3"/>
        <w:tblpPr w:leftFromText="180" w:rightFromText="180" w:vertAnchor="text" w:horzAnchor="page" w:tblpX="1725" w:tblpY="223"/>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140"/>
        <w:gridCol w:w="780"/>
        <w:gridCol w:w="2775"/>
        <w:gridCol w:w="144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eastAsia" w:ascii="方正小标宋_GBK" w:hAnsi="方正小标宋_GBK" w:eastAsia="方正小标宋_GBK" w:cs="方正小标宋_GBK"/>
                <w:sz w:val="28"/>
                <w:szCs w:val="28"/>
                <w:vertAlign w:val="baseline"/>
                <w:lang w:val="en-US" w:eastAsia="zh-CN"/>
              </w:rPr>
            </w:pPr>
            <w:r>
              <w:rPr>
                <w:rFonts w:hint="eastAsia" w:ascii="方正小标宋_GBK" w:hAnsi="方正小标宋_GBK" w:eastAsia="方正小标宋_GBK" w:cs="方正小标宋_GBK"/>
                <w:sz w:val="28"/>
                <w:szCs w:val="28"/>
                <w:vertAlign w:val="baseline"/>
                <w:lang w:val="en-US" w:eastAsia="zh-CN"/>
              </w:rPr>
              <w:t>序号</w:t>
            </w:r>
          </w:p>
        </w:tc>
        <w:tc>
          <w:tcPr>
            <w:tcW w:w="1140" w:type="dxa"/>
          </w:tcPr>
          <w:p>
            <w:pPr>
              <w:jc w:val="center"/>
              <w:rPr>
                <w:rFonts w:hint="eastAsia" w:ascii="方正小标宋_GBK" w:hAnsi="方正小标宋_GBK" w:eastAsia="方正小标宋_GBK" w:cs="方正小标宋_GBK"/>
                <w:sz w:val="28"/>
                <w:szCs w:val="28"/>
                <w:vertAlign w:val="baseline"/>
                <w:lang w:val="en-US" w:eastAsia="zh-CN"/>
              </w:rPr>
            </w:pPr>
            <w:r>
              <w:rPr>
                <w:rFonts w:hint="eastAsia" w:ascii="方正小标宋_GBK" w:hAnsi="方正小标宋_GBK" w:eastAsia="方正小标宋_GBK" w:cs="方正小标宋_GBK"/>
                <w:sz w:val="28"/>
                <w:szCs w:val="28"/>
                <w:vertAlign w:val="baseline"/>
                <w:lang w:val="en-US" w:eastAsia="zh-CN"/>
              </w:rPr>
              <w:t>姓名</w:t>
            </w:r>
          </w:p>
        </w:tc>
        <w:tc>
          <w:tcPr>
            <w:tcW w:w="780" w:type="dxa"/>
          </w:tcPr>
          <w:p>
            <w:pPr>
              <w:jc w:val="center"/>
              <w:rPr>
                <w:rFonts w:hint="eastAsia" w:ascii="方正小标宋_GBK" w:hAnsi="方正小标宋_GBK" w:eastAsia="方正小标宋_GBK" w:cs="方正小标宋_GBK"/>
                <w:sz w:val="28"/>
                <w:szCs w:val="28"/>
                <w:vertAlign w:val="baseline"/>
                <w:lang w:val="en-US" w:eastAsia="zh-CN"/>
              </w:rPr>
            </w:pPr>
            <w:r>
              <w:rPr>
                <w:rFonts w:hint="eastAsia" w:ascii="方正小标宋_GBK" w:hAnsi="方正小标宋_GBK" w:eastAsia="方正小标宋_GBK" w:cs="方正小标宋_GBK"/>
                <w:sz w:val="28"/>
                <w:szCs w:val="28"/>
                <w:vertAlign w:val="baseline"/>
                <w:lang w:val="en-US" w:eastAsia="zh-CN"/>
              </w:rPr>
              <w:t>性别</w:t>
            </w:r>
          </w:p>
        </w:tc>
        <w:tc>
          <w:tcPr>
            <w:tcW w:w="2775" w:type="dxa"/>
          </w:tcPr>
          <w:p>
            <w:pPr>
              <w:jc w:val="center"/>
              <w:rPr>
                <w:rFonts w:hint="eastAsia" w:ascii="方正小标宋_GBK" w:hAnsi="方正小标宋_GBK" w:eastAsia="方正小标宋_GBK" w:cs="方正小标宋_GBK"/>
                <w:sz w:val="28"/>
                <w:szCs w:val="28"/>
                <w:vertAlign w:val="baseline"/>
                <w:lang w:val="en-US" w:eastAsia="zh-CN"/>
              </w:rPr>
            </w:pPr>
            <w:r>
              <w:rPr>
                <w:rFonts w:hint="eastAsia" w:ascii="方正小标宋_GBK" w:hAnsi="方正小标宋_GBK" w:eastAsia="方正小标宋_GBK" w:cs="方正小标宋_GBK"/>
                <w:sz w:val="28"/>
                <w:szCs w:val="28"/>
                <w:vertAlign w:val="baseline"/>
                <w:lang w:val="en-US" w:eastAsia="zh-CN"/>
              </w:rPr>
              <w:t>部门（科室）</w:t>
            </w:r>
          </w:p>
        </w:tc>
        <w:tc>
          <w:tcPr>
            <w:tcW w:w="1440" w:type="dxa"/>
          </w:tcPr>
          <w:p>
            <w:pPr>
              <w:jc w:val="center"/>
              <w:rPr>
                <w:rFonts w:hint="eastAsia" w:ascii="方正小标宋_GBK" w:hAnsi="方正小标宋_GBK" w:eastAsia="方正小标宋_GBK" w:cs="方正小标宋_GBK"/>
                <w:sz w:val="28"/>
                <w:szCs w:val="28"/>
                <w:vertAlign w:val="baseline"/>
                <w:lang w:val="en-US" w:eastAsia="zh-CN"/>
              </w:rPr>
            </w:pPr>
            <w:r>
              <w:rPr>
                <w:rFonts w:hint="eastAsia" w:ascii="方正小标宋_GBK" w:hAnsi="方正小标宋_GBK" w:eastAsia="方正小标宋_GBK" w:cs="方正小标宋_GBK"/>
                <w:sz w:val="28"/>
                <w:szCs w:val="28"/>
                <w:vertAlign w:val="baseline"/>
                <w:lang w:val="en-US" w:eastAsia="zh-CN"/>
              </w:rPr>
              <w:t>职务</w:t>
            </w:r>
          </w:p>
        </w:tc>
        <w:tc>
          <w:tcPr>
            <w:tcW w:w="1695" w:type="dxa"/>
          </w:tcPr>
          <w:p>
            <w:pPr>
              <w:jc w:val="center"/>
              <w:rPr>
                <w:rFonts w:hint="eastAsia" w:ascii="方正小标宋_GBK" w:hAnsi="方正小标宋_GBK" w:eastAsia="方正小标宋_GBK" w:cs="方正小标宋_GBK"/>
                <w:sz w:val="28"/>
                <w:szCs w:val="28"/>
                <w:vertAlign w:val="baseline"/>
                <w:lang w:val="en-US" w:eastAsia="zh-CN"/>
              </w:rPr>
            </w:pPr>
            <w:r>
              <w:rPr>
                <w:rFonts w:hint="eastAsia" w:ascii="方正小标宋_GBK" w:hAnsi="方正小标宋_GBK" w:eastAsia="方正小标宋_GBK" w:cs="方正小标宋_GBK"/>
                <w:sz w:val="28"/>
                <w:szCs w:val="28"/>
                <w:vertAlign w:val="baseline"/>
                <w:lang w:val="en-US" w:eastAsia="zh-CN"/>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温新平</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局领导</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夏显昆</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局领导</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副局长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牟国辉</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局领导</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副局长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刘元林</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局领导</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安全专员</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尹学空</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应急执法监察大队</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副大队长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6</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李政</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安全生产综合协调科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7</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孙浩周</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政治部</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副主任</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余建勋</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办公室</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副主任</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温绍江</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安全生产基础科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乔春芬</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女</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行政审批科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11</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王宇</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非煤矿山科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12</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王文武</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危化品监督管理科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徐武飞</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救援管理协调科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14</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刘友瀛</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救灾物资保障科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15</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孙韶喜</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局领导</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副局长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16</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肖本国</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局领导</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副局长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17</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杨</w:t>
            </w:r>
            <w:r>
              <w:rPr>
                <w:rFonts w:hint="eastAsia"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val="en-US" w:eastAsia="zh-CN"/>
              </w:rPr>
              <w:t>兵</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政治部</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主任</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18</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孔会菊</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女</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政治部</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干部</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杨赵华</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风险减灾科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史</w:t>
            </w:r>
            <w:r>
              <w:rPr>
                <w:rFonts w:hint="eastAsia"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val="en-US" w:eastAsia="zh-CN"/>
              </w:rPr>
              <w:t>熙</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女</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安全生产综合协调科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21</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张蕊</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女</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救灾物资保障科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干部</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22</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何旺林</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救援管理协调科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23</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李伟</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应急指挥中心</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主任</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w:t>
            </w:r>
            <w:r>
              <w:rPr>
                <w:rFonts w:hint="eastAsia" w:ascii="Times New Roman" w:hAnsi="Times New Roman" w:eastAsia="方正仿宋_GBK" w:cs="Times New Roman"/>
                <w:sz w:val="28"/>
                <w:szCs w:val="28"/>
                <w:vertAlign w:val="baseline"/>
                <w:lang w:val="en-US" w:eastAsia="zh-CN"/>
              </w:rPr>
              <w:t>3</w:t>
            </w:r>
            <w:r>
              <w:rPr>
                <w:rFonts w:hint="default" w:ascii="Times New Roman" w:hAnsi="Times New Roman" w:eastAsia="方正仿宋_GBK" w:cs="Times New Roman"/>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24</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刘成龙</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非煤矿山科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干部</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25</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徐高明</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非煤矿山科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26</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李相树</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办公室</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主任</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27</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陈冬勤</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女</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政治部</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干部</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28</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施 斌</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危化品监督管理科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副科长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29</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尹克锋</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执法大队</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队长</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30</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朱永红</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危化品监督管理科</w:t>
            </w:r>
          </w:p>
        </w:tc>
        <w:tc>
          <w:tcPr>
            <w:tcW w:w="14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干部</w:t>
            </w: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31</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高小怀</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安全生产基础科</w:t>
            </w:r>
          </w:p>
        </w:tc>
        <w:tc>
          <w:tcPr>
            <w:tcW w:w="1440" w:type="dxa"/>
          </w:tcPr>
          <w:p>
            <w:pPr>
              <w:jc w:val="center"/>
              <w:rPr>
                <w:rFonts w:hint="default" w:ascii="Times New Roman" w:hAnsi="Times New Roman" w:eastAsia="方正仿宋_GBK" w:cs="Times New Roman"/>
                <w:sz w:val="28"/>
                <w:szCs w:val="28"/>
                <w:vertAlign w:val="baseline"/>
                <w:lang w:val="en-US" w:eastAsia="zh-CN"/>
              </w:rPr>
            </w:pP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32</w:t>
            </w:r>
          </w:p>
        </w:tc>
        <w:tc>
          <w:tcPr>
            <w:tcW w:w="114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田 跃</w:t>
            </w:r>
          </w:p>
        </w:tc>
        <w:tc>
          <w:tcPr>
            <w:tcW w:w="780"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男</w:t>
            </w:r>
          </w:p>
        </w:tc>
        <w:tc>
          <w:tcPr>
            <w:tcW w:w="277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工业园区管委会</w:t>
            </w:r>
          </w:p>
        </w:tc>
        <w:tc>
          <w:tcPr>
            <w:tcW w:w="1440" w:type="dxa"/>
          </w:tcPr>
          <w:p>
            <w:pPr>
              <w:jc w:val="center"/>
              <w:rPr>
                <w:rFonts w:hint="default" w:ascii="Times New Roman" w:hAnsi="Times New Roman" w:eastAsia="方正仿宋_GBK" w:cs="Times New Roman"/>
                <w:sz w:val="28"/>
                <w:szCs w:val="28"/>
                <w:vertAlign w:val="baseline"/>
                <w:lang w:val="en-US" w:eastAsia="zh-CN"/>
              </w:rPr>
            </w:pPr>
          </w:p>
        </w:tc>
        <w:tc>
          <w:tcPr>
            <w:tcW w:w="1695" w:type="dxa"/>
          </w:tcPr>
          <w:p>
            <w:pPr>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5303000345</w:t>
            </w:r>
          </w:p>
        </w:tc>
      </w:tr>
    </w:tbl>
    <w:p>
      <w:pPr>
        <w:jc w:val="center"/>
        <w:rPr>
          <w:rFonts w:hint="eastAsia" w:ascii="方正小标宋_GBK" w:hAnsi="方正小标宋_GBK" w:eastAsia="方正小标宋_GBK" w:cs="方正小标宋_GBK"/>
          <w:sz w:val="36"/>
          <w:szCs w:val="36"/>
          <w:lang w:val="en-US" w:eastAsia="zh-CN"/>
        </w:rPr>
      </w:pPr>
      <w:r>
        <w:rPr>
          <w:rFonts w:hint="eastAsia" w:ascii="宋体" w:hAnsi="宋体" w:eastAsia="宋体" w:cs="宋体"/>
          <w:b/>
          <w:i w:val="0"/>
          <w:caps w:val="0"/>
          <w:color w:val="333333"/>
          <w:spacing w:val="0"/>
          <w:kern w:val="0"/>
          <w:sz w:val="32"/>
          <w:szCs w:val="32"/>
          <w:shd w:val="clear" w:fill="FFFFFF"/>
          <w:lang w:val="en-US" w:eastAsia="zh-CN" w:bidi="ar"/>
        </w:rPr>
        <w:t xml:space="preserve"> </w:t>
      </w:r>
    </w:p>
    <w:p>
      <w:pPr>
        <w:rPr>
          <w:rFonts w:hint="eastAsia" w:ascii="方正仿宋_GBK" w:hAnsi="方正仿宋_GBK" w:eastAsia="方正仿宋_GBK" w:cs="方正仿宋_GBK"/>
          <w:sz w:val="28"/>
          <w:szCs w:val="28"/>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right="0" w:rightChars="0"/>
        <w:jc w:val="left"/>
        <w:rPr>
          <w:rFonts w:hint="default" w:ascii="宋体" w:hAnsi="宋体" w:eastAsia="宋体" w:cs="宋体"/>
          <w:b/>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right="0" w:firstLine="321" w:firstLineChars="100"/>
        <w:jc w:val="left"/>
        <w:rPr>
          <w:rFonts w:ascii="宋体" w:hAnsi="宋体" w:eastAsia="宋体" w:cs="宋体"/>
          <w:b/>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right="0" w:firstLine="321" w:firstLineChars="100"/>
        <w:jc w:val="left"/>
        <w:rPr>
          <w:rFonts w:ascii="宋体" w:hAnsi="宋体" w:eastAsia="宋体" w:cs="宋体"/>
          <w:i w:val="0"/>
          <w:caps w:val="0"/>
          <w:color w:val="333333"/>
          <w:spacing w:val="0"/>
          <w:sz w:val="27"/>
          <w:szCs w:val="27"/>
        </w:rPr>
      </w:pPr>
      <w:r>
        <w:rPr>
          <w:rFonts w:ascii="宋体" w:hAnsi="宋体" w:eastAsia="宋体" w:cs="宋体"/>
          <w:b/>
          <w:i w:val="0"/>
          <w:caps w:val="0"/>
          <w:color w:val="333333"/>
          <w:spacing w:val="0"/>
          <w:kern w:val="0"/>
          <w:sz w:val="32"/>
          <w:szCs w:val="32"/>
          <w:shd w:val="clear" w:fill="FFFFFF"/>
          <w:lang w:val="en-US" w:eastAsia="zh-CN" w:bidi="ar"/>
        </w:rPr>
        <w:t>三、行政执法职责权限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32"/>
          <w:szCs w:val="32"/>
          <w:shd w:val="clear" w:fill="FFFFFF"/>
          <w:lang w:val="en-US" w:eastAsia="zh-CN" w:bidi="ar"/>
        </w:rPr>
        <w:t>承担非煤矿山、冶金、有色、建材、机械、轻工、纺织、商贸等工矿商贸行业安全生产执法工作，依法监督检查相关行业生产经营单位贯彻落实安全生产法律法规和标准情况，负责安全生产执法综合性工作，指导执法计划编制、执法队伍建设和执法规范化建设工作。承担化工（含石油化工）、医药、危险化学品和烟花爆竹安全生产监督管理工作，按照分级、属地原则，依法监督检查相关行业生产经营单位贯彻落实安全生产法律法规和标准情况及其安全生产条件，依法查处违法行为；指导非药品类易制毒化学品经营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caps w:val="0"/>
          <w:color w:val="333333"/>
          <w:spacing w:val="0"/>
          <w:sz w:val="27"/>
          <w:szCs w:val="27"/>
        </w:rPr>
      </w:pPr>
      <w:r>
        <w:rPr>
          <w:rFonts w:ascii="宋体" w:hAnsi="宋体" w:eastAsia="宋体" w:cs="宋体"/>
          <w:b/>
          <w:i w:val="0"/>
          <w:caps w:val="0"/>
          <w:color w:val="333333"/>
          <w:spacing w:val="0"/>
          <w:kern w:val="0"/>
          <w:sz w:val="32"/>
          <w:szCs w:val="32"/>
          <w:shd w:val="clear" w:fill="FFFFFF"/>
          <w:lang w:val="en-US" w:eastAsia="zh-CN" w:bidi="ar"/>
        </w:rPr>
        <w:t>四、主要行政执法依据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1.</w:t>
      </w:r>
      <w:r>
        <w:rPr>
          <w:rFonts w:hint="eastAsia" w:ascii="宋体" w:hAnsi="宋体" w:eastAsia="宋体" w:cs="宋体"/>
          <w:i w:val="0"/>
          <w:caps w:val="0"/>
          <w:color w:val="333333"/>
          <w:spacing w:val="0"/>
          <w:kern w:val="0"/>
          <w:sz w:val="32"/>
          <w:szCs w:val="32"/>
          <w:shd w:val="clear" w:fill="FFFFFF"/>
          <w:lang w:val="en-US" w:eastAsia="zh-CN" w:bidi="ar"/>
        </w:rPr>
        <w:t>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中华人民共和国行政诉讼法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中华人民共和国行政处罚法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中华人民共和国行政复议法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中华人民共和国行政许可法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中华人民共和国行政强制法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中华人民共和国安全生产法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中华人民共和国矿山安全法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2.</w:t>
      </w:r>
      <w:r>
        <w:rPr>
          <w:rFonts w:hint="eastAsia" w:ascii="宋体" w:hAnsi="宋体" w:eastAsia="宋体" w:cs="宋体"/>
          <w:i w:val="0"/>
          <w:caps w:val="0"/>
          <w:color w:val="333333"/>
          <w:spacing w:val="0"/>
          <w:kern w:val="0"/>
          <w:sz w:val="32"/>
          <w:szCs w:val="32"/>
          <w:shd w:val="clear" w:fill="FFFFFF"/>
          <w:lang w:val="en-US" w:eastAsia="zh-CN" w:bidi="ar"/>
        </w:rPr>
        <w:t>行政法规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矿山安全法实施条例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安全生产许可证条例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易制毒化学品管理条例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烟花爆竹安全管理条例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危险化学品安全管理条例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生产安全事故应急条例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3.</w:t>
      </w:r>
      <w:r>
        <w:rPr>
          <w:rFonts w:hint="eastAsia" w:ascii="宋体" w:hAnsi="宋体" w:eastAsia="宋体" w:cs="宋体"/>
          <w:i w:val="0"/>
          <w:caps w:val="0"/>
          <w:color w:val="333333"/>
          <w:spacing w:val="0"/>
          <w:kern w:val="0"/>
          <w:sz w:val="32"/>
          <w:szCs w:val="32"/>
          <w:shd w:val="clear" w:fill="FFFFFF"/>
          <w:lang w:val="en-US" w:eastAsia="zh-CN" w:bidi="ar"/>
        </w:rPr>
        <w:t>部门规章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安全生产监督罚款管理暂行办法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非药品类易制毒化学品生产、经营许可办法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生产安全事故罚款处罚规定（试行）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安全生产违法行为行政处罚办法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安全生产事故隐患排查治理暂行规定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非煤矿矿山企业安全生产许可证实施办法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生产安全事故信息报告和处置办法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安全生产监管监察职责和行政执法责任追究的规定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冶金企业和有色金属企业安全生产规定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安全生产行政处罚自由裁量适用规则（试行）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32"/>
          <w:szCs w:val="32"/>
          <w:shd w:val="clear" w:fill="FFFFFF"/>
          <w:lang w:val="en-US" w:eastAsia="zh-CN" w:bidi="ar"/>
        </w:rPr>
        <w:t>建设项目安全设施</w:t>
      </w:r>
      <w:r>
        <w:rPr>
          <w:rFonts w:ascii="宋体" w:hAnsi="宋体" w:eastAsia="宋体" w:cs="宋体"/>
          <w:i w:val="0"/>
          <w:caps w:val="0"/>
          <w:color w:val="333333"/>
          <w:spacing w:val="0"/>
          <w:kern w:val="0"/>
          <w:sz w:val="32"/>
          <w:szCs w:val="32"/>
          <w:shd w:val="clear" w:fill="FFFFFF"/>
          <w:lang w:val="en-US" w:eastAsia="zh-CN" w:bidi="ar"/>
        </w:rPr>
        <w:t>“三同时”监督管理办法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小型露天采石场安全管理与监督检查规定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危险化学品重大危险源监督管理暂行规定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危险化学品生产企业安全生产许可证实施办法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hint="default" w:ascii="宋体" w:hAnsi="宋体" w:eastAsia="宋体" w:cs="宋体"/>
          <w:i w:val="0"/>
          <w:caps w:val="0"/>
          <w:color w:val="333333"/>
          <w:spacing w:val="0"/>
          <w:sz w:val="27"/>
          <w:szCs w:val="27"/>
          <w:lang w:val="en-US"/>
        </w:rPr>
      </w:pPr>
      <w:r>
        <w:rPr>
          <w:rFonts w:ascii="宋体" w:hAnsi="宋体" w:eastAsia="宋体" w:cs="宋体"/>
          <w:i w:val="0"/>
          <w:caps w:val="0"/>
          <w:color w:val="333333"/>
          <w:spacing w:val="0"/>
          <w:kern w:val="0"/>
          <w:sz w:val="32"/>
          <w:szCs w:val="32"/>
          <w:shd w:val="clear" w:fill="FFFFFF"/>
          <w:lang w:val="en-US" w:eastAsia="zh-CN" w:bidi="ar"/>
        </w:rPr>
        <w:t>安全生产培训管理办法</w:t>
      </w:r>
      <w:r>
        <w:rPr>
          <w:rFonts w:hint="eastAsia" w:ascii="宋体" w:hAnsi="宋体" w:eastAsia="宋体" w:cs="宋体"/>
          <w:i w:val="0"/>
          <w:caps w:val="0"/>
          <w:color w:val="333333"/>
          <w:spacing w:val="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危险化学品建设项目安全监督管理办法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危险化学品登记管理办法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烟花爆竹生产企业安全生产许可证实施办法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危险化学品经营许可证管理办法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安全生产监管监察部门信息公开办法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危险化学品安全使用许可证实施办法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工贸企业有限空间作业安全管理与监督暂行规定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化学品物理危险性鉴定与分类管理办法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非煤矿山外包工程安全管理暂行办法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烟花爆竹经营许可实施办法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食品生产企业安全生产监督管理暂行规定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生产安全事故应急预案管理办法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冶金企业和有色金属企业安全生产规定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烟花爆竹生产经营安全规定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安全评价检测检验机构管理办法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caps w:val="0"/>
          <w:color w:val="333333"/>
          <w:spacing w:val="0"/>
          <w:sz w:val="27"/>
          <w:szCs w:val="27"/>
        </w:rPr>
      </w:pPr>
      <w:r>
        <w:rPr>
          <w:rFonts w:ascii="宋体" w:hAnsi="宋体" w:eastAsia="宋体" w:cs="宋体"/>
          <w:b/>
          <w:i w:val="0"/>
          <w:caps w:val="0"/>
          <w:color w:val="333333"/>
          <w:spacing w:val="0"/>
          <w:kern w:val="0"/>
          <w:sz w:val="32"/>
          <w:szCs w:val="32"/>
          <w:shd w:val="clear" w:fill="FFFFFF"/>
          <w:lang w:val="en-US" w:eastAsia="zh-CN" w:bidi="ar"/>
        </w:rPr>
        <w:t>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1.</w:t>
      </w:r>
      <w:r>
        <w:rPr>
          <w:rFonts w:hint="eastAsia" w:ascii="宋体" w:hAnsi="宋体" w:eastAsia="宋体" w:cs="宋体"/>
          <w:i w:val="0"/>
          <w:caps w:val="0"/>
          <w:color w:val="333333"/>
          <w:spacing w:val="0"/>
          <w:kern w:val="0"/>
          <w:sz w:val="32"/>
          <w:szCs w:val="32"/>
          <w:shd w:val="clear" w:fill="FFFFFF"/>
          <w:lang w:val="en-US" w:eastAsia="zh-CN" w:bidi="ar"/>
        </w:rPr>
        <w:t>现场检查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32"/>
          <w:szCs w:val="32"/>
          <w:shd w:val="clear" w:fill="FFFFFF"/>
          <w:lang w:val="en-US" w:eastAsia="zh-CN" w:bidi="ar"/>
        </w:rPr>
        <w:t>编制现场检查方案</w:t>
      </w:r>
      <w:r>
        <w:rPr>
          <w:rFonts w:ascii="宋体" w:hAnsi="宋体" w:eastAsia="宋体" w:cs="宋体"/>
          <w:i w:val="0"/>
          <w:caps w:val="0"/>
          <w:color w:val="333333"/>
          <w:spacing w:val="0"/>
          <w:kern w:val="0"/>
          <w:sz w:val="32"/>
          <w:szCs w:val="32"/>
          <w:shd w:val="clear" w:fill="FFFFFF"/>
          <w:lang w:val="en-US" w:eastAsia="zh-CN" w:bidi="ar"/>
        </w:rPr>
        <w:t>——现场检查——制作现场检查记录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center"/>
        <w:rPr>
          <w:rFonts w:hint="eastAsia" w:ascii="宋体" w:hAnsi="宋体" w:eastAsia="宋体" w:cs="宋体"/>
          <w:i w:val="0"/>
          <w:caps w:val="0"/>
          <w:color w:val="333333"/>
          <w:spacing w:val="0"/>
          <w:sz w:val="27"/>
          <w:szCs w:val="27"/>
          <w:lang w:eastAsia="zh-CN"/>
        </w:rPr>
      </w:pPr>
      <w:r>
        <w:rPr>
          <w:rFonts w:hint="eastAsia" w:ascii="宋体" w:hAnsi="宋体" w:eastAsia="宋体" w:cs="宋体"/>
          <w:i w:val="0"/>
          <w:caps w:val="0"/>
          <w:color w:val="333333"/>
          <w:spacing w:val="0"/>
          <w:sz w:val="27"/>
          <w:szCs w:val="27"/>
          <w:lang w:eastAsia="zh-CN"/>
        </w:rPr>
        <w:drawing>
          <wp:inline distT="0" distB="0" distL="114300" distR="114300">
            <wp:extent cx="5778500" cy="6624955"/>
            <wp:effectExtent l="0" t="0" r="12700" b="444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4"/>
                    <a:stretch>
                      <a:fillRect/>
                    </a:stretch>
                  </pic:blipFill>
                  <pic:spPr>
                    <a:xfrm>
                      <a:off x="0" y="0"/>
                      <a:ext cx="5778500" cy="662495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2.</w:t>
      </w:r>
      <w:r>
        <w:rPr>
          <w:rFonts w:hint="eastAsia" w:ascii="宋体" w:hAnsi="宋体" w:eastAsia="宋体" w:cs="宋体"/>
          <w:i w:val="0"/>
          <w:caps w:val="0"/>
          <w:color w:val="333333"/>
          <w:spacing w:val="0"/>
          <w:kern w:val="0"/>
          <w:sz w:val="32"/>
          <w:szCs w:val="32"/>
          <w:shd w:val="clear" w:fill="FFFFFF"/>
          <w:lang w:val="en-US" w:eastAsia="zh-CN" w:bidi="ar"/>
        </w:rPr>
        <w:t>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32"/>
          <w:szCs w:val="32"/>
          <w:shd w:val="clear" w:fill="FFFFFF"/>
          <w:lang w:val="en-US" w:eastAsia="zh-CN" w:bidi="ar"/>
        </w:rPr>
        <w:t>立案</w:t>
      </w:r>
      <w:r>
        <w:rPr>
          <w:rFonts w:ascii="宋体" w:hAnsi="宋体" w:eastAsia="宋体" w:cs="宋体"/>
          <w:i w:val="0"/>
          <w:caps w:val="0"/>
          <w:color w:val="333333"/>
          <w:spacing w:val="0"/>
          <w:kern w:val="0"/>
          <w:sz w:val="32"/>
          <w:szCs w:val="32"/>
          <w:shd w:val="clear" w:fill="FFFFFF"/>
          <w:lang w:val="en-US" w:eastAsia="zh-CN" w:bidi="ar"/>
        </w:rPr>
        <w:t>——调查取证——必要时进行听证——作出处罚决定——执行。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center"/>
        <w:rPr>
          <w:rFonts w:hint="eastAsia" w:ascii="宋体" w:hAnsi="宋体" w:eastAsia="宋体" w:cs="宋体"/>
          <w:i w:val="0"/>
          <w:caps w:val="0"/>
          <w:color w:val="333333"/>
          <w:spacing w:val="0"/>
          <w:sz w:val="27"/>
          <w:szCs w:val="27"/>
          <w:lang w:eastAsia="zh-CN"/>
        </w:rPr>
      </w:pPr>
      <w:r>
        <w:rPr>
          <w:rFonts w:hint="eastAsia" w:ascii="宋体" w:hAnsi="宋体" w:eastAsia="宋体" w:cs="宋体"/>
          <w:i w:val="0"/>
          <w:caps w:val="0"/>
          <w:color w:val="333333"/>
          <w:spacing w:val="0"/>
          <w:sz w:val="27"/>
          <w:szCs w:val="27"/>
          <w:lang w:eastAsia="zh-CN"/>
        </w:rPr>
        <w:drawing>
          <wp:inline distT="0" distB="0" distL="114300" distR="114300">
            <wp:extent cx="5808345" cy="7686040"/>
            <wp:effectExtent l="0" t="0" r="1905" b="10160"/>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5"/>
                    <a:stretch>
                      <a:fillRect/>
                    </a:stretch>
                  </pic:blipFill>
                  <pic:spPr>
                    <a:xfrm>
                      <a:off x="0" y="0"/>
                      <a:ext cx="5808345" cy="768604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3.</w:t>
      </w:r>
      <w:r>
        <w:rPr>
          <w:rFonts w:hint="eastAsia" w:ascii="宋体" w:hAnsi="宋体" w:eastAsia="宋体" w:cs="宋体"/>
          <w:i w:val="0"/>
          <w:caps w:val="0"/>
          <w:color w:val="333333"/>
          <w:spacing w:val="0"/>
          <w:kern w:val="0"/>
          <w:sz w:val="32"/>
          <w:szCs w:val="32"/>
          <w:shd w:val="clear" w:fill="FFFFFF"/>
          <w:lang w:val="en-US" w:eastAsia="zh-CN" w:bidi="ar"/>
        </w:rPr>
        <w:t>行政强制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center"/>
        <w:rPr>
          <w:rFonts w:hint="eastAsia" w:ascii="宋体" w:hAnsi="宋体" w:eastAsia="宋体" w:cs="宋体"/>
          <w:i w:val="0"/>
          <w:caps w:val="0"/>
          <w:color w:val="333333"/>
          <w:spacing w:val="0"/>
          <w:sz w:val="27"/>
          <w:szCs w:val="27"/>
          <w:lang w:eastAsia="zh-CN"/>
        </w:rPr>
      </w:pPr>
      <w:r>
        <w:rPr>
          <w:rFonts w:hint="eastAsia" w:ascii="宋体" w:hAnsi="宋体" w:eastAsia="宋体" w:cs="宋体"/>
          <w:i w:val="0"/>
          <w:caps w:val="0"/>
          <w:color w:val="333333"/>
          <w:spacing w:val="0"/>
          <w:sz w:val="27"/>
          <w:szCs w:val="27"/>
          <w:lang w:eastAsia="zh-CN"/>
        </w:rPr>
        <w:drawing>
          <wp:inline distT="0" distB="0" distL="114300" distR="114300">
            <wp:extent cx="5801995" cy="8480425"/>
            <wp:effectExtent l="0" t="0" r="8255" b="15875"/>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6"/>
                    <a:stretch>
                      <a:fillRect/>
                    </a:stretch>
                  </pic:blipFill>
                  <pic:spPr>
                    <a:xfrm>
                      <a:off x="0" y="0"/>
                      <a:ext cx="5801995" cy="848042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caps w:val="0"/>
          <w:color w:val="333333"/>
          <w:spacing w:val="0"/>
          <w:sz w:val="27"/>
          <w:szCs w:val="27"/>
        </w:rPr>
      </w:pPr>
      <w:r>
        <w:rPr>
          <w:rFonts w:ascii="宋体" w:hAnsi="宋体" w:eastAsia="宋体" w:cs="宋体"/>
          <w:b/>
          <w:i w:val="0"/>
          <w:caps w:val="0"/>
          <w:color w:val="333333"/>
          <w:spacing w:val="0"/>
          <w:kern w:val="0"/>
          <w:sz w:val="32"/>
          <w:szCs w:val="32"/>
          <w:shd w:val="clear" w:fill="FFFFFF"/>
          <w:lang w:val="en-US" w:eastAsia="zh-CN" w:bidi="ar"/>
        </w:rPr>
        <w:t>六、救济方式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caps w:val="0"/>
          <w:color w:val="333333"/>
          <w:spacing w:val="0"/>
          <w:sz w:val="27"/>
          <w:szCs w:val="27"/>
        </w:rPr>
      </w:pPr>
      <w:r>
        <w:rPr>
          <w:rFonts w:ascii="宋体" w:hAnsi="宋体" w:eastAsia="宋体" w:cs="宋体"/>
          <w:i w:val="0"/>
          <w:caps w:val="0"/>
          <w:color w:val="333333"/>
          <w:spacing w:val="0"/>
          <w:kern w:val="0"/>
          <w:sz w:val="32"/>
          <w:szCs w:val="32"/>
          <w:shd w:val="clear" w:fill="FFFFFF"/>
          <w:lang w:val="en-US" w:eastAsia="zh-CN" w:bidi="ar"/>
        </w:rPr>
        <w:t>公民、法人或者其他组织认为具体行政行为侵犯其合法权益的，可以依照《中华人民共和国行政复议法》《中华人民共和国行政诉讼法》的规定提出行政复议申请或者提起诉讼。</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FC7E8"/>
    <w:multiLevelType w:val="singleLevel"/>
    <w:tmpl w:val="820FC7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DE199E"/>
    <w:rsid w:val="579E7811"/>
    <w:rsid w:val="5AF21195"/>
    <w:rsid w:val="6557614A"/>
    <w:rsid w:val="759F55F4"/>
    <w:rsid w:val="7A5F1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心怡//yy</cp:lastModifiedBy>
  <dcterms:modified xsi:type="dcterms:W3CDTF">2021-07-26T01:37:11Z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