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bookmarkStart w:id="0" w:name="_Toc478744137"/>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曲靖市富源县营上镇田边</w:t>
      </w:r>
      <w: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t>水库</w:t>
      </w: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饮用水</w:t>
      </w: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水源保护区划分方案</w:t>
      </w:r>
    </w:p>
    <w:p>
      <w:pPr>
        <w:pStyle w:val="55"/>
        <w:adjustRightInd w:val="0"/>
        <w:snapToGrid w:val="0"/>
        <w:spacing w:line="360" w:lineRule="auto"/>
        <w:ind w:left="357" w:firstLine="0" w:firstLineChars="0"/>
        <w:jc w:val="center"/>
        <w:rPr>
          <w:rFonts w:eastAsia="仿宋"/>
          <w:b/>
          <w:color w:val="0D0D0D" w:themeColor="text1" w:themeTint="F2"/>
          <w:sz w:val="36"/>
          <w:szCs w:val="36"/>
          <w14:textFill>
            <w14:solidFill>
              <w14:schemeClr w14:val="tx1">
                <w14:lumMod w14:val="95000"/>
                <w14:lumOff w14:val="5000"/>
              </w14:schemeClr>
            </w14:solidFill>
          </w14:textFill>
        </w:rPr>
      </w:pPr>
      <w:r>
        <w:rPr>
          <w:rFonts w:hint="eastAsia" w:eastAsia="仿宋"/>
          <w:b/>
          <w:color w:val="0D0D0D" w:themeColor="text1" w:themeTint="F2"/>
          <w:sz w:val="36"/>
          <w:szCs w:val="36"/>
          <w14:textFill>
            <w14:solidFill>
              <w14:schemeClr w14:val="tx1">
                <w14:lumMod w14:val="95000"/>
                <w14:lumOff w14:val="5000"/>
              </w14:schemeClr>
            </w14:solidFill>
          </w14:textFill>
        </w:rPr>
        <w:t>（报批稿）</w:t>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tabs>
          <w:tab w:val="left" w:pos="3185"/>
        </w:tabs>
        <w:spacing w:line="360" w:lineRule="auto"/>
        <w:ind w:left="357" w:firstLine="0" w:firstLineChars="0"/>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tab/>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富源县人民政府</w:t>
      </w: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201</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9</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年12月</w:t>
      </w: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widowControl/>
        <w:jc w:val="left"/>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br w:type="page"/>
      </w:r>
    </w:p>
    <w:p>
      <w:pPr>
        <w:tabs>
          <w:tab w:val="left" w:pos="15660"/>
        </w:tabs>
        <w:spacing w:line="700" w:lineRule="exact"/>
        <w:rPr>
          <w:rFonts w:ascii="Times New Roman" w:hAnsi="Times New Roman" w:eastAsia="仿宋_GB2312" w:cs="Times New Roman"/>
          <w:color w:val="0D0D0D" w:themeColor="text1" w:themeTint="F2"/>
          <w:spacing w:val="6"/>
          <w:w w:val="102"/>
          <w:sz w:val="36"/>
          <w:szCs w:val="30"/>
          <w14:textFill>
            <w14:solidFill>
              <w14:schemeClr w14:val="tx1">
                <w14:lumMod w14:val="95000"/>
                <w14:lumOff w14:val="5000"/>
              </w14:schemeClr>
            </w14:solidFill>
          </w14:textFill>
        </w:rPr>
      </w:pPr>
      <w:bookmarkStart w:id="1" w:name="_Hlk528187490"/>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主持</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单位：</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富源县人民政府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委托单位：营上镇人民政府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编制单位：云南新世纪环境保护科学研究院</w:t>
      </w: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tbl>
      <w:tblPr>
        <w:tblStyle w:val="45"/>
        <w:tblW w:w="7805" w:type="dxa"/>
        <w:tblInd w:w="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1"/>
        <w:gridCol w:w="4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总工程师</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李  唯（正</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高级</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审    定：</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晏 </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司（高级工程师）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审 </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核：</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董志芬</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项目</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负责人</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罗柏青（工程师、硕士）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主要编制人员：</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王春香（工程师、硕士）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魏贤亮（工程师、硕士）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董徐艳（工程师、硕士）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r>
    </w:tbl>
    <w:p>
      <w:pPr>
        <w:jc w:val="center"/>
        <w:rPr>
          <w:rFonts w:eastAsia="仿宋"/>
          <w:b/>
          <w:color w:val="0D0D0D" w:themeColor="text1" w:themeTint="F2"/>
          <w:sz w:val="32"/>
          <w:szCs w:val="24"/>
          <w14:textFill>
            <w14:solidFill>
              <w14:schemeClr w14:val="tx1">
                <w14:lumMod w14:val="95000"/>
                <w14:lumOff w14:val="5000"/>
              </w14:schemeClr>
            </w14:solidFill>
          </w14:textFill>
        </w:rPr>
      </w:pPr>
    </w:p>
    <w:bookmarkEnd w:id="1"/>
    <w:p>
      <w:pPr>
        <w:widowControl/>
        <w:snapToGrid w:val="0"/>
        <w:spacing w:line="360" w:lineRule="auto"/>
        <w:jc w:val="left"/>
        <w:outlineLvl w:val="0"/>
        <w:rPr>
          <w:rFonts w:eastAsia="仿宋"/>
          <w:b/>
          <w:color w:val="0D0D0D" w:themeColor="text1" w:themeTint="F2"/>
          <w:sz w:val="32"/>
          <w:szCs w:val="32"/>
          <w14:textFill>
            <w14:solidFill>
              <w14:schemeClr w14:val="tx1">
                <w14:lumMod w14:val="95000"/>
                <w14:lumOff w14:val="5000"/>
              </w14:schemeClr>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left"/>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4" w:type="default"/>
          <w:pgSz w:w="11906" w:h="16838"/>
          <w:pgMar w:top="1440" w:right="1800" w:bottom="1440" w:left="1800" w:header="851" w:footer="992" w:gutter="0"/>
          <w:pgNumType w:fmt="lowerRoman" w:start="1"/>
          <w:cols w:space="425" w:num="1"/>
          <w:docGrid w:type="lines" w:linePitch="312" w:charSpace="0"/>
        </w:sectPr>
      </w:pP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目 </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录</w:t>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instrText xml:space="preserve"> TOC \o "1-3" \h \z \u </w:instrTex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separate"/>
      </w:r>
      <w:r>
        <w:fldChar w:fldCharType="begin"/>
      </w:r>
      <w:r>
        <w:instrText xml:space="preserve"> HYPERLINK \l "_Toc27489861"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第一章 总则</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_Toc27489861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"_Toc27489862"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 划分目的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_Toc27489862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"_Toc27489863"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_Toc27489863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"_Toc27489864"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 相关法律法规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_Toc27489864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"_Toc27489865"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 技术标准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_Toc27489865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"_Toc27489866"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1.2.3 相关已经批准实施的规划</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_Toc27489866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"_Toc27489867"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 技术路线</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_Toc27489867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"_Toc27489868"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第二章 饮用水水源基础环境状况</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_Toc27489868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"_Toc27489869"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 饮用水水源地所在区域的自然状况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_Toc27489869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"_Toc27489870"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 地理位置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_Toc27489870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"_Toc27489871"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2.1.2 地形地貌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_Toc27489871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"_Toc27489872"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 气候特征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_Toc27489872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"_Toc27489873"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 水文水资源状况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_Toc27489873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"_Toc27489874"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 饮用水水源地所在区域的社会经济状况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_Toc27489874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"_Toc27489875"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 饮用水水源地周边城乡土地使用现状及规划情况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_Toc27489875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"_Toc27489876"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 饮用水水源地规划、水功能区划、重要生态功能区等情况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_Toc27489876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"_Toc27489877"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 饮用水水源地基本状况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_Toc27489877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"_Toc27489878"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 水库概况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_Toc27489878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"_Toc27489879"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 供水情况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_Toc27489879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"_Toc27489880"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 饮用水水源地的水质状况调查评价</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_Toc27489880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"_Toc27489881"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 评价指标、时段、监测布点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_Toc27489881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"_Toc27489882"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2.6.2 评价方法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_Toc27489882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"_Toc27489883"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 水质评价结果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_Toc27489883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"_Toc27489884"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 饮用水水源地周边及上游污染源调查</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_Toc27489884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"_Toc27489885"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2.7.1 点源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_Toc27489885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"_Toc27489886"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2.7.2 面源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_Toc27489886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"_Toc27489887"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 流动源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_Toc27489887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"_Toc27489888"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2.7.4 污染源汇总</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_Toc27489888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"_Toc27489889"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 饮用水水源地水环境风险分析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_Toc27489889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"_Toc27489890"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2.9 饮用水水源保护区规范化建设现状及存在问题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_Toc27489890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"_Toc27489891"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2.9.1 保护区规范化建设及管理现状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_Toc27489891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"_Toc27489892"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2.9.2 保护区主要环境问题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_Toc27489892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"_Toc27489893"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第三章 保护区划分与定界</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_Toc27489893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"_Toc27489894"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 划分方法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_Toc27489894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"_Toc27489895"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3.1.1 一级保护区划分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_Toc27489895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"_Toc27489896"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3.1.2 二级保护区划分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_Toc27489896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"_Toc27489897"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 初步划分结果与分析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_Toc27489897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"_Toc27489898"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3.2.1 一级保护区范围的确定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_Toc27489898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"_Toc27489899"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3.2.2 二级保护区范围的确定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_Toc27489899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"_Toc27489900"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 保护区定界的依据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_Toc27489900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"_Toc27489901"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第四章 饮用水水源保护区建设投资估算</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_Toc27489901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- 41 -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"_Toc27489902"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 保护区规范化建设项目投资估算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_Toc27489902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"_Toc27489903"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4.1.1 保护区范围划定工程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_Toc27489903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"_Toc27489904"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4.1.2 保护区整治工程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_Toc27489904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"_Toc27489905"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4.1.3 生态恢复与建设工程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_Toc27489905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"_Toc27489906"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4.1.4 管理能力建设工程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_Toc27489906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"_Toc27489907"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 规范化建设目标达标的可行性分析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_Toc27489907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"_Toc27489908"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4.2.1 项目投资及预期效果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_Toc27489908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"_Toc27489909"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4.2.2 保护区整治方案可行性</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_Toc27489909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"_Toc27489910"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4.2.3 饮用水水源地水质目标可达性分析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_Toc27489910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"_Toc27489911"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第五章饮用水水源保护区划分方案、图件及有关说明</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_Toc27489911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- 53 -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"_Toc27489912"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5.1 饮用水水源保护区划分方案</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_Toc27489912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"_Toc27489913"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5.2 饮用水水源保护区划分图件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_Toc27489913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"_Toc27489914"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附表1 富源县（2018年）基础信息调查表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_Toc27489914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"_Toc27489915"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附表2 富源县田边水库饮用水水源地基础信息表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_Toc27489915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"_Toc27489916"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附表3 富源县田边水库集中式饮用水水源保护区划分结果表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_Toc27489916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color w:val="0D0D0D" w:themeColor="text1" w:themeTint="F2"/>
          <w:kern w:val="2"/>
          <w:sz w:val="21"/>
          <w14:textFill>
            <w14:solidFill>
              <w14:schemeClr w14:val="tx1">
                <w14:lumMod w14:val="95000"/>
                <w14:lumOff w14:val="5000"/>
              </w14:schemeClr>
            </w14:solidFill>
          </w14:textFill>
        </w:rPr>
      </w:pPr>
      <w:r>
        <w:fldChar w:fldCharType="begin"/>
      </w:r>
      <w:r>
        <w:instrText xml:space="preserve"> HYPERLINK \l "_Toc27489917"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附表4 富源县田边水库饮用水水源地保护区污染源调查表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_Toc27489917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sectPr>
          <w:footerReference r:id="rId5" w:type="default"/>
          <w:pgSz w:w="11906" w:h="16838"/>
          <w:pgMar w:top="1440" w:right="1800" w:bottom="1440" w:left="1800" w:header="851" w:footer="992" w:gutter="0"/>
          <w:pgNumType w:fmt="lowerRoman" w:start="1"/>
          <w:cols w:space="425" w:num="1"/>
          <w:docGrid w:type="lines" w:linePitch="312" w:charSpace="0"/>
        </w:sect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2" w:name="_Hlk528187524"/>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附图1  田边水库饮用水源地区位图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附图2  田边水库饮用水源地水系图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附图3  田边水库饮用水源地保护区区划图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附图4  田边水库饮用水源地保护区划污染源分布图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附图5  田边水库饮用水源地保护区划拐点图</w:t>
      </w:r>
    </w:p>
    <w:p>
      <w:pPr>
        <w:snapToGrid w:val="0"/>
        <w:spacing w:line="360" w:lineRule="auto"/>
        <w:ind w:left="1120" w:hanging="1120" w:hangingChars="400"/>
        <w:rPr>
          <w:rFonts w:ascii="Times New Roman" w:hAnsi="Times New Roman" w:eastAsia="仿宋" w:cs="Times New Roman"/>
          <w:color w:val="0D0D0D" w:themeColor="text1" w:themeTint="F2"/>
          <w:sz w:val="28"/>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附件：</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富源县千吨万人饮用水水源地水质检测（蓝硕检字〔201</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811</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号）</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bookmarkEnd w:id="2"/>
    <w:p>
      <w:pPr>
        <w:rPr>
          <w:rFonts w:cs="Times New Roman"/>
          <w:color w:val="0D0D0D" w:themeColor="text1" w:themeTint="F2"/>
          <w:sz w:val="36"/>
          <w:szCs w:val="36"/>
          <w14:textFill>
            <w14:solidFill>
              <w14:schemeClr w14:val="tx1">
                <w14:lumMod w14:val="95000"/>
                <w14:lumOff w14:val="5000"/>
              </w14:schemeClr>
            </w14:solidFill>
          </w14:textFill>
        </w:rPr>
      </w:pPr>
    </w:p>
    <w:p>
      <w:pPr>
        <w:rPr>
          <w:rFonts w:cs="Times New Roman"/>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lowerRoman"/>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6" w:type="default"/>
          <w:pgSz w:w="11906" w:h="16838"/>
          <w:pgMar w:top="1440" w:right="1800" w:bottom="1440" w:left="1800" w:header="851" w:footer="992" w:gutter="0"/>
          <w:pgNumType w:fmt="numberInDash" w:start="1"/>
          <w:cols w:space="425" w:num="1"/>
          <w:docGrid w:type="lines" w:linePitch="312" w:charSpace="0"/>
        </w:sectPr>
      </w:pPr>
      <w:bookmarkStart w:id="3" w:name="_Toc27489861"/>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第一章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bookmarkEnd w:id="0"/>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总则</w:t>
      </w:r>
      <w:bookmarkEnd w:id="3"/>
    </w:p>
    <w:p>
      <w:pPr>
        <w:pStyle w:val="3"/>
        <w:rPr>
          <w:color w:val="0D0D0D" w:themeColor="text1" w:themeTint="F2"/>
          <w14:textFill>
            <w14:solidFill>
              <w14:schemeClr w14:val="tx1">
                <w14:lumMod w14:val="95000"/>
                <w14:lumOff w14:val="5000"/>
              </w14:schemeClr>
            </w14:solidFill>
          </w14:textFill>
        </w:rPr>
      </w:pPr>
      <w:bookmarkStart w:id="4" w:name="_Toc478744138"/>
      <w:bookmarkStart w:id="5" w:name="_Toc27489862"/>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t xml:space="preserve"> </w:t>
      </w:r>
      <w:bookmarkEnd w:id="4"/>
      <w:r>
        <w:rPr>
          <w:rFonts w:hint="eastAsia"/>
          <w:color w:val="0D0D0D" w:themeColor="text1" w:themeTint="F2"/>
          <w14:textFill>
            <w14:solidFill>
              <w14:schemeClr w14:val="tx1">
                <w14:lumMod w14:val="95000"/>
                <w14:lumOff w14:val="5000"/>
              </w14:schemeClr>
            </w14:solidFill>
          </w14:textFill>
        </w:rPr>
        <w:t>划分目的</w:t>
      </w:r>
      <w:bookmarkEnd w:id="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为贯彻落实《生态环境部 水利部关于进一步开展饮用水水源地保护工作的通知》（环执法〔</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云南省水利厅关于印发云南省水源地环境保护攻坚战实施方案的通知》（云环发〔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云南省水利厅关于转发&lt;关于进一步开展饮用水水源地保护工作的通知&gt;的函》（云环函〔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）、《云南省水源地保护攻坚战专项小组办公室关于印发云南省集中式饮用水水源地保护工作方案的通知》（云污防水源〔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精神，全面开展供水人口在10000人或日供水在1000吨以上（“千吨万人”）及以上集中式饮用水水源地保护区划定工作，推进饮用水水源地规范化建设，强化饮用水水源地环境管理，依法开展饮用水水源保护区划定工作，对未划定或划定不符合法律法规要求的参照《饮用水水源保护区划分技术规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按法定程序予以划定或调整。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要求，确保富源县饮用水安全，富源县将对辖区内各乡镇在用“千吨万人”水源地保护区范围根据最新技术规范进行划分，进一步掌握饮用水水源地环境状况，加强饮用水水源地污染防治和管理能力建设，建立完善水源地保护相关技术方法、管理办法，解决目前危害饮用水安全的重大问题，切实推动饮用水水源地环境保护专项整治工作的全面开展，为后续“千吨万人”饮用水水源地保护的各项工作奠定基础。</w:t>
      </w:r>
    </w:p>
    <w:p>
      <w:pPr>
        <w:pStyle w:val="3"/>
        <w:rPr>
          <w:color w:val="0D0D0D" w:themeColor="text1" w:themeTint="F2"/>
          <w14:textFill>
            <w14:solidFill>
              <w14:schemeClr w14:val="tx1">
                <w14:lumMod w14:val="95000"/>
                <w14:lumOff w14:val="5000"/>
              </w14:schemeClr>
            </w14:solidFill>
          </w14:textFill>
        </w:rPr>
      </w:pPr>
      <w:bookmarkStart w:id="6" w:name="_Toc478744139"/>
      <w:bookmarkStart w:id="7" w:name="_Toc27489863"/>
      <w:r>
        <w:rPr>
          <w:color w:val="0D0D0D" w:themeColor="text1" w:themeTint="F2"/>
          <w14:textFill>
            <w14:solidFill>
              <w14:schemeClr w14:val="tx1">
                <w14:lumMod w14:val="95000"/>
                <w14:lumOff w14:val="5000"/>
              </w14:schemeClr>
            </w14:solidFill>
          </w14:textFill>
        </w:rPr>
        <w:t>1.2</w:t>
      </w:r>
      <w:r>
        <w:rPr>
          <w:rFonts w:hint="eastAsia"/>
          <w:color w:val="0D0D0D" w:themeColor="text1" w:themeTint="F2"/>
          <w14:textFill>
            <w14:solidFill>
              <w14:schemeClr w14:val="tx1">
                <w14:lumMod w14:val="95000"/>
                <w14:lumOff w14:val="5000"/>
              </w14:schemeClr>
            </w14:solidFill>
          </w14:textFill>
        </w:rPr>
        <w:t xml:space="preserve"> 划分</w:t>
      </w:r>
      <w:r>
        <w:rPr>
          <w:color w:val="0D0D0D" w:themeColor="text1" w:themeTint="F2"/>
          <w14:textFill>
            <w14:solidFill>
              <w14:schemeClr w14:val="tx1">
                <w14:lumMod w14:val="95000"/>
                <w14:lumOff w14:val="5000"/>
              </w14:schemeClr>
            </w14:solidFill>
          </w14:textFill>
        </w:rPr>
        <w:t>依据</w:t>
      </w:r>
      <w:bookmarkEnd w:id="6"/>
      <w:bookmarkEnd w:id="7"/>
    </w:p>
    <w:p>
      <w:pPr>
        <w:pStyle w:val="4"/>
        <w:rPr>
          <w:color w:val="0D0D0D" w:themeColor="text1" w:themeTint="F2"/>
          <w14:textFill>
            <w14:solidFill>
              <w14:schemeClr w14:val="tx1">
                <w14:lumMod w14:val="95000"/>
                <w14:lumOff w14:val="5000"/>
              </w14:schemeClr>
            </w14:solidFill>
          </w14:textFill>
        </w:rPr>
      </w:pPr>
      <w:bookmarkStart w:id="8" w:name="_Toc478744140"/>
      <w:bookmarkStart w:id="9" w:name="_Toc27489864"/>
      <w:bookmarkStart w:id="10" w:name="_Toc272332582"/>
      <w:bookmarkStart w:id="11" w:name="_Toc200905490"/>
      <w:r>
        <w:rPr>
          <w:color w:val="0D0D0D" w:themeColor="text1" w:themeTint="F2"/>
          <w14:textFill>
            <w14:solidFill>
              <w14:schemeClr w14:val="tx1">
                <w14:lumMod w14:val="95000"/>
                <w14:lumOff w14:val="5000"/>
              </w14:schemeClr>
            </w14:solidFill>
          </w14:textFill>
        </w:rPr>
        <w:t>1.2.1</w:t>
      </w:r>
      <w:r>
        <w:rPr>
          <w:rFonts w:hint="eastAsia"/>
          <w:color w:val="0D0D0D" w:themeColor="text1" w:themeTint="F2"/>
          <w14:textFill>
            <w14:solidFill>
              <w14:schemeClr w14:val="tx1">
                <w14:lumMod w14:val="95000"/>
                <w14:lumOff w14:val="5000"/>
              </w14:schemeClr>
            </w14:solidFill>
          </w14:textFill>
        </w:rPr>
        <w:t xml:space="preserve"> 相关</w:t>
      </w:r>
      <w:r>
        <w:rPr>
          <w:color w:val="0D0D0D" w:themeColor="text1" w:themeTint="F2"/>
          <w14:textFill>
            <w14:solidFill>
              <w14:schemeClr w14:val="tx1">
                <w14:lumMod w14:val="95000"/>
                <w14:lumOff w14:val="5000"/>
              </w14:schemeClr>
            </w14:solidFill>
          </w14:textFill>
        </w:rPr>
        <w:t>法律法规</w:t>
      </w:r>
      <w:bookmarkEnd w:id="8"/>
      <w:bookmarkEnd w:id="9"/>
      <w:bookmarkEnd w:id="10"/>
      <w:bookmarkEnd w:id="1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《中华人民共和国环境保护法》（2014年4月修订）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《中华人民共和国水法》（2016年7月修订）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bookmarkStart w:id="12" w:name="_Hlk524551544"/>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《中华人民共和国水污染防治法》</w:t>
      </w:r>
      <w:bookmarkEnd w:id="12"/>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（2017年6月修订）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《中华人民共和国固体废物污染环境防治法》（2016年11月修改）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《中华人民共和国水土保持法》（2010年12月修订）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《中华人民共和国水土保持法实施条例》（国务院令第120号，2011年1月修订）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2009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《中华人民共和国森林法实施条例》（国务院令第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bookmarkStart w:id="13" w:name="_Hlk524551559"/>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《饮用水水源保护区污染防治管理规定》</w:t>
      </w:r>
      <w:bookmarkEnd w:id="13"/>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2010年12月修正</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《突发环境事件应急管理办法》（环保部令第34号）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《畜禽规模养殖污染防治条例》（2014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《云南省环境保护条例》（2004年6月修改）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《云南省森林条例》（2002年11月发布）</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《云南省水土保持条例》（2014年7月）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14" w:name="_Toc478744141"/>
      <w:bookmarkStart w:id="15" w:name="_Toc272332583"/>
      <w:bookmarkStart w:id="16" w:name="_Toc200905491"/>
      <w:bookmarkStart w:id="17" w:name="_Toc27489865"/>
      <w:r>
        <w:rPr>
          <w:color w:val="0D0D0D" w:themeColor="text1" w:themeTint="F2"/>
          <w14:textFill>
            <w14:solidFill>
              <w14:schemeClr w14:val="tx1">
                <w14:lumMod w14:val="95000"/>
                <w14:lumOff w14:val="5000"/>
              </w14:schemeClr>
            </w14:solidFill>
          </w14:textFill>
        </w:rPr>
        <w:t>1.2.2</w:t>
      </w:r>
      <w:r>
        <w:rPr>
          <w:rFonts w:hint="eastAsia"/>
          <w:color w:val="0D0D0D" w:themeColor="text1" w:themeTint="F2"/>
          <w14:textFill>
            <w14:solidFill>
              <w14:schemeClr w14:val="tx1">
                <w14:lumMod w14:val="95000"/>
                <w14:lumOff w14:val="5000"/>
              </w14:schemeClr>
            </w14:solidFill>
          </w14:textFill>
        </w:rPr>
        <w:t xml:space="preserve"> </w:t>
      </w:r>
      <w:bookmarkEnd w:id="14"/>
      <w:bookmarkEnd w:id="15"/>
      <w:bookmarkEnd w:id="16"/>
      <w:r>
        <w:rPr>
          <w:rFonts w:hint="eastAsia"/>
          <w:color w:val="0D0D0D" w:themeColor="text1" w:themeTint="F2"/>
          <w14:textFill>
            <w14:solidFill>
              <w14:schemeClr w14:val="tx1">
                <w14:lumMod w14:val="95000"/>
                <w14:lumOff w14:val="5000"/>
              </w14:schemeClr>
            </w14:solidFill>
          </w14:textFill>
        </w:rPr>
        <w:t>技术标准</w:t>
      </w:r>
      <w:bookmarkEnd w:id="1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18" w:name="_Toc272332584"/>
      <w:bookmarkStart w:id="19" w:name="_Toc200905492"/>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bookmarkStart w:id="20" w:name="_Hlk530390607"/>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《地表水质量标准》（GB3838-20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《生活饮用水水源水质标准》（CJ3020-93）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bookmarkEnd w:id="20"/>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《生活饮用水卫生标准》（GB5749-2006）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1" w:name="_Hlk52168178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bookmarkEnd w:id="21"/>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《集中式饮用水水源地规范化建设环境保护技术要求》（HJ773-2015）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《集中式饮用水水源环境保护指南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（试行）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环办〔2012〕50号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（7）《集中式饮用水水源地环境保护状况评估技术规范》（HJ774-2015）；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）《集中式饮用水水源编码规范》（HJ747-2015）；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《畜禽养殖禁养区划定技术指南》（环办水体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99号）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《农村生活污染控制技术规范》（HJ574-2010）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22" w:name="_Toc27489866"/>
      <w:r>
        <w:rPr>
          <w:color w:val="0D0D0D" w:themeColor="text1" w:themeTint="F2"/>
          <w14:textFill>
            <w14:solidFill>
              <w14:schemeClr w14:val="tx1">
                <w14:lumMod w14:val="95000"/>
                <w14:lumOff w14:val="5000"/>
              </w14:schemeClr>
            </w14:solidFill>
          </w14:textFill>
        </w:rPr>
        <w:t>1.2.3</w:t>
      </w:r>
      <w:r>
        <w:rPr>
          <w:rFonts w:hint="eastAsia"/>
          <w:color w:val="0D0D0D" w:themeColor="text1" w:themeTint="F2"/>
          <w14:textFill>
            <w14:solidFill>
              <w14:schemeClr w14:val="tx1">
                <w14:lumMod w14:val="95000"/>
                <w14:lumOff w14:val="5000"/>
              </w14:schemeClr>
            </w14:solidFill>
          </w14:textFill>
        </w:rPr>
        <w:t xml:space="preserve"> </w:t>
      </w:r>
      <w:bookmarkEnd w:id="18"/>
      <w:bookmarkEnd w:id="19"/>
      <w:r>
        <w:rPr>
          <w:rFonts w:hint="eastAsia"/>
          <w:color w:val="0D0D0D" w:themeColor="text1" w:themeTint="F2"/>
          <w14:textFill>
            <w14:solidFill>
              <w14:schemeClr w14:val="tx1">
                <w14:lumMod w14:val="95000"/>
                <w14:lumOff w14:val="5000"/>
              </w14:schemeClr>
            </w14:solidFill>
          </w14:textFill>
        </w:rPr>
        <w:t>相关已经批准实施的规划</w:t>
      </w:r>
      <w:bookmarkEnd w:id="2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《水污染防治行动计划》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国发〔2015〕17号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3" w:name="_Hlk52317038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全国集中式饮用水水源地环境保护专项行动方案》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环环监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〔2018〕25号）</w:t>
      </w:r>
      <w:bookmarkEnd w:id="23"/>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住房城乡建设部 中央农办 环境保护部 农业部关于落实《国务院办公厅关于改善农村人居环境的指导意见》有关工作的通知（建村〔2014〕102号）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《重点流域水污染防治规划（2011-2015年）》；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《云南省地表水水环境功能区划（2010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2020年）》（云南省环境保护厅，云环发〔2014〕34号）；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（6）《云南省主体功能区规划》（2014年1月）；</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《云南省生态功能区划》；</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《云南省人民政府办公厅关于加强城镇集中式饮用水源保护工作的通知》（云政办发〔2007〕106号）；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《云南省水污染防治工作方案》（云政发〔2016〕3号）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（10）《云南省水源地环境保护攻坚战实施方案》（云环发〔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（11）《云南省集中式饮用水水源地保护工作方案》（云污防水源〔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4" w:name="_Toc478744142"/>
      <w:bookmarkStart w:id="25" w:name="_Toc27489867"/>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 xml:space="preserve"> </w:t>
      </w:r>
      <w:bookmarkEnd w:id="24"/>
      <w:r>
        <w:rPr>
          <w:rFonts w:hint="eastAsia"/>
          <w:color w:val="0D0D0D" w:themeColor="text1" w:themeTint="F2"/>
          <w14:textFill>
            <w14:solidFill>
              <w14:schemeClr w14:val="tx1">
                <w14:lumMod w14:val="95000"/>
                <w14:lumOff w14:val="5000"/>
              </w14:schemeClr>
            </w14:solidFill>
          </w14:textFill>
        </w:rPr>
        <w:t>技术路线</w:t>
      </w:r>
      <w:bookmarkEnd w:id="2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结合环境基础情况调查、土地利用现状，依据《饮用水水源保护区划分技术规范》（HJ</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富源县营上镇田边</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保护区进行划分。</w:t>
      </w:r>
    </w:p>
    <w:p>
      <w:pPr>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733675" cy="5514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33675" cy="5514975"/>
                    </a:xfrm>
                    <a:prstGeom prst="rect">
                      <a:avLst/>
                    </a:prstGeom>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富源县饮用水水源地保护区划分技术路线</w:t>
      </w:r>
    </w:p>
    <w:p>
      <w:pPr>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widowControl/>
        <w:jc w:val="left"/>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26" w:name="_Toc27489868"/>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第二章 </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水源基础环境状况</w:t>
      </w:r>
      <w:bookmarkEnd w:id="26"/>
    </w:p>
    <w:p>
      <w:pPr>
        <w:pStyle w:val="3"/>
        <w:rPr>
          <w:color w:val="0D0D0D" w:themeColor="text1" w:themeTint="F2"/>
          <w14:textFill>
            <w14:solidFill>
              <w14:schemeClr w14:val="tx1">
                <w14:lumMod w14:val="95000"/>
                <w14:lumOff w14:val="5000"/>
              </w14:schemeClr>
            </w14:solidFill>
          </w14:textFill>
        </w:rPr>
      </w:pPr>
      <w:bookmarkStart w:id="27" w:name="_Toc10729966"/>
      <w:bookmarkStart w:id="28" w:name="_Toc27489869"/>
      <w:bookmarkStart w:id="29" w:name="_Toc12456051"/>
      <w:r>
        <w:rPr>
          <w:color w:val="0D0D0D" w:themeColor="text1" w:themeTint="F2"/>
          <w14:textFill>
            <w14:solidFill>
              <w14:schemeClr w14:val="tx1">
                <w14:lumMod w14:val="95000"/>
                <w14:lumOff w14:val="5000"/>
              </w14:schemeClr>
            </w14:solidFill>
          </w14:textFill>
        </w:rPr>
        <w:t xml:space="preserve">2.1 </w:t>
      </w:r>
      <w:r>
        <w:rPr>
          <w:rFonts w:hint="eastAsia"/>
          <w:color w:val="0D0D0D" w:themeColor="text1" w:themeTint="F2"/>
          <w14:textFill>
            <w14:solidFill>
              <w14:schemeClr w14:val="tx1">
                <w14:lumMod w14:val="95000"/>
                <w14:lumOff w14:val="5000"/>
              </w14:schemeClr>
            </w14:solidFill>
          </w14:textFill>
        </w:rPr>
        <w:t>饮用水水源地所在区域的自然状况</w:t>
      </w:r>
      <w:bookmarkEnd w:id="27"/>
      <w:bookmarkEnd w:id="28"/>
      <w:bookmarkEnd w:id="29"/>
    </w:p>
    <w:p>
      <w:pPr>
        <w:pStyle w:val="4"/>
        <w:rPr>
          <w:color w:val="0D0D0D" w:themeColor="text1" w:themeTint="F2"/>
          <w14:textFill>
            <w14:solidFill>
              <w14:schemeClr w14:val="tx1">
                <w14:lumMod w14:val="95000"/>
                <w14:lumOff w14:val="5000"/>
              </w14:schemeClr>
            </w14:solidFill>
          </w14:textFill>
        </w:rPr>
      </w:pPr>
      <w:bookmarkStart w:id="30" w:name="_Toc12456052"/>
      <w:bookmarkStart w:id="31" w:name="_Toc27489870"/>
      <w:bookmarkStart w:id="32" w:name="_Toc10729967"/>
      <w:r>
        <w:rPr>
          <w:rFonts w:hint="eastAsia"/>
          <w:color w:val="0D0D0D" w:themeColor="text1" w:themeTint="F2"/>
          <w14:textFill>
            <w14:solidFill>
              <w14:schemeClr w14:val="tx1">
                <w14:lumMod w14:val="95000"/>
                <w14:lumOff w14:val="5000"/>
              </w14:schemeClr>
            </w14:solidFill>
          </w14:textFill>
        </w:rPr>
        <w:t>2.1.1 地理位置</w:t>
      </w:r>
      <w:bookmarkEnd w:id="30"/>
      <w:bookmarkEnd w:id="31"/>
      <w:bookmarkEnd w:id="3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富源县位于云南省东部，地处东经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103°58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104°49'，北纬25°</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25°58'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之间，东接贵州省盘县、兴义，西连沾益县和麒麟区，南抵罗平县，北依宣威市。县城距曲靖市政府驻地麒麟城63km，距省政府驻地昆明198km。</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田边水库位于富源县营上镇境内，地理位置为东经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104°15'10"，北纬25°27'11"。</w:t>
      </w:r>
    </w:p>
    <w:p>
      <w:pPr>
        <w:pStyle w:val="4"/>
        <w:rPr>
          <w:color w:val="0D0D0D" w:themeColor="text1" w:themeTint="F2"/>
          <w14:textFill>
            <w14:solidFill>
              <w14:schemeClr w14:val="tx1">
                <w14:lumMod w14:val="95000"/>
                <w14:lumOff w14:val="5000"/>
              </w14:schemeClr>
            </w14:solidFill>
          </w14:textFill>
        </w:rPr>
      </w:pPr>
      <w:bookmarkStart w:id="33" w:name="_Toc12456053"/>
      <w:bookmarkStart w:id="34" w:name="_Toc10729968"/>
      <w:bookmarkStart w:id="35" w:name="_Toc27489871"/>
      <w:r>
        <w:rPr>
          <w:rFonts w:hint="eastAsia"/>
          <w:color w:val="0D0D0D" w:themeColor="text1" w:themeTint="F2"/>
          <w14:textFill>
            <w14:solidFill>
              <w14:schemeClr w14:val="tx1">
                <w14:lumMod w14:val="95000"/>
                <w14:lumOff w14:val="5000"/>
              </w14:schemeClr>
            </w14:solidFill>
          </w14:textFill>
        </w:rPr>
        <w:t>2.1.2 地形地貌</w:t>
      </w:r>
      <w:bookmarkEnd w:id="33"/>
      <w:bookmarkEnd w:id="34"/>
      <w:bookmarkEnd w:id="3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地势由西北向东南略倾斜，乌蒙山支脉自北向南纵贯全境。东北部的老黑山（主峰2737m）由北向南展布；西部的东山（主峰营盘山海拔2749.9m），由北向东展布；南部的十八连山（主峰海拔2410m），东北走向。县城坐落</w:t>
      </w:r>
      <w:bookmarkStart w:id="250" w:name="_GoBack"/>
      <w:bookmarkEnd w:id="250"/>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峦岗、白马、定南山之间的鸣凤山上，北高南低成缓坡形。东门河、西门河由北向南，汇入城南小黄河（块择河上游）。县境内海拔最高点在墨红镇的营盘山，为2748.9m，海拔最低点在古敢水族乡的特土峡谷，为1100m。乌蒙山支脉从北向南纵贯全境。</w:t>
      </w:r>
    </w:p>
    <w:p>
      <w:pPr>
        <w:pStyle w:val="4"/>
        <w:rPr>
          <w:color w:val="0D0D0D" w:themeColor="text1" w:themeTint="F2"/>
          <w14:textFill>
            <w14:solidFill>
              <w14:schemeClr w14:val="tx1">
                <w14:lumMod w14:val="95000"/>
                <w14:lumOff w14:val="5000"/>
              </w14:schemeClr>
            </w14:solidFill>
          </w14:textFill>
        </w:rPr>
      </w:pPr>
      <w:bookmarkStart w:id="36" w:name="_Toc12456054"/>
      <w:bookmarkStart w:id="37" w:name="_Toc27489872"/>
      <w:bookmarkStart w:id="38" w:name="_Toc10729969"/>
      <w:r>
        <w:rPr>
          <w:rFonts w:hint="eastAsia"/>
          <w:color w:val="0D0D0D" w:themeColor="text1" w:themeTint="F2"/>
          <w14:textFill>
            <w14:solidFill>
              <w14:schemeClr w14:val="tx1">
                <w14:lumMod w14:val="95000"/>
                <w14:lumOff w14:val="5000"/>
              </w14:schemeClr>
            </w14:solidFill>
          </w14:textFill>
        </w:rPr>
        <w:t>2.1.3 气候特征</w:t>
      </w:r>
      <w:bookmarkEnd w:id="36"/>
      <w:bookmarkEnd w:id="37"/>
      <w:bookmarkEnd w:id="38"/>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属南温带山地季风型半湿润气候。由于地处低纬高原，山高谷深，坡陡流急，地形地貌复杂，形成南部热、中部暖、北部凉的区域气候；又在垂直差异上形成槽坝热、半山暖、山区凉、高山寒的立体气候。年平均气温 13.8℃，最高月均气温19.8℃，最低月均气温5.7℃。年平均降雨量1093.7mm，其中5~10月为雨季，占降雨量的87.1%，11月至次年4月为少雨干季，雨量占12.9%。年均相对湿度为75%。全年无霜期180~260天。年均日照时数1819.8小时。</w:t>
      </w:r>
    </w:p>
    <w:p>
      <w:pPr>
        <w:pStyle w:val="4"/>
        <w:rPr>
          <w:color w:val="0D0D0D" w:themeColor="text1" w:themeTint="F2"/>
          <w14:textFill>
            <w14:solidFill>
              <w14:schemeClr w14:val="tx1">
                <w14:lumMod w14:val="95000"/>
                <w14:lumOff w14:val="5000"/>
              </w14:schemeClr>
            </w14:solidFill>
          </w14:textFill>
        </w:rPr>
      </w:pPr>
      <w:bookmarkStart w:id="39" w:name="_Toc27489873"/>
      <w:bookmarkStart w:id="40" w:name="_Toc10729970"/>
      <w:bookmarkStart w:id="41" w:name="_Toc12456055"/>
      <w:r>
        <w:rPr>
          <w:rFonts w:hint="eastAsia"/>
          <w:color w:val="0D0D0D" w:themeColor="text1" w:themeTint="F2"/>
          <w14:textFill>
            <w14:solidFill>
              <w14:schemeClr w14:val="tx1">
                <w14:lumMod w14:val="95000"/>
                <w14:lumOff w14:val="5000"/>
              </w14:schemeClr>
            </w14:solidFill>
          </w14:textFill>
        </w:rPr>
        <w:t>2.1.4 水文水资源状况</w:t>
      </w:r>
      <w:bookmarkEnd w:id="39"/>
      <w:bookmarkEnd w:id="40"/>
      <w:bookmarkEnd w:id="4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河流属于珠江流域的西江水系，多呈纵向分布，主要河流有块泽河、黄泥河、嘉河、丕德河等。其中块泽河是县境内的第一大河，黄泥河为县境内的第二大河。在河流的支系归属上，除嘉河属北盘江外，其余均属南盘江支流。富源县境内不仅河网密布，而且水库众多，据统计，富源县境内共有中型水库2座（石坝水库、响水河水库），小型水库51座，县境内地下水露头（泉）较多，而且冷水泉、温水泉、热水泉类型齐全。</w:t>
      </w:r>
    </w:p>
    <w:p>
      <w:pPr>
        <w:pStyle w:val="3"/>
        <w:rPr>
          <w:color w:val="0D0D0D" w:themeColor="text1" w:themeTint="F2"/>
          <w14:textFill>
            <w14:solidFill>
              <w14:schemeClr w14:val="tx1">
                <w14:lumMod w14:val="95000"/>
                <w14:lumOff w14:val="5000"/>
              </w14:schemeClr>
            </w14:solidFill>
          </w14:textFill>
        </w:rPr>
      </w:pPr>
      <w:bookmarkStart w:id="42" w:name="_Toc27489874"/>
      <w:bookmarkStart w:id="43" w:name="_Toc10729972"/>
      <w:bookmarkStart w:id="44" w:name="_Toc12456056"/>
      <w:r>
        <w:rPr>
          <w:color w:val="0D0D0D" w:themeColor="text1" w:themeTint="F2"/>
          <w14:textFill>
            <w14:solidFill>
              <w14:schemeClr w14:val="tx1">
                <w14:lumMod w14:val="95000"/>
                <w14:lumOff w14:val="5000"/>
              </w14:schemeClr>
            </w14:solidFill>
          </w14:textFill>
        </w:rPr>
        <w:t>2.2</w:t>
      </w:r>
      <w:r>
        <w:rPr>
          <w:rFonts w:hint="eastAsia"/>
          <w:color w:val="0D0D0D" w:themeColor="text1" w:themeTint="F2"/>
          <w14:textFill>
            <w14:solidFill>
              <w14:schemeClr w14:val="tx1">
                <w14:lumMod w14:val="95000"/>
                <w14:lumOff w14:val="5000"/>
              </w14:schemeClr>
            </w14:solidFill>
          </w14:textFill>
        </w:rPr>
        <w:t xml:space="preserve"> 饮用水水源地所在区域的</w:t>
      </w:r>
      <w:r>
        <w:rPr>
          <w:color w:val="0D0D0D" w:themeColor="text1" w:themeTint="F2"/>
          <w14:textFill>
            <w14:solidFill>
              <w14:schemeClr w14:val="tx1">
                <w14:lumMod w14:val="95000"/>
                <w14:lumOff w14:val="5000"/>
              </w14:schemeClr>
            </w14:solidFill>
          </w14:textFill>
        </w:rPr>
        <w:t>社会经济状况</w:t>
      </w:r>
      <w:bookmarkEnd w:id="42"/>
      <w:bookmarkEnd w:id="43"/>
      <w:bookmarkEnd w:id="4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富源县辖9镇1乡2街道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。即：</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安街道、胜境街道、后所镇、墨红镇、大河镇、营上镇、竹园镇、富村镇、十八连山镇、老厂镇、黄泥河镇和古敢水族乡。2018年末全县户籍总人口为834404人，其中：城镇人口216480人，乡村人口617924人，少数民族人口84565人。2018年全县实现生产总值1553458万元，按照可比价计算比上年增长9.5%。其中：第一产业实现增加值373832万元，同比增长6.3%；第二产业实现增加值502285万元，同比增长12.9%；第三产业实现增加值677341万元，同比增长8.5%；全县三次产业结构比例为24.1：32.3：43.6。全年城镇居民人均可支配收入达34725元，农村居民人均可支配收入12473元。</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田边水库位于富源县营上镇都格村委会，涉及乡镇及村委会社会经济概况统计如下。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（1）营上镇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营上镇位于富源县东南部，距县城32km，北邻大河镇、南抵竹园镇、西接墨红镇、东与贵州盘县金竹坪接壤。国土面积152.3km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有耕地总面积3.44万亩，其中：水田5370亩，旱地2.91万亩。全镇16个行政村144个村民小组7663人。2018年实现农村经济总收入19.85亿元、增长5%，种植粮食0.61万亩、产量0.25万吨；发展25个养殖小区，出栏肉猪22.74万头、肉牛1.319万头、肉羊2.504万只、家禽36万羽，农林牧渔业总产值5.225亿元。</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（2）田边水库保护区范围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田边水库保护区内主要居民点涉及营上镇都格村委会的田边村、雅宗村、费格村3个自然村。保护区内居住人口267户1098人，涉及耕地面积190.48hm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，其中旱地122.86hm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、水田67.63hm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；年内出栏肉猪2333头，肉牛85头，肉羊266头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各自然村社会经济概况如下：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1）田边村（营上镇都格村委会）</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田边村，属于山区，国土面积5.29km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1897.00m，年平均气温15.00℃，适宜种植玉米、水稻、烟叶等农作物。有耕地215.00亩，其中人均耕地0.71亩；有林地7000.00亩。全村辖1个村民小组，有农户94户，有乡村人口304人，其中农业人口304人，劳动力182人，其中从事第一产业人数120人。该村2015年农村经济总收入213.20万元，其中：种植业收入43.00万元，畜牧业收入75.00万元（其中，年内出栏肉猪680头，肉牛26头，肉羊125头）；林业收入5.00万元，第二、三产业收入78.00万元，工资性收入7.20万元。农民人均纯收入4052.00元，农民收入以二、三产业等为主。全村通自来水。</w:t>
      </w:r>
    </w:p>
    <w:p>
      <w:pPr>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2）雅宗村（营上镇都格村委会）</w:t>
      </w:r>
    </w:p>
    <w:p>
      <w:pPr>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雅宗村，属于山区，国土面积0.96 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2043.00m，年平均气温15.00℃，年降水量1300.00mm，适宜种植玉米、烤烟、小麦、蚕豆等农作物。有耕地246.00亩，其中人均耕地0.66亩；有林地862.00亩，其中经济林果地320.00亩，人均经济林果地0.85亩，主要种植核桃等经济林果。全村辖1个村民小组，有农户74户，有乡村人口379人，其中农业人口377人，劳动力217人，其中从事第一产业人数110人。该村2015年农村经济总收入530.00万元，其中：种植业收入149.00万元，畜牧业收入117.00万元（其中，年内出栏肉猪785头，肉牛24头，肉羊59头）；林业收入12.00万元，第二、三产业收入93.00万元，工资性收入26.00万元。农民人均纯收入4432.00元，农民收入以种植业、养殖业、劳务产业等为主。该村全部使用自来水。</w:t>
      </w:r>
    </w:p>
    <w:p>
      <w:pPr>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3）费格村（营上镇都格村委会）</w:t>
      </w:r>
    </w:p>
    <w:p>
      <w:pPr>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费格村，属于山区，国土面积1.29 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1860.00m，年平均气温14.00℃，年降水量1300.00mm，适宜种植玉米、烤烟、小麦等农作物。有耕地312.00亩，其中人均耕地0.80亩；有林地2740.00亩，主要种植梨、核桃等经济林果。全村辖1个村民小组，有农户99户，有乡村人口415人，其中农业人口412人，劳动力237人，其中从事第一产业人数122人。该村2015年农村经济总收入701.00万元，其中：种植业收入194.00万元，畜牧业收入153.00万元（其中，年内出栏肉猪868头，肉牛35头，肉羊82头）；林业收入16.00万元，第二、三产业收入170.00万元，工资性收入36.00万元。农民人均纯收入5590.00元，农民收入以种植业、养殖业等为主。该村全部使用自来水。</w:t>
      </w:r>
    </w:p>
    <w:p>
      <w:pPr>
        <w:pStyle w:val="3"/>
        <w:rPr>
          <w:color w:val="0D0D0D" w:themeColor="text1" w:themeTint="F2"/>
          <w14:textFill>
            <w14:solidFill>
              <w14:schemeClr w14:val="tx1">
                <w14:lumMod w14:val="95000"/>
                <w14:lumOff w14:val="5000"/>
              </w14:schemeClr>
            </w14:solidFill>
          </w14:textFill>
        </w:rPr>
      </w:pPr>
      <w:bookmarkStart w:id="45" w:name="_Toc27489875"/>
      <w:bookmarkStart w:id="46" w:name="_Toc12456057"/>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3 饮用水水源地周边城乡土地使用现状及规划情况</w:t>
      </w:r>
      <w:bookmarkEnd w:id="45"/>
      <w:bookmarkEnd w:id="46"/>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根据现场踏勘，结合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富源县自然资源局提供数据和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卫星影像图，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对田边水库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内土地利用现状进行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统计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保护区内土地利用方式主要为耕地，占保护区面积的51.72%；其次是有林地，占保护区面积的40.53%；居民建设用地占保护区面积的4.46%；其他土地利用类型面积均较小。田边水库保护区土地利用现状见表2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3-1、图2.3-1。</w:t>
      </w:r>
    </w:p>
    <w:p>
      <w:pPr>
        <w:adjustRightInd w:val="0"/>
        <w:snapToGrid w:val="0"/>
        <w:spacing w:line="40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田边水库保护区土地利用现状</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136"/>
        <w:gridCol w:w="1112"/>
        <w:gridCol w:w="938"/>
        <w:gridCol w:w="1112"/>
        <w:gridCol w:w="939"/>
        <w:gridCol w:w="1112"/>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371" w:type="dxa"/>
            <w:gridSpan w:val="2"/>
            <w:vMerge w:val="restart"/>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土地利用类型</w:t>
            </w:r>
          </w:p>
        </w:tc>
        <w:tc>
          <w:tcPr>
            <w:tcW w:w="6151" w:type="dxa"/>
            <w:gridSpan w:val="6"/>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田边水库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371" w:type="dxa"/>
            <w:gridSpan w:val="2"/>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2050"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一级保护区</w:t>
            </w:r>
          </w:p>
        </w:tc>
        <w:tc>
          <w:tcPr>
            <w:tcW w:w="2051"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二级保护区</w:t>
            </w:r>
          </w:p>
        </w:tc>
        <w:tc>
          <w:tcPr>
            <w:tcW w:w="2050" w:type="dxa"/>
            <w:gridSpan w:val="2"/>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371" w:type="dxa"/>
            <w:gridSpan w:val="2"/>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1112"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938"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112"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939"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112"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938"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71" w:type="dxa"/>
            <w:gridSpan w:val="2"/>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有林地</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3.48</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8.29</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145.80</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44.68</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149.28</w:t>
            </w:r>
          </w:p>
        </w:tc>
        <w:tc>
          <w:tcPr>
            <w:tcW w:w="938"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35" w:type="dxa"/>
            <w:vMerge w:val="restart"/>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耕地</w:t>
            </w:r>
          </w:p>
        </w:tc>
        <w:tc>
          <w:tcPr>
            <w:tcW w:w="1136"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26.63</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63.39</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163.86</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50.22</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190.48</w:t>
            </w:r>
          </w:p>
        </w:tc>
        <w:tc>
          <w:tcPr>
            <w:tcW w:w="938"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51.72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35" w:type="dxa"/>
            <w:vMerge w:val="continue"/>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p>
        </w:tc>
        <w:tc>
          <w:tcPr>
            <w:tcW w:w="1136"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26.63</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63.39</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96.23</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29.49</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122.86</w:t>
            </w:r>
          </w:p>
        </w:tc>
        <w:tc>
          <w:tcPr>
            <w:tcW w:w="938"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35" w:type="dxa"/>
            <w:vMerge w:val="continue"/>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p>
        </w:tc>
        <w:tc>
          <w:tcPr>
            <w:tcW w:w="1136"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水田</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67.63</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20.73</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67.63</w:t>
            </w:r>
          </w:p>
        </w:tc>
        <w:tc>
          <w:tcPr>
            <w:tcW w:w="938"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71" w:type="dxa"/>
            <w:gridSpan w:val="2"/>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草地</w:t>
            </w:r>
          </w:p>
        </w:tc>
        <w:tc>
          <w:tcPr>
            <w:tcW w:w="1112"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0.77</w:t>
            </w:r>
          </w:p>
        </w:tc>
        <w:tc>
          <w:tcPr>
            <w:tcW w:w="938"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1.83</w:t>
            </w:r>
          </w:p>
        </w:tc>
        <w:tc>
          <w:tcPr>
            <w:tcW w:w="1112"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3.89</w:t>
            </w:r>
          </w:p>
        </w:tc>
        <w:tc>
          <w:tcPr>
            <w:tcW w:w="939"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1.19</w:t>
            </w:r>
          </w:p>
        </w:tc>
        <w:tc>
          <w:tcPr>
            <w:tcW w:w="1112"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4.66</w:t>
            </w:r>
          </w:p>
        </w:tc>
        <w:tc>
          <w:tcPr>
            <w:tcW w:w="938"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71" w:type="dxa"/>
            <w:gridSpan w:val="2"/>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水域</w:t>
            </w:r>
          </w:p>
        </w:tc>
        <w:tc>
          <w:tcPr>
            <w:tcW w:w="1112"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7.08</w:t>
            </w:r>
          </w:p>
        </w:tc>
        <w:tc>
          <w:tcPr>
            <w:tcW w:w="938"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16.86</w:t>
            </w:r>
          </w:p>
        </w:tc>
        <w:tc>
          <w:tcPr>
            <w:tcW w:w="1112"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939"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112"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7.08</w:t>
            </w:r>
          </w:p>
        </w:tc>
        <w:tc>
          <w:tcPr>
            <w:tcW w:w="938"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71" w:type="dxa"/>
            <w:gridSpan w:val="2"/>
            <w:shd w:val="clear" w:color="auto" w:fill="auto"/>
            <w:vAlign w:val="center"/>
          </w:tcPr>
          <w:p>
            <w:pPr>
              <w:widowControl/>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水工建筑用地</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0.38</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0.90</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0.38</w:t>
            </w:r>
          </w:p>
        </w:tc>
        <w:tc>
          <w:tcPr>
            <w:tcW w:w="938"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71" w:type="dxa"/>
            <w:gridSpan w:val="2"/>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居民建设用地</w:t>
            </w:r>
          </w:p>
        </w:tc>
        <w:tc>
          <w:tcPr>
            <w:tcW w:w="1112"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3.67</w:t>
            </w:r>
          </w:p>
        </w:tc>
        <w:tc>
          <w:tcPr>
            <w:tcW w:w="93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8.74</w:t>
            </w:r>
          </w:p>
        </w:tc>
        <w:tc>
          <w:tcPr>
            <w:tcW w:w="1112"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12.74</w:t>
            </w:r>
          </w:p>
        </w:tc>
        <w:tc>
          <w:tcPr>
            <w:tcW w:w="93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3.91</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16.41</w:t>
            </w:r>
          </w:p>
        </w:tc>
        <w:tc>
          <w:tcPr>
            <w:tcW w:w="938"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71" w:type="dxa"/>
            <w:gridSpan w:val="2"/>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42.01</w:t>
            </w:r>
          </w:p>
        </w:tc>
        <w:tc>
          <w:tcPr>
            <w:tcW w:w="93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100.00</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326.29</w:t>
            </w:r>
          </w:p>
        </w:tc>
        <w:tc>
          <w:tcPr>
            <w:tcW w:w="93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100.00</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368.29</w:t>
            </w:r>
          </w:p>
        </w:tc>
        <w:tc>
          <w:tcPr>
            <w:tcW w:w="938"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100.00</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18660" cy="30302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18660" cy="3030220"/>
                    </a:xfrm>
                    <a:prstGeom prst="rect">
                      <a:avLst/>
                    </a:prstGeom>
                    <a:noFill/>
                    <a:ln>
                      <a:noFill/>
                    </a:ln>
                  </pic:spPr>
                </pic:pic>
              </a:graphicData>
            </a:graphic>
          </wp:inline>
        </w:drawing>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  田边水库保护区内土地利用状况</w:t>
      </w:r>
    </w:p>
    <w:p>
      <w:pPr>
        <w:pStyle w:val="3"/>
        <w:rPr>
          <w:color w:val="0D0D0D" w:themeColor="text1" w:themeTint="F2"/>
          <w14:textFill>
            <w14:solidFill>
              <w14:schemeClr w14:val="tx1">
                <w14:lumMod w14:val="95000"/>
                <w14:lumOff w14:val="5000"/>
              </w14:schemeClr>
            </w14:solidFill>
          </w14:textFill>
        </w:rPr>
      </w:pPr>
      <w:bookmarkStart w:id="47" w:name="_Toc12456059"/>
      <w:bookmarkStart w:id="48" w:name="_Toc27489876"/>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规划、水功能区划、重要生态功能区等情况</w:t>
      </w:r>
      <w:bookmarkEnd w:id="47"/>
      <w:bookmarkEnd w:id="48"/>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（1）水源地规划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田边水库作为在用的“千吨万人”水源地，本次区划按新划区划开展相关工作。</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（2）水功能区划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属于珠江流域南盘江水系，根据《云南省地表水环境功能区划（2010-2020年）》，田边水库所在水环境功能区划为：黄泥河富源境内段，为工业用水、农业用水、饮用二级，水质类别为III类。田边水库属于地表水水，现状功能为饮用水，水质功能类别为III类。</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（3）重要生态功能区</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田边水库饮用水水源地位于曲靖市富源县营上镇，根据《云南省主体功能区规划》，富源县属于省级重点开发区域。</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根据《云南省生态功能区划》，田边水库水源地位于富源县营上镇，所在生态功能分区为：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高原亚热带北部常绿阔叶林生态区—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滇中高原谷盆半湿润常绿阔叶林、暖性针叶林生态亚区—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富源、罗平岩溶中山水源涵养生态功能区。该区以岩溶中山地貌为主。大部分地区年降雨量1500-2000 毫米，主要植被类型是云南松林，土壤以黄壤和黄棕壤为主。区内森林数量少、质量低，矿业开发带来的污染，区内石漠化中度敏感。区内需严格执行封山育林、人工造林和退耕还林；做好煤矿开采的生态恢复，提高区域的水源涵养效益。</w:t>
      </w:r>
    </w:p>
    <w:p>
      <w:pPr>
        <w:pStyle w:val="3"/>
        <w:rPr>
          <w:color w:val="0D0D0D" w:themeColor="text1" w:themeTint="F2"/>
          <w14:textFill>
            <w14:solidFill>
              <w14:schemeClr w14:val="tx1">
                <w14:lumMod w14:val="95000"/>
                <w14:lumOff w14:val="5000"/>
              </w14:schemeClr>
            </w14:solidFill>
          </w14:textFill>
        </w:rPr>
      </w:pPr>
      <w:bookmarkStart w:id="49" w:name="_Toc10729973"/>
      <w:bookmarkStart w:id="50" w:name="_Toc27489877"/>
      <w:bookmarkStart w:id="51" w:name="_Toc1245606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基本</w:t>
      </w:r>
      <w:bookmarkEnd w:id="49"/>
      <w:r>
        <w:rPr>
          <w:rFonts w:hint="eastAsia"/>
          <w:color w:val="0D0D0D" w:themeColor="text1" w:themeTint="F2"/>
          <w14:textFill>
            <w14:solidFill>
              <w14:schemeClr w14:val="tx1">
                <w14:lumMod w14:val="95000"/>
                <w14:lumOff w14:val="5000"/>
              </w14:schemeClr>
            </w14:solidFill>
          </w14:textFill>
        </w:rPr>
        <w:t>状况</w:t>
      </w:r>
      <w:bookmarkEnd w:id="50"/>
      <w:bookmarkEnd w:id="5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营上镇田边水库为地表水型饮用水源地，为在用水源地。</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5-1  营上镇田边</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水源地基本信息表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502"/>
        <w:gridCol w:w="2052"/>
        <w:gridCol w:w="2054"/>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29"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1502"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水源地类型</w:t>
            </w:r>
          </w:p>
        </w:tc>
        <w:tc>
          <w:tcPr>
            <w:tcW w:w="4106" w:type="dxa"/>
            <w:gridSpan w:val="2"/>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取水口地理坐标</w:t>
            </w:r>
          </w:p>
        </w:tc>
        <w:tc>
          <w:tcPr>
            <w:tcW w:w="1285" w:type="dxa"/>
            <w:vMerge w:val="restart"/>
            <w:shd w:val="clear" w:color="auto" w:fill="D8D8D8" w:themeFill="background1" w:themeFillShade="D9"/>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29"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02"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052"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东经</w:t>
            </w:r>
          </w:p>
        </w:tc>
        <w:tc>
          <w:tcPr>
            <w:tcW w:w="205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北纬</w:t>
            </w:r>
          </w:p>
        </w:tc>
        <w:tc>
          <w:tcPr>
            <w:tcW w:w="1285" w:type="dxa"/>
            <w:vMerge w:val="continue"/>
            <w:shd w:val="clear" w:color="auto" w:fill="D8D8D8" w:themeFill="background1" w:themeFillShade="D9"/>
            <w:vAlign w:val="center"/>
          </w:tcPr>
          <w:p>
            <w:pPr>
              <w:spacing w:line="300" w:lineRule="exact"/>
              <w:jc w:val="center"/>
              <w:rPr>
                <w:rFonts w:ascii="宋体" w:hAnsi="宋体" w:eastAsia="宋体" w:cs="宋体"/>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29"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田边水库</w:t>
            </w:r>
          </w:p>
        </w:tc>
        <w:tc>
          <w:tcPr>
            <w:tcW w:w="1502"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2052" w:type="dxa"/>
            <w:shd w:val="clear" w:color="auto" w:fill="auto"/>
            <w:vAlign w:val="center"/>
          </w:tcPr>
          <w:p>
            <w:pPr>
              <w:spacing w:line="300" w:lineRule="exact"/>
              <w:jc w:val="center"/>
              <w:rPr>
                <w:rFonts w:ascii="Times New Roman" w:hAnsi="Times New Roman" w:eastAsia="方正小标宋简体"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方正小标宋简体" w:cs="Times New Roman"/>
                <w:color w:val="0D0D0D" w:themeColor="text1" w:themeTint="F2"/>
                <w:sz w:val="24"/>
                <w:szCs w:val="24"/>
                <w14:textFill>
                  <w14:solidFill>
                    <w14:schemeClr w14:val="tx1">
                      <w14:lumMod w14:val="95000"/>
                      <w14:lumOff w14:val="5000"/>
                    </w14:schemeClr>
                  </w14:solidFill>
                </w14:textFill>
              </w:rPr>
              <w:t>104°15'11"</w:t>
            </w:r>
          </w:p>
        </w:tc>
        <w:tc>
          <w:tcPr>
            <w:tcW w:w="2054" w:type="dxa"/>
            <w:shd w:val="clear" w:color="auto" w:fill="auto"/>
            <w:vAlign w:val="center"/>
          </w:tcPr>
          <w:p>
            <w:pPr>
              <w:spacing w:line="300" w:lineRule="exact"/>
              <w:jc w:val="center"/>
              <w:rPr>
                <w:rFonts w:ascii="Times New Roman" w:hAnsi="Times New Roman" w:eastAsia="方正小标宋简体"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方正小标宋简体" w:cs="Times New Roman"/>
                <w:color w:val="0D0D0D" w:themeColor="text1" w:themeTint="F2"/>
                <w:sz w:val="24"/>
                <w:szCs w:val="24"/>
                <w14:textFill>
                  <w14:solidFill>
                    <w14:schemeClr w14:val="tx1">
                      <w14:lumMod w14:val="95000"/>
                      <w14:lumOff w14:val="5000"/>
                    </w14:schemeClr>
                  </w14:solidFill>
                </w14:textFill>
              </w:rPr>
              <w:t>25°27'9"</w:t>
            </w:r>
          </w:p>
        </w:tc>
        <w:tc>
          <w:tcPr>
            <w:tcW w:w="128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在用</w:t>
            </w:r>
          </w:p>
        </w:tc>
      </w:tr>
    </w:tbl>
    <w:p>
      <w:pPr>
        <w:jc w:val="center"/>
        <w:rPr>
          <w:color w:val="0D0D0D" w:themeColor="text1" w:themeTint="F2"/>
          <w14:textFill>
            <w14:solidFill>
              <w14:schemeClr w14:val="tx1">
                <w14:lumMod w14:val="95000"/>
                <w14:lumOff w14:val="5000"/>
              </w14:schemeClr>
            </w14:solidFill>
          </w14:textFill>
        </w:rPr>
      </w:pPr>
      <w:bookmarkStart w:id="52" w:name="_Toc12456061"/>
      <w:bookmarkStart w:id="53" w:name="_Toc10729974"/>
      <w:r>
        <w:rPr>
          <w:color w:val="0D0D0D" w:themeColor="text1" w:themeTint="F2"/>
          <w14:textFill>
            <w14:solidFill>
              <w14:schemeClr w14:val="tx1">
                <w14:lumMod w14:val="95000"/>
                <w14:lumOff w14:val="5000"/>
              </w14:schemeClr>
            </w14:solidFill>
          </w14:textFill>
        </w:rPr>
        <w:drawing>
          <wp:inline distT="0" distB="0" distL="0" distR="0">
            <wp:extent cx="4447540" cy="3305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t="29967" b="14424"/>
                    <a:stretch>
                      <a:fillRect/>
                    </a:stretch>
                  </pic:blipFill>
                  <pic:spPr>
                    <a:xfrm>
                      <a:off x="0" y="0"/>
                      <a:ext cx="4447540" cy="3304822"/>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2.5</w:t>
      </w:r>
      <w:r>
        <w:rPr>
          <w:rFonts w:hint="eastAsia"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-1  田边水库</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4" w:name="_Toc27489878"/>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.1</w:t>
      </w:r>
      <w:r>
        <w:rPr>
          <w:rFonts w:hint="eastAsia"/>
          <w:color w:val="0D0D0D" w:themeColor="text1" w:themeTint="F2"/>
          <w:sz w:val="28"/>
          <w:szCs w:val="28"/>
          <w14:textFill>
            <w14:solidFill>
              <w14:schemeClr w14:val="tx1">
                <w14:lumMod w14:val="95000"/>
                <w14:lumOff w14:val="5000"/>
              </w14:schemeClr>
            </w14:solidFill>
          </w14:textFill>
        </w:rPr>
        <w:t xml:space="preserve"> </w:t>
      </w:r>
      <w:bookmarkEnd w:id="52"/>
      <w:bookmarkEnd w:id="53"/>
      <w:r>
        <w:rPr>
          <w:rFonts w:hint="eastAsia"/>
          <w:color w:val="0D0D0D" w:themeColor="text1" w:themeTint="F2"/>
          <w:sz w:val="28"/>
          <w:szCs w:val="28"/>
          <w14:textFill>
            <w14:solidFill>
              <w14:schemeClr w14:val="tx1">
                <w14:lumMod w14:val="95000"/>
                <w14:lumOff w14:val="5000"/>
              </w14:schemeClr>
            </w14:solidFill>
          </w14:textFill>
        </w:rPr>
        <w:t>水库概况</w:t>
      </w:r>
      <w:bookmarkEnd w:id="5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田边水库坝址距县城40km，距营上集镇10km，距富源至黄泥河的205线公路10km。上游有青松、上吉克两座小（二）型水库，吉克、迤黑2座小（一）型水库，田边水库径流面积11.96km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，集水面积为7.10km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。多年平均来水量483万m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，按75%的保证率计年来水量362万m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水利部颁发的《水利水电工程等级划分及洪水标准》（SL252-2000）规定，该工程属小（一）型工程，工程等级为四等，其中大坝、溢洪道、输水隧洞为4级建筑物，次要建筑物为5级建筑物。设计洪水标准按30年一遇计算，校核洪水标准按300年一遇。大坝坝型为均质土坝，现状最大坝高26.5m，坝长97.0m，宽5.7m，坝顶高程1970.8m，坝轴河底高程1944.00m。1961.25m以下为棱体排水，棱体内坡为1:1.732，外坡为1:1.732；输水隧洞位于大坝右坝肩、全长154.0m。进口底板高程为1953.0m，出口高程1950.2m，洞宽1.5m，洞高1.8m，其方位N9°E，与轴线交角66°。溢洪道位于大坝右岸，全长117.23m，进口高程1967.5m，进口段方位N35°E，与坝轴线交角88.6°，溢洪道基础及右边墙大部置于T1yn1-3灰岩岩体内，溢洪道轴线走向与岩层走向夹角约60°，灰岩岩质较硬，不存在压缩变形问题，岩层间无不稳定结构组合，基础稳定性较好。</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总库容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244.61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调节库容163.45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死库容19.35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1967.50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m，死水位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1955.00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，设计洪水位为1969.74m，校核洪水位为1970.54m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2.5-2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设计基本参数</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2553"/>
        <w:gridCol w:w="1842"/>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383"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序号</w:t>
            </w:r>
          </w:p>
        </w:tc>
        <w:tc>
          <w:tcPr>
            <w:tcW w:w="2553"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参数</w:t>
            </w:r>
          </w:p>
        </w:tc>
        <w:tc>
          <w:tcPr>
            <w:tcW w:w="1842"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单位</w:t>
            </w:r>
          </w:p>
        </w:tc>
        <w:tc>
          <w:tcPr>
            <w:tcW w:w="2744"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田边水库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正常蓄水位</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1967.50</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死水位</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设计洪水位</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1969.74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校核洪水位</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1970.54</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调节库容</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总库容</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83"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2553"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死库容</w:t>
            </w:r>
          </w:p>
        </w:tc>
        <w:tc>
          <w:tcPr>
            <w:tcW w:w="184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27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19.35</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5" w:name="_Toc478742807"/>
      <w:bookmarkStart w:id="56" w:name="_Toc12456062"/>
      <w:bookmarkStart w:id="57" w:name="_Toc10729975"/>
      <w:bookmarkStart w:id="58" w:name="_Toc27489879"/>
      <w:bookmarkStart w:id="59" w:name="_Toc524596427"/>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 xml:space="preserve"> </w:t>
      </w:r>
      <w:r>
        <w:rPr>
          <w:color w:val="0D0D0D" w:themeColor="text1" w:themeTint="F2"/>
          <w:sz w:val="28"/>
          <w:szCs w:val="28"/>
          <w14:textFill>
            <w14:solidFill>
              <w14:schemeClr w14:val="tx1">
                <w14:lumMod w14:val="95000"/>
                <w14:lumOff w14:val="5000"/>
              </w14:schemeClr>
            </w14:solidFill>
          </w14:textFill>
        </w:rPr>
        <w:t>供水情况</w:t>
      </w:r>
      <w:bookmarkEnd w:id="55"/>
      <w:bookmarkEnd w:id="56"/>
      <w:bookmarkEnd w:id="57"/>
      <w:bookmarkEnd w:id="58"/>
      <w:bookmarkEnd w:id="59"/>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田边水库为富源县营上镇自来水厂水源点，年供水量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43.8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年，供水人口约</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0.8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万人。</w:t>
      </w:r>
    </w:p>
    <w:p>
      <w:pPr>
        <w:spacing w:line="480" w:lineRule="exact"/>
        <w:jc w:val="center"/>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田边水库供水情况统计表</w:t>
      </w:r>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3315"/>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231"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3315"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供水量（万</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w:t>
            </w:r>
          </w:p>
        </w:tc>
        <w:tc>
          <w:tcPr>
            <w:tcW w:w="297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trPr>
        <w:tc>
          <w:tcPr>
            <w:tcW w:w="223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田边水库</w:t>
            </w:r>
          </w:p>
        </w:tc>
        <w:tc>
          <w:tcPr>
            <w:tcW w:w="331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43.8</w:t>
            </w:r>
          </w:p>
        </w:tc>
        <w:tc>
          <w:tcPr>
            <w:tcW w:w="2976"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w:t>
            </w:r>
          </w:p>
        </w:tc>
      </w:tr>
    </w:tbl>
    <w:p>
      <w:pPr>
        <w:pStyle w:val="3"/>
        <w:rPr>
          <w:color w:val="0D0D0D" w:themeColor="text1" w:themeTint="F2"/>
          <w14:textFill>
            <w14:solidFill>
              <w14:schemeClr w14:val="tx1">
                <w14:lumMod w14:val="95000"/>
                <w14:lumOff w14:val="5000"/>
              </w14:schemeClr>
            </w14:solidFill>
          </w14:textFill>
        </w:rPr>
      </w:pPr>
      <w:bookmarkStart w:id="60" w:name="_Toc10729976"/>
      <w:bookmarkStart w:id="61" w:name="_Toc12456063"/>
      <w:bookmarkStart w:id="62" w:name="_Toc2748988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6 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的</w:t>
      </w:r>
      <w:r>
        <w:rPr>
          <w:color w:val="0D0D0D" w:themeColor="text1" w:themeTint="F2"/>
          <w14:textFill>
            <w14:solidFill>
              <w14:schemeClr w14:val="tx1">
                <w14:lumMod w14:val="95000"/>
                <w14:lumOff w14:val="5000"/>
              </w14:schemeClr>
            </w14:solidFill>
          </w14:textFill>
        </w:rPr>
        <w:t>水质状况</w:t>
      </w:r>
      <w:bookmarkEnd w:id="60"/>
      <w:r>
        <w:rPr>
          <w:rFonts w:hint="eastAsia"/>
          <w:color w:val="0D0D0D" w:themeColor="text1" w:themeTint="F2"/>
          <w14:textFill>
            <w14:solidFill>
              <w14:schemeClr w14:val="tx1">
                <w14:lumMod w14:val="95000"/>
                <w14:lumOff w14:val="5000"/>
              </w14:schemeClr>
            </w14:solidFill>
          </w14:textFill>
        </w:rPr>
        <w:t>调查评价</w:t>
      </w:r>
      <w:bookmarkEnd w:id="61"/>
      <w:bookmarkEnd w:id="62"/>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营上镇田边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2019年11月由曲靖市生态环境局</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富源分局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委托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蓝</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信息咨询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有限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公司</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对其水质开展1次监测，本区划引用</w:t>
      </w:r>
      <w:bookmarkStart w:id="63" w:name="_Hlk523239403"/>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w:t>
      </w:r>
      <w:bookmarkEnd w:id="63"/>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监测数据对田边水库水环境质量进行评估。</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4" w:name="_Toc200905517"/>
      <w:bookmarkStart w:id="65" w:name="_Toc10729977"/>
      <w:bookmarkStart w:id="66" w:name="_Toc524596429"/>
      <w:bookmarkStart w:id="67" w:name="_Toc272332639"/>
      <w:bookmarkStart w:id="68" w:name="_Toc478742814"/>
      <w:bookmarkStart w:id="69" w:name="_Toc27489881"/>
      <w:bookmarkStart w:id="70" w:name="_Toc27063914"/>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.1 评价</w:t>
      </w:r>
      <w:bookmarkEnd w:id="64"/>
      <w:r>
        <w:rPr>
          <w:color w:val="0D0D0D" w:themeColor="text1" w:themeTint="F2"/>
          <w:sz w:val="28"/>
          <w:szCs w:val="28"/>
          <w14:textFill>
            <w14:solidFill>
              <w14:schemeClr w14:val="tx1">
                <w14:lumMod w14:val="95000"/>
                <w14:lumOff w14:val="5000"/>
              </w14:schemeClr>
            </w14:solidFill>
          </w14:textFill>
        </w:rPr>
        <w:t>指标、时段、监测布点</w:t>
      </w:r>
      <w:bookmarkEnd w:id="65"/>
      <w:bookmarkEnd w:id="66"/>
      <w:bookmarkEnd w:id="67"/>
      <w:bookmarkEnd w:id="68"/>
      <w:bookmarkEnd w:id="69"/>
      <w:bookmarkEnd w:id="70"/>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.1.1 </w:t>
      </w:r>
      <w:r>
        <w:rPr>
          <w:rFonts w:hint="eastAsia"/>
          <w:color w:val="0D0D0D" w:themeColor="text1" w:themeTint="F2"/>
          <w:sz w:val="28"/>
          <w14:textFill>
            <w14:solidFill>
              <w14:schemeClr w14:val="tx1">
                <w14:lumMod w14:val="95000"/>
                <w14:lumOff w14:val="5000"/>
              </w14:schemeClr>
            </w14:solidFill>
          </w14:textFill>
        </w:rPr>
        <w:t>评价指标</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曲靖市生态环境局富源分局委托云南蓝硕环境信息咨询有限公司对其水质开展1次监测，主要对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）表1的24项指标包括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水温、pH、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高锰酸盐指数、化学需氧量（COD）、五日生化需氧量（BOD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铜</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、挥发酚、石油类、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LAS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、粪大肠菌群</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，表2的5项指标包括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硫酸盐、氯化物、硝酸盐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、铁、锰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，及气温、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气压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、电导率、叶绿素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和透明度5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项指标，共3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项指标进行监测。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highlight w:val="yellow"/>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营上镇田边水库水质目标按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水质标准。本</w:t>
      </w:r>
      <w:bookmarkStart w:id="71" w:name="_Hlk52331878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区划根据常规监测评价结果，结合流域现状主要污染源</w:t>
      </w:r>
      <w:bookmarkEnd w:id="7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，对所有已开展的监测因子进行水质类别评价，</w:t>
      </w:r>
      <w:bookmarkStart w:id="72" w:name="_Hlk523318756"/>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选取pH、溶解氧、高锰酸盐指数、化学需氧量（COD）、五日生化需氧量（BOD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项指标采用单因子指数法进行水质评价。</w:t>
      </w:r>
    </w:p>
    <w:bookmarkEnd w:id="72"/>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6</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主要指标</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地表水环境质量标准限值</w:t>
      </w:r>
    </w:p>
    <w:p>
      <w:pPr>
        <w:spacing w:line="480" w:lineRule="exact"/>
        <w:jc w:val="right"/>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单位：mg/L（除pH</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、粪大肠菌群</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bl>
      <w:tblPr>
        <w:tblStyle w:val="44"/>
        <w:tblW w:w="8698" w:type="dxa"/>
        <w:jc w:val="center"/>
        <w:tblInd w:w="-17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0"/>
        <w:gridCol w:w="2601"/>
        <w:gridCol w:w="1961"/>
        <w:gridCol w:w="997"/>
        <w:gridCol w:w="877"/>
        <w:gridCol w:w="816"/>
        <w:gridCol w:w="8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63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ind w:right="-130" w:rightChars="-62"/>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序号</w:t>
            </w:r>
          </w:p>
        </w:tc>
        <w:tc>
          <w:tcPr>
            <w:tcW w:w="260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196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w:t>
            </w:r>
          </w:p>
        </w:tc>
        <w:tc>
          <w:tcPr>
            <w:tcW w:w="99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2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7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4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5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pH值(无量纲)</w:t>
            </w:r>
          </w:p>
        </w:tc>
        <w:tc>
          <w:tcPr>
            <w:tcW w:w="5467"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溶解氧≥</w:t>
            </w:r>
          </w:p>
        </w:tc>
        <w:tc>
          <w:tcPr>
            <w:tcW w:w="19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饱和率90%（或7.5）</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高锰酸盐指数≤</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化学需氧量（COD）≤</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氨氮（NH</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-N ）≤</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总磷（以P计）≤</w:t>
            </w:r>
          </w:p>
        </w:tc>
        <w:tc>
          <w:tcPr>
            <w:tcW w:w="19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0.025</w:t>
            </w:r>
          </w:p>
        </w:tc>
        <w:tc>
          <w:tcPr>
            <w:tcW w:w="87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8</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总氮（湖、库，以N计）≤</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铜</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锌</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硒</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砷</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汞</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镉</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铅</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挥发酚</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石油类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粪大肠菌群（个</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/L</w:t>
            </w: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w:t>
            </w:r>
          </w:p>
        </w:tc>
        <w:tc>
          <w:tcPr>
            <w:tcW w:w="19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c>
          <w:tcPr>
            <w:tcW w:w="9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w:t>
            </w:r>
          </w:p>
        </w:tc>
        <w:tc>
          <w:tcPr>
            <w:tcW w:w="87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硫酸盐（以SO</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467"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氯化物（以Cl</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467"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硝酸盐（以N计）</w:t>
            </w:r>
          </w:p>
        </w:tc>
        <w:tc>
          <w:tcPr>
            <w:tcW w:w="5467"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铁</w:t>
            </w:r>
          </w:p>
        </w:tc>
        <w:tc>
          <w:tcPr>
            <w:tcW w:w="5467"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w:t>
            </w:r>
          </w:p>
        </w:tc>
        <w:tc>
          <w:tcPr>
            <w:tcW w:w="26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锰</w:t>
            </w:r>
          </w:p>
        </w:tc>
        <w:tc>
          <w:tcPr>
            <w:tcW w:w="5467"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集中式生活饮用水标准限值≤0.1</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.1.2 评价时段</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营上镇田边水库采用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次监测结果进行评价。</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bookmarkStart w:id="73" w:name="_Toc272332640"/>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.1.3 </w:t>
      </w:r>
      <w:r>
        <w:rPr>
          <w:rFonts w:hint="eastAsia"/>
          <w:color w:val="0D0D0D" w:themeColor="text1" w:themeTint="F2"/>
          <w:sz w:val="28"/>
          <w14:textFill>
            <w14:solidFill>
              <w14:schemeClr w14:val="tx1">
                <w14:lumMod w14:val="95000"/>
                <w14:lumOff w14:val="5000"/>
              </w14:schemeClr>
            </w14:solidFill>
          </w14:textFill>
        </w:rPr>
        <w:t>监测</w:t>
      </w:r>
      <w:r>
        <w:rPr>
          <w:color w:val="0D0D0D" w:themeColor="text1" w:themeTint="F2"/>
          <w:sz w:val="28"/>
          <w14:textFill>
            <w14:solidFill>
              <w14:schemeClr w14:val="tx1">
                <w14:lumMod w14:val="95000"/>
                <w14:lumOff w14:val="5000"/>
              </w14:schemeClr>
            </w14:solidFill>
          </w14:textFill>
        </w:rPr>
        <w:t>点</w:t>
      </w:r>
      <w:bookmarkEnd w:id="73"/>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水源地现状水质监测点为营上镇田边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74" w:name="_Toc10729978"/>
      <w:bookmarkStart w:id="75" w:name="_Toc524596430"/>
      <w:bookmarkStart w:id="76" w:name="_Toc272332641"/>
      <w:bookmarkStart w:id="77" w:name="_Toc27489882"/>
      <w:bookmarkStart w:id="78" w:name="_Toc478742815"/>
      <w:bookmarkStart w:id="79" w:name="_Toc27063915"/>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.2 评价方法</w:t>
      </w:r>
      <w:bookmarkEnd w:id="74"/>
      <w:bookmarkEnd w:id="75"/>
      <w:bookmarkEnd w:id="76"/>
      <w:bookmarkEnd w:id="77"/>
      <w:bookmarkEnd w:id="78"/>
      <w:bookmarkEnd w:id="79"/>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本区划</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采用功能</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类别</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评价法</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和单因子指数法</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进行评价，并筛选出</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营上镇田边水库</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的主要污染物。</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）功能类别评价</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法</w:t>
      </w:r>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以水质监测结果，对照</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）中表1、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表2和表3，判断检测指标所达到水环境水质功能类别。</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单因子指数法</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-7）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—监测点j的pH的标准指数；</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—监测断面j的pH实测值；</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—水质标准pH值的上下限值。</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9DO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468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31.6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的标准指数；</w:t>
      </w:r>
    </w:p>
    <w:p>
      <w:pPr>
        <w:tabs>
          <w:tab w:val="left" w:pos="748"/>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实测值；</w:t>
      </w:r>
    </w:p>
    <w:p>
      <w:pPr>
        <w:tabs>
          <w:tab w:val="left" w:pos="724"/>
          <w:tab w:val="left" w:pos="5992"/>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—监测水温条件下饱和溶解氧浓度；</w:t>
      </w:r>
    </w:p>
    <w:p>
      <w:pPr>
        <w:adjustRightInd w:val="0"/>
        <w:snapToGrid w:val="0"/>
        <w:spacing w:line="360" w:lineRule="auto"/>
        <w:ind w:firstLine="980" w:firstLineChars="35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—地表水溶解氧浓度质量标准。</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其它因子：S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—污染因子i在监测断面j的标准指数；</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—污染因子i在监测点j的平均浓度；</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—污染因子i在水质标准中的限值。</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当某污染因子的标准指数大于1时，表明水体中该污染因子浓度已超过标准限值。标准指数越大，超过标准的程度越高，污染越严重。</w:t>
      </w:r>
    </w:p>
    <w:p>
      <w:pPr>
        <w:widowControl/>
        <w:adjustRightInd w:val="0"/>
        <w:snapToGrid w:val="0"/>
        <w:spacing w:line="360" w:lineRule="auto"/>
        <w:ind w:firstLine="42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80" w:name="_Toc118037786"/>
      <w:bookmarkStart w:id="81" w:name="_Toc96843938"/>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w:t>
      </w:r>
      <w:bookmarkEnd w:id="80"/>
      <w:bookmarkEnd w:id="81"/>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本区划通过</w:t>
      </w:r>
      <w:bookmarkStart w:id="82" w:name="_Hlk52443048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bookmarkEnd w:id="82"/>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指标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综合营养状态指数，对水源地水库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富营养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状态进行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综合营养状态指数采用卡尔森指数方法，计算公式如下：</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5" o:spt="75" type="#_x0000_t75" style="height:35.25pt;width:96pt;" o:ole="t" fillcolor="#FFFFFF"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式中：TLI（∑）—综合营养状态指数；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Wj—第j种参数的营养状态指数的相关权重；</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TLI（j）—代表第j种参数的营养状态指数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hla作为基准参数，则第j种参数的归一化的相关权重计算公式为：</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6" o:spt="75" type="#_x0000_t75" style="height:51pt;width:58.5pt;" o:ole="t" fillcolor="#FFFFFF"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—第j种参数与基准参数Chla的相关系数；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m—评价参数的个数。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中国湖泊（水库）Chla与其它参数之间的相关关系r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表2.6-2  中国湖泊（水库）部分参数与Chla的相关关系r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值</w:t>
      </w:r>
    </w:p>
    <w:tbl>
      <w:tblPr>
        <w:tblStyle w:val="44"/>
        <w:tblW w:w="86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450"/>
        <w:gridCol w:w="1450"/>
        <w:gridCol w:w="1450"/>
        <w:gridCol w:w="145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4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1450"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Chla</w:t>
            </w:r>
          </w:p>
        </w:tc>
        <w:tc>
          <w:tcPr>
            <w:tcW w:w="1450"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p>
        </w:tc>
        <w:tc>
          <w:tcPr>
            <w:tcW w:w="1450"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p>
        </w:tc>
        <w:tc>
          <w:tcPr>
            <w:tcW w:w="1450"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SD</w:t>
            </w:r>
          </w:p>
        </w:tc>
        <w:tc>
          <w:tcPr>
            <w:tcW w:w="1450"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4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0.84</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0.82</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4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0.7056</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0.6724</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c>
          <w:tcPr>
            <w:tcW w:w="1450"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r>
    </w:tbl>
    <w:p>
      <w:pPr>
        <w:widowControl/>
        <w:adjustRightInd w:val="0"/>
        <w:snapToGrid w:val="0"/>
        <w:spacing w:before="156" w:beforeLines="50"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2）单个项目营养状态指数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参数单项营养状态指数计算公式如下：</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hla）=10（2.5+1.086lnChla）</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TLI（TP）=10（9.436+1.624lnTP）</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TLI（TN）=10（5.453+1.694lnTN）</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TLI（SD）=10（5.118-1.94lnSD）</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）=10（0.109+2.661lnCOD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式中：Chla单位为mg/m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，SD单位为m；其它项目单位均为mg/L。</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3" w:name="_Toc272332644"/>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3）湖泊水库营养状态分级</w:t>
      </w:r>
      <w:bookmarkEnd w:id="83"/>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100的一系列连续数字对湖泊营养状态进行分级，包括：贫营养、中营养、富营养、轻度富营养、中度富营养和重度富营养，与污染程度关系如表2.6-3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表2.6-3  水质类别与评分值对应表</w:t>
      </w:r>
    </w:p>
    <w:tbl>
      <w:tblPr>
        <w:tblStyle w:val="44"/>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2982"/>
        <w:gridCol w:w="2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982"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营养状态分级</w:t>
            </w:r>
          </w:p>
        </w:tc>
        <w:tc>
          <w:tcPr>
            <w:tcW w:w="2982"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评分值TLI（∑）</w:t>
            </w:r>
          </w:p>
        </w:tc>
        <w:tc>
          <w:tcPr>
            <w:tcW w:w="2784"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定性评价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982"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贫营养</w:t>
            </w:r>
          </w:p>
        </w:tc>
        <w:tc>
          <w:tcPr>
            <w:tcW w:w="2982"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0＜TLI（∑）≤30</w:t>
            </w:r>
          </w:p>
        </w:tc>
        <w:tc>
          <w:tcPr>
            <w:tcW w:w="2784"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982"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中营养</w:t>
            </w:r>
          </w:p>
        </w:tc>
        <w:tc>
          <w:tcPr>
            <w:tcW w:w="2982"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30＜TLI（∑）≤50</w:t>
            </w:r>
          </w:p>
        </w:tc>
        <w:tc>
          <w:tcPr>
            <w:tcW w:w="2784"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982"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轻度富营养</w:t>
            </w:r>
          </w:p>
        </w:tc>
        <w:tc>
          <w:tcPr>
            <w:tcW w:w="2982"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50＜TLI（∑）≤60</w:t>
            </w:r>
          </w:p>
        </w:tc>
        <w:tc>
          <w:tcPr>
            <w:tcW w:w="2784"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982" w:type="dxa"/>
            <w:vAlign w:val="center"/>
          </w:tcPr>
          <w:p>
            <w:pPr>
              <w:widowControl/>
              <w:spacing w:line="36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中度富营养</w:t>
            </w:r>
          </w:p>
        </w:tc>
        <w:tc>
          <w:tcPr>
            <w:tcW w:w="2982"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60＜TLI（∑）≤70</w:t>
            </w:r>
          </w:p>
        </w:tc>
        <w:tc>
          <w:tcPr>
            <w:tcW w:w="2784"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982"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重度富营养</w:t>
            </w:r>
          </w:p>
        </w:tc>
        <w:tc>
          <w:tcPr>
            <w:tcW w:w="2982"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70＜TLI（∑）≤100</w:t>
            </w:r>
          </w:p>
        </w:tc>
        <w:tc>
          <w:tcPr>
            <w:tcW w:w="2784"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重度污染</w:t>
            </w:r>
          </w:p>
        </w:tc>
      </w:tr>
    </w:tbl>
    <w:p>
      <w:pPr>
        <w:widowControl/>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主要污染</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因子筛选</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点水质超过</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instrText xml:space="preserve"> = 3 \* ROMAN </w:instrTex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类标准的项目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全部作为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主要污染项目（pH、溶解氧不参与计算）。</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对单因子评价结果进行排序，对于</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标准指数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位于前3位的污染因子，或标准指数大于0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的污染因子，均列为主要污染项目；对标准指数大于0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的污染因子列为潜在污染项目。</w:t>
      </w:r>
    </w:p>
    <w:p>
      <w:pPr>
        <w:pStyle w:val="4"/>
        <w:spacing w:before="0" w:after="0" w:line="415" w:lineRule="auto"/>
        <w:rPr>
          <w:color w:val="0D0D0D" w:themeColor="text1" w:themeTint="F2"/>
          <w:sz w:val="28"/>
          <w:szCs w:val="28"/>
          <w14:textFill>
            <w14:solidFill>
              <w14:schemeClr w14:val="tx1">
                <w14:lumMod w14:val="95000"/>
                <w14:lumOff w14:val="5000"/>
              </w14:schemeClr>
            </w14:solidFill>
          </w14:textFill>
        </w:rPr>
      </w:pPr>
      <w:bookmarkStart w:id="84" w:name="_Toc27063916"/>
      <w:bookmarkStart w:id="85" w:name="_Toc27489883"/>
      <w:bookmarkStart w:id="86" w:name="_Toc10729979"/>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w:t>
      </w:r>
      <w:r>
        <w:rPr>
          <w:rFonts w:hint="eastAsia"/>
          <w:color w:val="0D0D0D" w:themeColor="text1" w:themeTint="F2"/>
          <w:sz w:val="28"/>
          <w:szCs w:val="28"/>
          <w14:textFill>
            <w14:solidFill>
              <w14:schemeClr w14:val="tx1">
                <w14:lumMod w14:val="95000"/>
                <w14:lumOff w14:val="5000"/>
              </w14:schemeClr>
            </w14:solidFill>
          </w14:textFill>
        </w:rPr>
        <w:t>3</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水质</w:t>
      </w:r>
      <w:r>
        <w:rPr>
          <w:color w:val="0D0D0D" w:themeColor="text1" w:themeTint="F2"/>
          <w:sz w:val="28"/>
          <w:szCs w:val="28"/>
          <w14:textFill>
            <w14:solidFill>
              <w14:schemeClr w14:val="tx1">
                <w14:lumMod w14:val="95000"/>
                <w14:lumOff w14:val="5000"/>
              </w14:schemeClr>
            </w14:solidFill>
          </w14:textFill>
        </w:rPr>
        <w:t>评价结果</w:t>
      </w:r>
      <w:bookmarkEnd w:id="84"/>
      <w:bookmarkEnd w:id="85"/>
      <w:bookmarkEnd w:id="86"/>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.1 水质</w:t>
      </w:r>
      <w:r>
        <w:rPr>
          <w:rFonts w:hint="eastAsia"/>
          <w:color w:val="0D0D0D" w:themeColor="text1" w:themeTint="F2"/>
          <w:sz w:val="28"/>
          <w14:textFill>
            <w14:solidFill>
              <w14:schemeClr w14:val="tx1">
                <w14:lumMod w14:val="95000"/>
                <w14:lumOff w14:val="5000"/>
              </w14:schemeClr>
            </w14:solidFill>
          </w14:textFill>
        </w:rPr>
        <w:t>功能类别</w:t>
      </w:r>
      <w:r>
        <w:rPr>
          <w:color w:val="0D0D0D" w:themeColor="text1" w:themeTint="F2"/>
          <w:sz w:val="28"/>
          <w14:textFill>
            <w14:solidFill>
              <w14:schemeClr w14:val="tx1">
                <w14:lumMod w14:val="95000"/>
                <w14:lumOff w14:val="5000"/>
              </w14:schemeClr>
            </w14:solidFill>
          </w14:textFill>
        </w:rPr>
        <w:t>现状</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基本项目评价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营上镇田边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次监测结果统计如下。对照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）表1中的标准限值，营上镇田边水库除总氮外，其他监测项目均能满足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（水温和pH值不参与水质功能类别评价）。</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-4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田边水库2019年常规监测基本项目</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水质所达功能评价表</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3983"/>
        <w:gridCol w:w="1968"/>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926"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3983"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613" w:type="dxa"/>
            <w:gridSpan w:val="2"/>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926"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3983"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9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w:t>
            </w:r>
            <w:r>
              <w:rPr>
                <w:rFonts w:hint="eastAsia" w:ascii="Times New Roman" w:hAnsi="Times New Roman" w:eastAsia="仿宋" w:cs="Times New Roman"/>
                <w:b/>
                <w:color w:val="0D0D0D" w:themeColor="text1" w:themeTint="F2"/>
                <w:kern w:val="0"/>
                <w:sz w:val="24"/>
                <w:szCs w:val="24"/>
                <w:lang w:bidi="ar"/>
                <w14:textFill>
                  <w14:solidFill>
                    <w14:schemeClr w14:val="tx1">
                      <w14:lumMod w14:val="95000"/>
                      <w14:lumOff w14:val="5000"/>
                    </w14:schemeClr>
                  </w14:solidFill>
                </w14:textFill>
              </w:rPr>
              <w:t>mg/L</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164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水温（</w:t>
            </w:r>
            <w:r>
              <w:rPr>
                <w:rFonts w:hint="eastAsia" w:ascii="宋体" w:hAnsi="宋体" w:eastAsia="宋体" w:cs="宋体"/>
                <w:color w:val="0D0D0D" w:themeColor="text1" w:themeTint="F2"/>
                <w:kern w:val="0"/>
                <w:sz w:val="24"/>
                <w:szCs w:val="24"/>
                <w:lang w:bidi="ar"/>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15</w:t>
            </w:r>
          </w:p>
        </w:tc>
        <w:tc>
          <w:tcPr>
            <w:tcW w:w="1645" w:type="dxa"/>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8.3</w:t>
            </w:r>
          </w:p>
        </w:tc>
        <w:tc>
          <w:tcPr>
            <w:tcW w:w="1645" w:type="dxa"/>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7.1</w:t>
            </w:r>
          </w:p>
        </w:tc>
        <w:tc>
          <w:tcPr>
            <w:tcW w:w="164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2.2</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9</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1.6</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0.192</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0.018</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1.9</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0.0004L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0.00004L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0.0005</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0.005</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2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3983"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粪大肠菌群（个</w:t>
            </w: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/L</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2382</w:t>
            </w:r>
          </w:p>
        </w:tc>
        <w:tc>
          <w:tcPr>
            <w:tcW w:w="1645"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Ⅲ类</w:t>
            </w:r>
          </w:p>
        </w:tc>
      </w:tr>
    </w:tbl>
    <w:p>
      <w:pPr>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补充项目评价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根据营上镇田边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监测结果，所有集中式饮用水地表水源地补充项目均满足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）表2集中式生活饮用水地表水源地标准限值要求。</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-5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田边水库2019年常规监测补充项目达标</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评价表</w:t>
      </w:r>
    </w:p>
    <w:tbl>
      <w:tblPr>
        <w:tblStyle w:val="4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00"/>
        <w:gridCol w:w="2447"/>
        <w:gridCol w:w="1352"/>
        <w:gridCol w:w="2571"/>
        <w:gridCol w:w="135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800"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2447"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1352"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标准限值</w:t>
            </w:r>
          </w:p>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lang w:bidi="ar"/>
                <w14:textFill>
                  <w14:solidFill>
                    <w14:schemeClr w14:val="tx1">
                      <w14:lumMod w14:val="95000"/>
                      <w14:lumOff w14:val="5000"/>
                    </w14:schemeClr>
                  </w14:solidFill>
                </w14:textFill>
              </w:rPr>
              <w:t>mg/L</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3923" w:type="dxa"/>
            <w:gridSpan w:val="2"/>
            <w:tcBorders>
              <w:bottom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800"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447"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352"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571"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w:t>
            </w:r>
            <w:r>
              <w:rPr>
                <w:rFonts w:hint="eastAsia" w:ascii="Times New Roman" w:hAnsi="Times New Roman" w:eastAsia="仿宋" w:cs="Times New Roman"/>
                <w:b/>
                <w:color w:val="0D0D0D" w:themeColor="text1" w:themeTint="F2"/>
                <w:kern w:val="0"/>
                <w:sz w:val="24"/>
                <w:szCs w:val="24"/>
                <w:lang w:bidi="ar"/>
                <w14:textFill>
                  <w14:solidFill>
                    <w14:schemeClr w14:val="tx1">
                      <w14:lumMod w14:val="95000"/>
                      <w14:lumOff w14:val="5000"/>
                    </w14:schemeClr>
                  </w14:solidFill>
                </w14:textFill>
              </w:rPr>
              <w:t>mg/L</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1352"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达标评价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44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571"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8L</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2447"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57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10L</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447"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硝酸盐氮</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10</w:t>
            </w:r>
          </w:p>
        </w:tc>
        <w:tc>
          <w:tcPr>
            <w:tcW w:w="257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0.02L</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447"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0.3</w:t>
            </w:r>
          </w:p>
        </w:tc>
        <w:tc>
          <w:tcPr>
            <w:tcW w:w="257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0.03L</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80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447"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0.1</w:t>
            </w:r>
          </w:p>
        </w:tc>
        <w:tc>
          <w:tcPr>
            <w:tcW w:w="257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c>
          <w:tcPr>
            <w:tcW w:w="135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.2 单因子指数评价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根据田边水库常规监测水质功能类别评价结果，结合田边水库流域现状主要污染源，选取选取pH、溶解氧、高锰酸盐指数、化学需氧量（COD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项指标进行单因子指数法水质评价。田边水质按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标准和集中式饮用水地表水源地补充项目标准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结果详见表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-6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单因子指数法评价结果表</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3704"/>
        <w:gridCol w:w="3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452" w:type="dxa"/>
            <w:shd w:val="clear" w:color="auto" w:fill="BEBEBE" w:themeFill="background1" w:themeFillShade="BF"/>
            <w:noWrap/>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3704" w:type="dxa"/>
            <w:shd w:val="clear" w:color="auto" w:fill="BEBEBE" w:themeFill="background1" w:themeFillShade="BF"/>
            <w:noWrap/>
            <w:vAlign w:val="center"/>
          </w:tcPr>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366" w:type="dxa"/>
            <w:shd w:val="clear" w:color="auto" w:fill="BEBEBE" w:themeFill="background1" w:themeFillShade="BF"/>
            <w:vAlign w:val="center"/>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单因子评价指数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33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w:t>
            </w:r>
            <w:r>
              <w:rPr>
                <w:rFonts w:hint="eastAsia"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5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370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3366"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对照《地表水环境质量标准》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除总氮外，其他指标单因子评价指数均小于1，即达到</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水质标准。总氮的监测值为1.90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评价指数为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大于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为主要污染物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rFonts w:hint="eastAsia"/>
          <w:color w:val="0D0D0D" w:themeColor="text1" w:themeTint="F2"/>
          <w:sz w:val="28"/>
          <w14:textFill>
            <w14:solidFill>
              <w14:schemeClr w14:val="tx1">
                <w14:lumMod w14:val="95000"/>
                <w14:lumOff w14:val="5000"/>
              </w14:schemeClr>
            </w14:solidFill>
          </w14:textFill>
        </w:rPr>
        <w:t>2.6.3.3</w:t>
      </w:r>
      <w:r>
        <w:rPr>
          <w:color w:val="0D0D0D" w:themeColor="text1" w:themeTint="F2"/>
          <w:sz w:val="28"/>
          <w14:textFill>
            <w14:solidFill>
              <w14:schemeClr w14:val="tx1">
                <w14:lumMod w14:val="95000"/>
                <w14:lumOff w14:val="5000"/>
              </w14:schemeClr>
            </w14:solidFill>
          </w14:textFill>
        </w:rPr>
        <w:t>水库营养状态评价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按照水库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营养状态评价模式，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营上镇田边水库2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评价分数均低于50，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39.47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，处于中营养状态，从营养状态评价水库水质良好。营上镇田边水库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营养状态评价情况见表2.6-7。</w:t>
      </w:r>
    </w:p>
    <w:p>
      <w:pPr>
        <w:spacing w:line="360" w:lineRule="auto"/>
        <w:jc w:val="center"/>
        <w:outlineLvl w:val="5"/>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p>
    <w:p>
      <w:pPr>
        <w:spacing w:line="360" w:lineRule="auto"/>
        <w:jc w:val="center"/>
        <w:outlineLvl w:val="5"/>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表2.6-7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营上镇田边水库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营养状态评价汇总表</w:t>
      </w:r>
    </w:p>
    <w:tbl>
      <w:tblPr>
        <w:tblStyle w:val="4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518"/>
        <w:gridCol w:w="2835"/>
        <w:gridCol w:w="316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518" w:type="dxa"/>
            <w:vMerge w:val="restart"/>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评价参数</w:t>
            </w:r>
          </w:p>
        </w:tc>
        <w:tc>
          <w:tcPr>
            <w:tcW w:w="2835"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监测结果</w:t>
            </w:r>
          </w:p>
        </w:tc>
        <w:tc>
          <w:tcPr>
            <w:tcW w:w="3169"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营养状态指数（TLI</w:t>
            </w:r>
            <w:r>
              <w:rPr>
                <w:rFonts w:ascii="Times New Roman" w:hAnsi="Times New Roman" w:eastAsia="仿宋" w:cs="Times New Roman"/>
                <w:b/>
                <w:color w:val="0D0D0D" w:themeColor="text1" w:themeTint="F2"/>
                <w:sz w:val="24"/>
                <w:szCs w:val="24"/>
                <w:vertAlign w:val="subscript"/>
                <w14:textFill>
                  <w14:solidFill>
                    <w14:schemeClr w14:val="tx1">
                      <w14:lumMod w14:val="95000"/>
                      <w14:lumOff w14:val="5000"/>
                    </w14:schemeClr>
                  </w14:solidFill>
                </w14:textFill>
              </w:rPr>
              <w:t>j</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518" w:type="dxa"/>
            <w:vMerge w:val="continue"/>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835"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c>
          <w:tcPr>
            <w:tcW w:w="3169"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518"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透明度(cm)</w:t>
            </w:r>
          </w:p>
        </w:tc>
        <w:tc>
          <w:tcPr>
            <w:tcW w:w="2835"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120</w:t>
            </w:r>
          </w:p>
        </w:tc>
        <w:tc>
          <w:tcPr>
            <w:tcW w:w="3169"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8.74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51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叶绿素a (mg/m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83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0.002L</w:t>
            </w:r>
          </w:p>
        </w:tc>
        <w:tc>
          <w:tcPr>
            <w:tcW w:w="3169"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51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总氮(mg/L)</w:t>
            </w:r>
          </w:p>
        </w:tc>
        <w:tc>
          <w:tcPr>
            <w:tcW w:w="283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1.90</w:t>
            </w:r>
          </w:p>
        </w:tc>
        <w:tc>
          <w:tcPr>
            <w:tcW w:w="3169"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11.71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51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总磷(mg/L)</w:t>
            </w:r>
          </w:p>
        </w:tc>
        <w:tc>
          <w:tcPr>
            <w:tcW w:w="283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0.018</w:t>
            </w:r>
          </w:p>
        </w:tc>
        <w:tc>
          <w:tcPr>
            <w:tcW w:w="3169"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5.47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518"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高锰酸盐指数(mg/L)</w:t>
            </w:r>
          </w:p>
        </w:tc>
        <w:tc>
          <w:tcPr>
            <w:tcW w:w="2835"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3169"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5353"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综合指数</w:t>
            </w:r>
          </w:p>
        </w:tc>
        <w:tc>
          <w:tcPr>
            <w:tcW w:w="3169"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39.47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5353"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营养状态分级</w:t>
            </w:r>
          </w:p>
        </w:tc>
        <w:tc>
          <w:tcPr>
            <w:tcW w:w="3169"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中营养化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5353"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定性评价</w:t>
            </w:r>
          </w:p>
        </w:tc>
        <w:tc>
          <w:tcPr>
            <w:tcW w:w="3169"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良好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8522" w:type="dxa"/>
            <w:gridSpan w:val="3"/>
            <w:vAlign w:val="center"/>
          </w:tcPr>
          <w:p>
            <w:pPr>
              <w:snapToGrid w:val="0"/>
              <w:jc w:val="lef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*根据《水环境监测规范》（SL219-98），当测定结果低于分析方法的最低检出浓度时，按1/2最低检出浓度值参与统计处理。</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.4 主要污染物</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根据前述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田边水库各项监测指标均达到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标准、集中式饮用水地表水源地补充项目标准限值要求。营上镇田边水库按</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水质目标要求，超过</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类水质标准的因子有总氮。指标分析如下。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总氮：根据营上镇田边水库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次水质监测结果，总氮监测值在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1.90mg/L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，超过</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23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倍。总氮是营上镇田边水库的主要污染物。水环境中，总氮主要包括硝酸盐氮、亚硝酸盐氮、氨氮等，其中氨氮主要来源于生活污水、畜禽粪便和水土流失，硝酸盐氮主要来源于种植面源（化肥）和水土流失。</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综上分析，总氮为营上镇田边水库的主要污染物。</w:t>
      </w:r>
    </w:p>
    <w:p>
      <w:pPr>
        <w:pStyle w:val="3"/>
        <w:rPr>
          <w:color w:val="0D0D0D" w:themeColor="text1" w:themeTint="F2"/>
          <w14:textFill>
            <w14:solidFill>
              <w14:schemeClr w14:val="tx1">
                <w14:lumMod w14:val="95000"/>
                <w14:lumOff w14:val="5000"/>
              </w14:schemeClr>
            </w14:solidFill>
          </w14:textFill>
        </w:rPr>
      </w:pPr>
      <w:bookmarkStart w:id="87" w:name="_Toc12456067"/>
      <w:bookmarkStart w:id="88" w:name="_Toc10729980"/>
      <w:bookmarkStart w:id="89" w:name="_Toc27489884"/>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7</w:t>
      </w:r>
      <w:r>
        <w:rPr>
          <w:color w:val="0D0D0D" w:themeColor="text1" w:themeTint="F2"/>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周边及上游污染源调查</w:t>
      </w:r>
      <w:bookmarkEnd w:id="87"/>
      <w:bookmarkEnd w:id="88"/>
      <w:bookmarkEnd w:id="89"/>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90" w:name="_Hlk1792902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通过现场踏勘及资料收集，对田边水库水源地周边及上游范围内的污染源进行调查，从点源、面源、流动源进行分析。</w:t>
      </w:r>
    </w:p>
    <w:bookmarkEnd w:id="90"/>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1" w:name="_Toc25679061"/>
      <w:bookmarkStart w:id="92" w:name="_Toc27489885"/>
      <w:bookmarkStart w:id="93" w:name="_Toc18506526"/>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.1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点源</w:t>
      </w:r>
      <w:bookmarkEnd w:id="91"/>
      <w:bookmarkEnd w:id="92"/>
      <w:bookmarkEnd w:id="93"/>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94" w:name="_Hlk1792905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调查分析可知，田边水库水源地保护区范围内未发现工业企业及违法违规建设项目存在，无城镇生活污水排放口，也无规模化畜禽养殖场（小区）等点源存在。</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5" w:name="_Toc27489886"/>
      <w:bookmarkStart w:id="96" w:name="_Toc18506527"/>
      <w:bookmarkStart w:id="97" w:name="_Toc25679062"/>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面源</w:t>
      </w:r>
      <w:bookmarkEnd w:id="95"/>
      <w:bookmarkEnd w:id="96"/>
      <w:bookmarkEnd w:id="9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98" w:name="_Hlk1792908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根据调查可知，田边水库水源地保护区范围内主要为面源污染，由村庄生活污水、村庄生活垃圾、分散式畜禽养殖、农田种植、水土流失等污染组成。</w:t>
      </w:r>
    </w:p>
    <w:bookmarkEnd w:id="98"/>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99" w:name="_Toc10729981"/>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2.1</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农村生活污水</w:t>
      </w:r>
      <w:bookmarkEnd w:id="99"/>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田边水库保护区范围内涉及1个镇、1个行政村、3个自然村，即营上镇都格村委会，涉及的3个自然村有田边村、雅宗村、费格村，共267户1098人。其中，田边村、费格村约有58户居民居住在一级保护区；雅宗村全部居民及田边村、费格村大部分居民居住在二级保护区。</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采用人均排污系数法核算农村生活污水及污染物排放量。参考第一次全国污染源普查中西南区污染物排放系数，见下表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  农村人均生活污水排污系数</w:t>
      </w:r>
    </w:p>
    <w:tbl>
      <w:tblPr>
        <w:tblStyle w:val="44"/>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7"/>
        <w:gridCol w:w="1479"/>
        <w:gridCol w:w="1439"/>
        <w:gridCol w:w="1439"/>
        <w:gridCol w:w="1439"/>
        <w:gridCol w:w="14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8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指标</w:t>
            </w:r>
          </w:p>
        </w:tc>
        <w:tc>
          <w:tcPr>
            <w:tcW w:w="147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污水量</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（L/cap.d）</w:t>
            </w:r>
          </w:p>
        </w:tc>
        <w:tc>
          <w:tcPr>
            <w:tcW w:w="14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c>
          <w:tcPr>
            <w:tcW w:w="14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c>
          <w:tcPr>
            <w:tcW w:w="14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c>
          <w:tcPr>
            <w:tcW w:w="14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87"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47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24.48</w:t>
            </w:r>
          </w:p>
        </w:tc>
        <w:tc>
          <w:tcPr>
            <w:tcW w:w="143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19.68</w:t>
            </w:r>
          </w:p>
        </w:tc>
        <w:tc>
          <w:tcPr>
            <w:tcW w:w="143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0.08</w:t>
            </w:r>
          </w:p>
        </w:tc>
        <w:tc>
          <w:tcPr>
            <w:tcW w:w="143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0.40</w:t>
            </w:r>
          </w:p>
        </w:tc>
        <w:tc>
          <w:tcPr>
            <w:tcW w:w="143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0.22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同时根据部门收资及现场调查，田边水库的3个自然村未建农村生活污水集中处理设施。</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根据保护区范围内人口统计结果及排污系数计算，田边水库保护区范围内污水、化学需氧量、氨氮、总氮、总磷排放量分别为9810.85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7.887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0.032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0.160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0.088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t/a。如下表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所示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范围内农村生活污水污染物排放量</w:t>
      </w:r>
    </w:p>
    <w:tbl>
      <w:tblPr>
        <w:tblStyle w:val="44"/>
        <w:tblW w:w="9482" w:type="dxa"/>
        <w:jc w:val="center"/>
        <w:tblInd w:w="-10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851"/>
        <w:gridCol w:w="1109"/>
        <w:gridCol w:w="939"/>
        <w:gridCol w:w="996"/>
        <w:gridCol w:w="996"/>
        <w:gridCol w:w="965"/>
        <w:gridCol w:w="965"/>
        <w:gridCol w:w="96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73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85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110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9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99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9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1"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一级保护区</w:t>
            </w:r>
          </w:p>
        </w:tc>
        <w:tc>
          <w:tcPr>
            <w:tcW w:w="851"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都格村</w:t>
            </w:r>
          </w:p>
        </w:tc>
        <w:tc>
          <w:tcPr>
            <w:tcW w:w="110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田边村</w:t>
            </w:r>
          </w:p>
        </w:tc>
        <w:tc>
          <w:tcPr>
            <w:tcW w:w="939"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 xml:space="preserve">25 </w:t>
            </w:r>
          </w:p>
        </w:tc>
        <w:tc>
          <w:tcPr>
            <w:tcW w:w="99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223.38</w:t>
            </w:r>
          </w:p>
        </w:tc>
        <w:tc>
          <w:tcPr>
            <w:tcW w:w="99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223.38</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0.180</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0.0007</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0.004</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85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0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费格村</w:t>
            </w:r>
          </w:p>
        </w:tc>
        <w:tc>
          <w:tcPr>
            <w:tcW w:w="939"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 xml:space="preserve">207 </w:t>
            </w:r>
          </w:p>
        </w:tc>
        <w:tc>
          <w:tcPr>
            <w:tcW w:w="99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1849.59</w:t>
            </w:r>
          </w:p>
        </w:tc>
        <w:tc>
          <w:tcPr>
            <w:tcW w:w="99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1849.59</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1.487</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0.030</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85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0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小计</w:t>
            </w:r>
          </w:p>
        </w:tc>
        <w:tc>
          <w:tcPr>
            <w:tcW w:w="939"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232</w:t>
            </w:r>
          </w:p>
        </w:tc>
        <w:tc>
          <w:tcPr>
            <w:tcW w:w="99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2072.97</w:t>
            </w:r>
          </w:p>
        </w:tc>
        <w:tc>
          <w:tcPr>
            <w:tcW w:w="99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2072.97</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1.667</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0.007</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0.034</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1"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二级保护区</w:t>
            </w:r>
          </w:p>
        </w:tc>
        <w:tc>
          <w:tcPr>
            <w:tcW w:w="851"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都格村</w:t>
            </w:r>
          </w:p>
        </w:tc>
        <w:tc>
          <w:tcPr>
            <w:tcW w:w="110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田边村</w:t>
            </w:r>
          </w:p>
        </w:tc>
        <w:tc>
          <w:tcPr>
            <w:tcW w:w="939"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279</w:t>
            </w:r>
          </w:p>
        </w:tc>
        <w:tc>
          <w:tcPr>
            <w:tcW w:w="99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2492.92</w:t>
            </w:r>
          </w:p>
        </w:tc>
        <w:tc>
          <w:tcPr>
            <w:tcW w:w="99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2492.92</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2.004</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0.008</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0.041</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85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0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费格村</w:t>
            </w:r>
          </w:p>
        </w:tc>
        <w:tc>
          <w:tcPr>
            <w:tcW w:w="939"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208</w:t>
            </w:r>
          </w:p>
        </w:tc>
        <w:tc>
          <w:tcPr>
            <w:tcW w:w="99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1858.52</w:t>
            </w:r>
          </w:p>
        </w:tc>
        <w:tc>
          <w:tcPr>
            <w:tcW w:w="99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1858.52</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1.494</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0.030</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85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0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雅宗村</w:t>
            </w:r>
          </w:p>
        </w:tc>
        <w:tc>
          <w:tcPr>
            <w:tcW w:w="939"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379</w:t>
            </w:r>
          </w:p>
        </w:tc>
        <w:tc>
          <w:tcPr>
            <w:tcW w:w="99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3386.44</w:t>
            </w:r>
          </w:p>
        </w:tc>
        <w:tc>
          <w:tcPr>
            <w:tcW w:w="996"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3386.44</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2.722</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0.011</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0.055</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3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851"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0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小计</w:t>
            </w:r>
          </w:p>
        </w:tc>
        <w:tc>
          <w:tcPr>
            <w:tcW w:w="939"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866</w:t>
            </w:r>
          </w:p>
        </w:tc>
        <w:tc>
          <w:tcPr>
            <w:tcW w:w="99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7737.88</w:t>
            </w:r>
          </w:p>
        </w:tc>
        <w:tc>
          <w:tcPr>
            <w:tcW w:w="99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7737.88</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6.221</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0.025</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0.126</w:t>
            </w:r>
          </w:p>
        </w:tc>
        <w:tc>
          <w:tcPr>
            <w:tcW w:w="965"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91" w:type="dxa"/>
            <w:gridSpan w:val="3"/>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939"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1098</w:t>
            </w:r>
          </w:p>
        </w:tc>
        <w:tc>
          <w:tcPr>
            <w:tcW w:w="996" w:type="dxa"/>
            <w:vAlign w:val="center"/>
          </w:tcPr>
          <w:p>
            <w:pPr>
              <w:jc w:val="center"/>
              <w:rPr>
                <w:rFonts w:ascii="Times New Roman" w:hAnsi="Times New Roman" w:eastAsia="宋体"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9810.85</w:t>
            </w:r>
          </w:p>
        </w:tc>
        <w:tc>
          <w:tcPr>
            <w:tcW w:w="996" w:type="dxa"/>
            <w:vAlign w:val="center"/>
          </w:tcPr>
          <w:p>
            <w:pPr>
              <w:jc w:val="center"/>
              <w:rPr>
                <w:rFonts w:ascii="Times New Roman" w:hAnsi="Times New Roman" w:eastAsia="宋体"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9810.85</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7.887</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0.032</w:t>
            </w:r>
          </w:p>
        </w:tc>
        <w:tc>
          <w:tcPr>
            <w:tcW w:w="965"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0.160</w:t>
            </w:r>
          </w:p>
        </w:tc>
        <w:tc>
          <w:tcPr>
            <w:tcW w:w="965"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0.088</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农村生活垃圾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田边水库保护区范围内涉及1个镇、1个行政村、3个自然村，即营上镇都格村委会，涉及的3个自然村有田边村、雅宗村、费格村，共267户1098人。其中，田边村、费格村约有12户居民居住在一级保护区；雅宗村全部居民及田边村、费格村大部分居民居住在二级保护区。</w:t>
      </w:r>
    </w:p>
    <w:p>
      <w:pPr>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采用人均排污系数法核算农村生活垃圾及污染物排放量，参考第一次全国污染源普查中西南区污染物排放系数，见下表</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农村人均生活垃圾排</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系数</w:t>
      </w:r>
    </w:p>
    <w:tbl>
      <w:tblPr>
        <w:tblStyle w:val="44"/>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7"/>
        <w:gridCol w:w="1345"/>
        <w:gridCol w:w="1341"/>
        <w:gridCol w:w="1341"/>
        <w:gridCol w:w="1345"/>
        <w:gridCol w:w="13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807"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指标</w:t>
            </w:r>
          </w:p>
        </w:tc>
        <w:tc>
          <w:tcPr>
            <w:tcW w:w="1345"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生活垃圾（kg/p.d）</w:t>
            </w:r>
          </w:p>
        </w:tc>
        <w:tc>
          <w:tcPr>
            <w:tcW w:w="1341"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341"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bCs/>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-N（g/p.d）</w:t>
            </w:r>
          </w:p>
        </w:tc>
        <w:tc>
          <w:tcPr>
            <w:tcW w:w="1345"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34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807"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产生系数</w:t>
            </w:r>
          </w:p>
        </w:tc>
        <w:tc>
          <w:tcPr>
            <w:tcW w:w="1345"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0.351</w:t>
            </w:r>
          </w:p>
        </w:tc>
        <w:tc>
          <w:tcPr>
            <w:tcW w:w="1341"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35.1</w:t>
            </w:r>
          </w:p>
        </w:tc>
        <w:tc>
          <w:tcPr>
            <w:tcW w:w="1341"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1.053</w:t>
            </w:r>
          </w:p>
        </w:tc>
        <w:tc>
          <w:tcPr>
            <w:tcW w:w="1345"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1.755</w:t>
            </w:r>
          </w:p>
        </w:tc>
        <w:tc>
          <w:tcPr>
            <w:tcW w:w="134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807"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345"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0.16</w:t>
            </w:r>
          </w:p>
        </w:tc>
        <w:tc>
          <w:tcPr>
            <w:tcW w:w="1341"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15.80</w:t>
            </w:r>
          </w:p>
        </w:tc>
        <w:tc>
          <w:tcPr>
            <w:tcW w:w="1341"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0.47</w:t>
            </w:r>
          </w:p>
        </w:tc>
        <w:tc>
          <w:tcPr>
            <w:tcW w:w="1345"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0.79</w:t>
            </w:r>
          </w:p>
        </w:tc>
        <w:tc>
          <w:tcPr>
            <w:tcW w:w="134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根据现场调查了解生活垃圾收集清运情况，本次核算已建设生活垃圾收集处理设施的村落生活垃圾收集处理率取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人口统计结果及排污系数计算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生活垃圾、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、氨氮、总氮、总磷排放量分别为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64.12 </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6.332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0.188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0.317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0.128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范围内农村生活垃圾污染物排放量</w:t>
      </w:r>
    </w:p>
    <w:tbl>
      <w:tblPr>
        <w:tblStyle w:val="44"/>
        <w:tblW w:w="9637" w:type="dxa"/>
        <w:jc w:val="center"/>
        <w:tblInd w:w="-1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732"/>
        <w:gridCol w:w="1178"/>
        <w:gridCol w:w="939"/>
        <w:gridCol w:w="966"/>
        <w:gridCol w:w="966"/>
        <w:gridCol w:w="966"/>
        <w:gridCol w:w="966"/>
        <w:gridCol w:w="966"/>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992"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732"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1178"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9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96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2"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一级保护区</w:t>
            </w:r>
          </w:p>
        </w:tc>
        <w:tc>
          <w:tcPr>
            <w:tcW w:w="732"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都格村</w:t>
            </w:r>
          </w:p>
        </w:tc>
        <w:tc>
          <w:tcPr>
            <w:tcW w:w="117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田边村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 xml:space="preserve">25 </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1.46</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1.46</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0.144</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0.004</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0.007</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2"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732"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7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费格村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 xml:space="preserve">207 </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12.09</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12.09</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1.194</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0.036</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0.060</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2"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732"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7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小计</w:t>
            </w:r>
          </w:p>
        </w:tc>
        <w:tc>
          <w:tcPr>
            <w:tcW w:w="939" w:type="dxa"/>
            <w:vAlign w:val="bottom"/>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232</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13.55</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13.55</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1.338</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0.040</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0.067</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2"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二级保护区</w:t>
            </w:r>
          </w:p>
        </w:tc>
        <w:tc>
          <w:tcPr>
            <w:tcW w:w="732"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都格村</w:t>
            </w:r>
          </w:p>
        </w:tc>
        <w:tc>
          <w:tcPr>
            <w:tcW w:w="117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田边村</w:t>
            </w:r>
          </w:p>
        </w:tc>
        <w:tc>
          <w:tcPr>
            <w:tcW w:w="939"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279</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16.29</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16.29</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1.609</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0.048</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0.080</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2"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732"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7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费格村</w:t>
            </w:r>
          </w:p>
        </w:tc>
        <w:tc>
          <w:tcPr>
            <w:tcW w:w="939" w:type="dxa"/>
            <w:vAlign w:val="bottom"/>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208</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12.15</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12.15</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1.200</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0.036</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0.060</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2"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732"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7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雅宗村</w:t>
            </w:r>
          </w:p>
        </w:tc>
        <w:tc>
          <w:tcPr>
            <w:tcW w:w="939"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379</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22.13</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22.13</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2.186</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0.065</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0.109</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2"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732"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7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小计</w:t>
            </w:r>
          </w:p>
        </w:tc>
        <w:tc>
          <w:tcPr>
            <w:tcW w:w="939"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866</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50.57</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50.57</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4.994</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0.149</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0.250</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02" w:type="dxa"/>
            <w:gridSpan w:val="3"/>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939" w:type="dxa"/>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1098</w:t>
            </w:r>
          </w:p>
        </w:tc>
        <w:tc>
          <w:tcPr>
            <w:tcW w:w="96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64.12</w:t>
            </w:r>
          </w:p>
        </w:tc>
        <w:tc>
          <w:tcPr>
            <w:tcW w:w="96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64.12</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6.332</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0.188</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0.317</w:t>
            </w:r>
          </w:p>
        </w:tc>
        <w:tc>
          <w:tcPr>
            <w:tcW w:w="966" w:type="dxa"/>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0.128</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3 农业种植污染</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经统计，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内耕地面积总计为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190.48hm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122.86hm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67.63hm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。耕地种植施用大量的化肥农药，污染物流失对水源地造成污染。田边水库保护区范围内耕地面积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范围内耕地面积</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2267"/>
        <w:gridCol w:w="2265"/>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730"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保护区</w:t>
            </w:r>
          </w:p>
        </w:tc>
        <w:tc>
          <w:tcPr>
            <w:tcW w:w="2267"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旱地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2265"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水田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2260"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0"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2267" w:type="dxa"/>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26.63</w:t>
            </w:r>
          </w:p>
        </w:tc>
        <w:tc>
          <w:tcPr>
            <w:tcW w:w="2265"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26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0"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二级保护区</w:t>
            </w:r>
          </w:p>
        </w:tc>
        <w:tc>
          <w:tcPr>
            <w:tcW w:w="2267" w:type="dxa"/>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96.23</w:t>
            </w:r>
          </w:p>
        </w:tc>
        <w:tc>
          <w:tcPr>
            <w:tcW w:w="2265"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67.63</w:t>
            </w:r>
          </w:p>
        </w:tc>
        <w:tc>
          <w:tcPr>
            <w:tcW w:w="226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30"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2267" w:type="dxa"/>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122.86</w:t>
            </w:r>
          </w:p>
        </w:tc>
        <w:tc>
          <w:tcPr>
            <w:tcW w:w="2265"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67.63</w:t>
            </w:r>
          </w:p>
        </w:tc>
        <w:tc>
          <w:tcPr>
            <w:tcW w:w="226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190.48</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范围内化肥统计数据不详实，运用第一次全国污染源普查成果，使用流域内耕地面积污染流失的平均强度，并根据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的具体情况进行修正，得到旱地肥料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、总氮、总磷、氨氮的流失系数分别为1.5kg/亩、0.824kg/亩、0.095kg/亩、0.105kg/亩，水田肥料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、总氮、总磷、氨氮的流失系数分别为1.1kg/亩、1.316kg/亩、0.112kg/亩、0.194kg/亩。流失量具体见表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田边水库保护区范围</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内种植业污染排放情况</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718"/>
        <w:gridCol w:w="1720"/>
        <w:gridCol w:w="1720"/>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66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保护区</w:t>
            </w:r>
          </w:p>
        </w:tc>
        <w:tc>
          <w:tcPr>
            <w:tcW w:w="1718"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720"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720"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9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68"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1718"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0.599</w:t>
            </w:r>
          </w:p>
        </w:tc>
        <w:tc>
          <w:tcPr>
            <w:tcW w:w="172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0.042</w:t>
            </w:r>
          </w:p>
        </w:tc>
        <w:tc>
          <w:tcPr>
            <w:tcW w:w="172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0.329</w:t>
            </w:r>
          </w:p>
        </w:tc>
        <w:tc>
          <w:tcPr>
            <w:tcW w:w="1696"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68"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二级保护区</w:t>
            </w:r>
          </w:p>
        </w:tc>
        <w:tc>
          <w:tcPr>
            <w:tcW w:w="1718"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3.281</w:t>
            </w:r>
          </w:p>
        </w:tc>
        <w:tc>
          <w:tcPr>
            <w:tcW w:w="172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0.348</w:t>
            </w:r>
          </w:p>
        </w:tc>
        <w:tc>
          <w:tcPr>
            <w:tcW w:w="172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2.524</w:t>
            </w:r>
          </w:p>
        </w:tc>
        <w:tc>
          <w:tcPr>
            <w:tcW w:w="1696"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68"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1718"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3.880</w:t>
            </w:r>
          </w:p>
        </w:tc>
        <w:tc>
          <w:tcPr>
            <w:tcW w:w="172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0.390</w:t>
            </w:r>
          </w:p>
        </w:tc>
        <w:tc>
          <w:tcPr>
            <w:tcW w:w="172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2.853</w:t>
            </w:r>
          </w:p>
        </w:tc>
        <w:tc>
          <w:tcPr>
            <w:tcW w:w="1696"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0.289</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100" w:name="_Toc10729984"/>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4 畜禽养殖污染</w:t>
      </w:r>
      <w:bookmarkEnd w:id="100"/>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经统计，田边水库保护区年末出栏肉猪2333头、肉牛85头、肉羊266头。其中，少部分畜禽养殖在一级保护区，约肉猪487头、肉牛20头、肉羊51头；大部分分布在二级保护区。</w:t>
      </w:r>
    </w:p>
    <w:p>
      <w:pPr>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畜禽养殖污染物产生量计算采用产污系数法，其中粪便、尿液量产生系数参照《农业农村部办公厅关于做好畜禽粪污资源化跟踪监测工作的通知（农办牧〔2018〕28号）》中肉猪、肉牛、肉鸡、肉羊标准；COD、NH</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-N、TN、TP产生系数以《第一次全国污染源普查畜禽养殖产排污系数手册》（2008年）西南地区相关参数为依据，大牲畜选用肉牛育肥标准、猪选用生猪育肥标准、家禽采用肉鸡标准，畜禽养殖产污系数见表2.7-7。</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畜禽养殖污染产生量计算系数</w:t>
      </w:r>
    </w:p>
    <w:tbl>
      <w:tblPr>
        <w:tblStyle w:val="44"/>
        <w:tblW w:w="8522" w:type="dxa"/>
        <w:jc w:val="center"/>
        <w:tblInd w:w="0" w:type="dxa"/>
        <w:tblLayout w:type="fixed"/>
        <w:tblCellMar>
          <w:top w:w="0" w:type="dxa"/>
          <w:left w:w="108" w:type="dxa"/>
          <w:bottom w:w="0" w:type="dxa"/>
          <w:right w:w="108" w:type="dxa"/>
        </w:tblCellMar>
      </w:tblPr>
      <w:tblGrid>
        <w:gridCol w:w="1283"/>
        <w:gridCol w:w="1447"/>
        <w:gridCol w:w="1239"/>
        <w:gridCol w:w="1198"/>
        <w:gridCol w:w="1093"/>
        <w:gridCol w:w="1047"/>
        <w:gridCol w:w="1215"/>
      </w:tblGrid>
      <w:tr>
        <w:tblPrEx>
          <w:tblLayout w:type="fixed"/>
          <w:tblCellMar>
            <w:top w:w="0" w:type="dxa"/>
            <w:left w:w="108" w:type="dxa"/>
            <w:bottom w:w="0" w:type="dxa"/>
            <w:right w:w="108" w:type="dxa"/>
          </w:tblCellMar>
        </w:tblPrEx>
        <w:trPr>
          <w:trHeight w:val="340" w:hRule="atLeast"/>
          <w:tblHeader/>
          <w:jc w:val="center"/>
        </w:trPr>
        <w:tc>
          <w:tcPr>
            <w:tcW w:w="128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种类</w:t>
            </w:r>
          </w:p>
        </w:tc>
        <w:tc>
          <w:tcPr>
            <w:tcW w:w="144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粪便</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23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尿液量</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198"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093"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NH</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04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215"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r>
      <w:tr>
        <w:tblPrEx>
          <w:tblLayout w:type="fixed"/>
          <w:tblCellMar>
            <w:top w:w="0" w:type="dxa"/>
            <w:left w:w="108" w:type="dxa"/>
            <w:bottom w:w="0" w:type="dxa"/>
            <w:right w:w="108" w:type="dxa"/>
          </w:tblCellMar>
        </w:tblPrEx>
        <w:trPr>
          <w:trHeight w:val="340" w:hRule="atLeast"/>
          <w:jc w:val="center"/>
        </w:trPr>
        <w:tc>
          <w:tcPr>
            <w:tcW w:w="128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大牲畜</w:t>
            </w:r>
          </w:p>
        </w:tc>
        <w:tc>
          <w:tcPr>
            <w:tcW w:w="14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12.1</w:t>
            </w:r>
          </w:p>
        </w:tc>
        <w:tc>
          <w:tcPr>
            <w:tcW w:w="12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8.32</w:t>
            </w:r>
          </w:p>
        </w:tc>
        <w:tc>
          <w:tcPr>
            <w:tcW w:w="11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2235.21</w:t>
            </w:r>
          </w:p>
        </w:tc>
        <w:tc>
          <w:tcPr>
            <w:tcW w:w="10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72.87</w:t>
            </w:r>
          </w:p>
        </w:tc>
        <w:tc>
          <w:tcPr>
            <w:tcW w:w="10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104.1</w:t>
            </w:r>
          </w:p>
        </w:tc>
        <w:tc>
          <w:tcPr>
            <w:tcW w:w="12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10.17</w:t>
            </w:r>
          </w:p>
        </w:tc>
      </w:tr>
      <w:tr>
        <w:tblPrEx>
          <w:tblLayout w:type="fixed"/>
          <w:tblCellMar>
            <w:top w:w="0" w:type="dxa"/>
            <w:left w:w="108" w:type="dxa"/>
            <w:bottom w:w="0" w:type="dxa"/>
            <w:right w:w="108" w:type="dxa"/>
          </w:tblCellMar>
        </w:tblPrEx>
        <w:trPr>
          <w:trHeight w:val="340" w:hRule="atLeast"/>
          <w:jc w:val="center"/>
        </w:trPr>
        <w:tc>
          <w:tcPr>
            <w:tcW w:w="128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猪</w:t>
            </w:r>
          </w:p>
        </w:tc>
        <w:tc>
          <w:tcPr>
            <w:tcW w:w="14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2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2.53</w:t>
            </w:r>
          </w:p>
        </w:tc>
        <w:tc>
          <w:tcPr>
            <w:tcW w:w="11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403.67</w:t>
            </w:r>
          </w:p>
        </w:tc>
        <w:tc>
          <w:tcPr>
            <w:tcW w:w="10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13.818</w:t>
            </w:r>
          </w:p>
        </w:tc>
        <w:tc>
          <w:tcPr>
            <w:tcW w:w="10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19.74</w:t>
            </w:r>
          </w:p>
        </w:tc>
        <w:tc>
          <w:tcPr>
            <w:tcW w:w="12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4.84</w:t>
            </w:r>
          </w:p>
        </w:tc>
      </w:tr>
      <w:tr>
        <w:tblPrEx>
          <w:tblLayout w:type="fixed"/>
          <w:tblCellMar>
            <w:top w:w="0" w:type="dxa"/>
            <w:left w:w="108" w:type="dxa"/>
            <w:bottom w:w="0" w:type="dxa"/>
            <w:right w:w="108" w:type="dxa"/>
          </w:tblCellMar>
        </w:tblPrEx>
        <w:trPr>
          <w:trHeight w:val="340" w:hRule="atLeast"/>
          <w:jc w:val="center"/>
        </w:trPr>
        <w:tc>
          <w:tcPr>
            <w:tcW w:w="128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羊</w:t>
            </w:r>
          </w:p>
        </w:tc>
        <w:tc>
          <w:tcPr>
            <w:tcW w:w="14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0.69</w:t>
            </w:r>
          </w:p>
        </w:tc>
        <w:tc>
          <w:tcPr>
            <w:tcW w:w="12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0.41</w:t>
            </w:r>
          </w:p>
        </w:tc>
        <w:tc>
          <w:tcPr>
            <w:tcW w:w="11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45.014</w:t>
            </w:r>
          </w:p>
        </w:tc>
        <w:tc>
          <w:tcPr>
            <w:tcW w:w="10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2.186</w:t>
            </w:r>
          </w:p>
        </w:tc>
        <w:tc>
          <w:tcPr>
            <w:tcW w:w="10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3.123</w:t>
            </w:r>
          </w:p>
        </w:tc>
        <w:tc>
          <w:tcPr>
            <w:tcW w:w="12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1.233</w:t>
            </w:r>
          </w:p>
        </w:tc>
      </w:tr>
      <w:tr>
        <w:tblPrEx>
          <w:tblLayout w:type="fixed"/>
          <w:tblCellMar>
            <w:top w:w="0" w:type="dxa"/>
            <w:left w:w="108" w:type="dxa"/>
            <w:bottom w:w="0" w:type="dxa"/>
            <w:right w:w="108" w:type="dxa"/>
          </w:tblCellMar>
        </w:tblPrEx>
        <w:trPr>
          <w:trHeight w:val="340" w:hRule="atLeast"/>
          <w:jc w:val="center"/>
        </w:trPr>
        <w:tc>
          <w:tcPr>
            <w:tcW w:w="128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家禽</w:t>
            </w:r>
          </w:p>
        </w:tc>
        <w:tc>
          <w:tcPr>
            <w:tcW w:w="14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c>
          <w:tcPr>
            <w:tcW w:w="12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13.05</w:t>
            </w:r>
          </w:p>
        </w:tc>
        <w:tc>
          <w:tcPr>
            <w:tcW w:w="10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0.497</w:t>
            </w:r>
          </w:p>
        </w:tc>
        <w:tc>
          <w:tcPr>
            <w:tcW w:w="104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0.71</w:t>
            </w:r>
          </w:p>
        </w:tc>
        <w:tc>
          <w:tcPr>
            <w:tcW w:w="121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专业户污染排污系数根据《第一次全国污染源普查畜禽养殖产排污系数手册》（2008年）西南地区相关参数为依据，大牲畜选用肉牛育肥标准、猪选用生猪育肥标准，选取西南地区干清粪工艺系数。畜禽养殖污染物排放经村落环境综合整治，散养流失粪尿土壤净化槽、氧化塘湿地等各种处理工艺处理，确定</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本次核算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综合削减率约为88%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污染物外排量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为化学需氧量</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50.095</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氨氮1.709</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总氮2.441</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总磷0.547</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2.7-8</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田边水库保护区范围内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养殖污染排放情况统计</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1668"/>
        <w:gridCol w:w="1669"/>
        <w:gridCol w:w="1669"/>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84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668"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6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69"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69"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47"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一级保护区</w:t>
            </w:r>
          </w:p>
        </w:tc>
        <w:tc>
          <w:tcPr>
            <w:tcW w:w="1668"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10.669</w:t>
            </w:r>
          </w:p>
        </w:tc>
        <w:tc>
          <w:tcPr>
            <w:tcW w:w="1669"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0.363</w:t>
            </w:r>
          </w:p>
        </w:tc>
        <w:tc>
          <w:tcPr>
            <w:tcW w:w="1669"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0.519</w:t>
            </w:r>
          </w:p>
        </w:tc>
        <w:tc>
          <w:tcPr>
            <w:tcW w:w="1669"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47"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二级保护区</w:t>
            </w:r>
          </w:p>
        </w:tc>
        <w:tc>
          <w:tcPr>
            <w:tcW w:w="1668"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39.426</w:t>
            </w:r>
          </w:p>
        </w:tc>
        <w:tc>
          <w:tcPr>
            <w:tcW w:w="1669"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1.345</w:t>
            </w:r>
          </w:p>
        </w:tc>
        <w:tc>
          <w:tcPr>
            <w:tcW w:w="1669"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1.922</w:t>
            </w:r>
          </w:p>
        </w:tc>
        <w:tc>
          <w:tcPr>
            <w:tcW w:w="1669"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47"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1668"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50.095</w:t>
            </w:r>
          </w:p>
        </w:tc>
        <w:tc>
          <w:tcPr>
            <w:tcW w:w="1669"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1.709</w:t>
            </w:r>
          </w:p>
        </w:tc>
        <w:tc>
          <w:tcPr>
            <w:tcW w:w="1669"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2.441</w:t>
            </w:r>
          </w:p>
        </w:tc>
        <w:tc>
          <w:tcPr>
            <w:tcW w:w="1669" w:type="dxa"/>
            <w:vAlign w:val="bottom"/>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0.547</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5 水土流失污染</w:t>
      </w:r>
    </w:p>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（1）水土流失现状测算方法</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目前云南省现有的水土流失现状图为2015年遥测成果，本区划通过对保护区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进行卫星影像解译，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获取植被覆盖度矢量数据，并结合区域地形坡度矢量数据和土地利用现状矢量数据，根据《土壤侵蚀分类分级标准》（SL190-2007）对径流区内不同地类、不同植被覆盖度和不同坡度进行土壤侵蚀分级，分级依据详见下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.7-9。</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2.7-9</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bookmarkStart w:id="101" w:name="_Hlk527891143"/>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不同地面坡度条件下土壤侵蚀等级</w:t>
      </w:r>
      <w:bookmarkEnd w:id="101"/>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154"/>
        <w:gridCol w:w="978"/>
        <w:gridCol w:w="982"/>
        <w:gridCol w:w="1156"/>
        <w:gridCol w:w="1307"/>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793" w:type="dxa"/>
            <w:gridSpan w:val="2"/>
            <w:tcBorders>
              <w:bottom w:val="single" w:color="auto" w:sz="4" w:space="0"/>
              <w:tl2br w:val="single" w:color="auto" w:sz="4" w:space="0"/>
            </w:tcBorders>
            <w:shd w:val="clear" w:color="auto" w:fill="D8D8D8" w:themeFill="background1" w:themeFillShade="D9"/>
          </w:tcPr>
          <w:p>
            <w:pPr>
              <w:widowControl/>
              <w:snapToGrid w:val="0"/>
              <w:jc w:val="right"/>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地面坡度(°)</w:t>
            </w:r>
          </w:p>
          <w:p>
            <w:pPr>
              <w:widowControl/>
              <w:snapToGrid w:val="0"/>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地类</w:t>
            </w:r>
          </w:p>
        </w:tc>
        <w:tc>
          <w:tcPr>
            <w:tcW w:w="97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p>
        </w:tc>
        <w:tc>
          <w:tcPr>
            <w:tcW w:w="982"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~15</w:t>
            </w:r>
          </w:p>
        </w:tc>
        <w:tc>
          <w:tcPr>
            <w:tcW w:w="1156"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5~25</w:t>
            </w:r>
          </w:p>
        </w:tc>
        <w:tc>
          <w:tcPr>
            <w:tcW w:w="1307"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5~35</w:t>
            </w:r>
          </w:p>
        </w:tc>
        <w:tc>
          <w:tcPr>
            <w:tcW w:w="1306"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39"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非耕地</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林草盖度</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154"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c>
          <w:tcPr>
            <w:tcW w:w="3116" w:type="dxa"/>
            <w:gridSpan w:val="3"/>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613" w:type="dxa"/>
            <w:gridSpan w:val="2"/>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3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54"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c>
          <w:tcPr>
            <w:tcW w:w="978" w:type="dxa"/>
            <w:tcBorders>
              <w:top w:val="nil"/>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w:t>
            </w:r>
          </w:p>
        </w:tc>
        <w:tc>
          <w:tcPr>
            <w:tcW w:w="982" w:type="dxa"/>
            <w:tcBorders>
              <w:top w:val="nil"/>
              <w:left w:val="nil"/>
              <w:bottom w:val="single" w:color="auto" w:sz="4" w:space="0"/>
              <w:right w:val="single" w:color="auto" w:sz="4" w:space="0"/>
            </w:tcBorders>
            <w:vAlign w:val="center"/>
          </w:tcPr>
          <w:p>
            <w:pPr>
              <w:widowControl/>
              <w:snapToGrid w:val="0"/>
              <w:ind w:firstLine="120" w:firstLineChars="5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156" w:type="dxa"/>
            <w:tcBorders>
              <w:top w:val="single" w:color="auto" w:sz="4" w:space="0"/>
              <w:left w:val="single" w:color="auto" w:sz="4" w:space="0"/>
              <w:bottom w:val="nil"/>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6"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3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54"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c>
          <w:tcPr>
            <w:tcW w:w="978"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982" w:type="dxa"/>
            <w:tcBorders>
              <w:top w:val="single" w:color="auto" w:sz="4" w:space="0"/>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w:t>
            </w:r>
          </w:p>
        </w:tc>
        <w:tc>
          <w:tcPr>
            <w:tcW w:w="1156"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307"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306"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3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54" w:type="dxa"/>
            <w:tcBorders>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978" w:type="dxa"/>
            <w:tcBorders>
              <w:top w:val="single" w:color="auto" w:sz="4" w:space="0"/>
              <w:left w:val="single" w:color="auto" w:sz="4" w:space="0"/>
              <w:bottom w:val="single" w:color="auto" w:sz="4" w:space="0"/>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982"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56" w:type="dxa"/>
            <w:vMerge w:val="restart"/>
            <w:tcBorders>
              <w:top w:val="single" w:color="auto" w:sz="4" w:space="0"/>
              <w:left w:val="single" w:color="auto" w:sz="4" w:space="0"/>
              <w:bottom w:val="nil"/>
              <w:right w:val="single" w:color="auto" w:sz="4" w:space="0"/>
            </w:tcBorders>
            <w:vAlign w:val="center"/>
          </w:tcPr>
          <w:p>
            <w:pPr>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307"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极剧烈</w:t>
            </w:r>
          </w:p>
        </w:tc>
        <w:tc>
          <w:tcPr>
            <w:tcW w:w="1306"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793" w:type="dxa"/>
            <w:gridSpan w:val="2"/>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坡耕地</w:t>
            </w:r>
          </w:p>
        </w:tc>
        <w:tc>
          <w:tcPr>
            <w:tcW w:w="978"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轻度</w:t>
            </w:r>
          </w:p>
        </w:tc>
        <w:tc>
          <w:tcPr>
            <w:tcW w:w="982"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中度</w:t>
            </w:r>
          </w:p>
        </w:tc>
        <w:tc>
          <w:tcPr>
            <w:tcW w:w="1156"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6"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利用GIS技术，对保护区范围进行土壤侵蚀分级后，结合富源县土壤侵蚀情况，确定各侵蚀强度、坡度和地类情景下的土壤侵蚀模数，从而计算田边水库的平均侵蚀模数和年均土壤流失量。区域土壤侵蚀模数分级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.7-10。</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不同土壤侵蚀等级的土壤侵蚀模数</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1088"/>
        <w:gridCol w:w="1088"/>
        <w:gridCol w:w="1458"/>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18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土地利用类型</w:t>
            </w:r>
          </w:p>
        </w:tc>
        <w:tc>
          <w:tcPr>
            <w:tcW w:w="108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坡度</w:t>
            </w:r>
          </w:p>
        </w:tc>
        <w:tc>
          <w:tcPr>
            <w:tcW w:w="108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土壤侵蚀等级</w:t>
            </w:r>
          </w:p>
        </w:tc>
        <w:tc>
          <w:tcPr>
            <w:tcW w:w="145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土壤侵蚀模数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269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有林地</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269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灌木林地</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疏林地</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果园</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269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vMerge w:val="continue"/>
            <w:shd w:val="clear" w:color="auto" w:fill="auto"/>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荒草地</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269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5~15°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15°~35°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旱地（坡）</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独立工可用地</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269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5~8°</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8°~25°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2699"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灌溉水田梯坪地</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269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林草覆盖度一般＜30%，坡度一般小于5°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shd w:val="clear" w:color="auto" w:fill="auto"/>
            <w:vAlign w:val="center"/>
          </w:tcPr>
          <w:p>
            <w:pPr>
              <w:widowControl/>
              <w:ind w:left="-141" w:leftChars="-67" w:right="-101" w:rightChars="-48"/>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水域及水利设施用地</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269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8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村镇建设用地</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269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（2）田边水库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范围内水土流失现状</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根据解译成果，</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范围总面积</w:t>
      </w:r>
      <w:bookmarkStart w:id="102" w:name="_Hlk203479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368.29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bookmarkEnd w:id="102"/>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，其中无明显侵蚀面积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113.20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30.74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255.09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69.26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%，其中轻度侵蚀面积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141.31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55.39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59.38h</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23.28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44.91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17.61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极强烈侵蚀面积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9.49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3.72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采用加权平均法计算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土壤侵蚀模数为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1977.17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t/（km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•a）</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年均土壤流失量约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7281.82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t/a。</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田边水库保护区范围内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土壤侵蚀现状统计表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52"/>
        <w:gridCol w:w="1127"/>
        <w:gridCol w:w="1628"/>
        <w:gridCol w:w="1375"/>
        <w:gridCol w:w="1379"/>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4227" w:type="dxa"/>
            <w:gridSpan w:val="4"/>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w:t>
            </w:r>
          </w:p>
        </w:tc>
        <w:tc>
          <w:tcPr>
            <w:tcW w:w="4295" w:type="dxa"/>
            <w:gridSpan w:val="3"/>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田边水库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4227" w:type="dxa"/>
            <w:gridSpan w:val="4"/>
            <w:vMerge w:val="continue"/>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375"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一级保护区</w:t>
            </w:r>
          </w:p>
        </w:tc>
        <w:tc>
          <w:tcPr>
            <w:tcW w:w="137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二级保护区</w:t>
            </w:r>
          </w:p>
        </w:tc>
        <w:tc>
          <w:tcPr>
            <w:tcW w:w="1541"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227"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42.01</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326.29</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599" w:type="dxa"/>
            <w:gridSpan w:val="3"/>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无明显侵蚀</w:t>
            </w: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14.19</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99.01</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599" w:type="dxa"/>
            <w:gridSpan w:val="3"/>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33.79</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30.34</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20"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土壤侵蚀</w:t>
            </w:r>
          </w:p>
        </w:tc>
        <w:tc>
          <w:tcPr>
            <w:tcW w:w="1879" w:type="dxa"/>
            <w:gridSpan w:val="2"/>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总体情况</w:t>
            </w: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27.81</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227.28</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79" w:type="dxa"/>
            <w:gridSpan w:val="2"/>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66.21</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69.66</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强度分级</w:t>
            </w:r>
          </w:p>
        </w:tc>
        <w:tc>
          <w:tcPr>
            <w:tcW w:w="1127"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轻度流失</w:t>
            </w: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4.97</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136.24</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17.87</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59.99</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7"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中度流失</w:t>
            </w: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9.71</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49.67</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34.92</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21.86</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7"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11.10</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33.81</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39.93</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14.88</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7" w:type="dxa"/>
            <w:vMerge w:val="restart"/>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2.03</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7.46</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20"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752"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27"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62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7.29</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3.28</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227"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3321.19</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1804.14</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1977.17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227"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年均土壤流失量（t/a）</w:t>
            </w:r>
          </w:p>
        </w:tc>
        <w:tc>
          <w:tcPr>
            <w:tcW w:w="1375"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1395.10</w:t>
            </w:r>
          </w:p>
        </w:tc>
        <w:tc>
          <w:tcPr>
            <w:tcW w:w="137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5886.71</w:t>
            </w:r>
          </w:p>
        </w:tc>
        <w:tc>
          <w:tcPr>
            <w:tcW w:w="154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7281.82</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（3）水土流失污染物入库量</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田边水库保护区内水土流失现状，对保护区范围内的土壤氮磷含量进行综合分析，流失土壤中总氮含量取1.32g/kg，总磷含量取19.30mg/kg，化学需氧量含量取2.13%，按照20%的淋溶率计算水土流失污染物入库量。田边水库保护区范围内水土流失污染物入库量，如下表2.7-12。</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田边水库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水土流失入库量估算</w:t>
      </w:r>
    </w:p>
    <w:tbl>
      <w:tblPr>
        <w:tblStyle w:val="44"/>
        <w:tblW w:w="8522" w:type="dxa"/>
        <w:tblInd w:w="0" w:type="dxa"/>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
      <w:tblGrid>
        <w:gridCol w:w="1580"/>
        <w:gridCol w:w="1805"/>
        <w:gridCol w:w="1698"/>
        <w:gridCol w:w="1186"/>
        <w:gridCol w:w="1186"/>
        <w:gridCol w:w="1067"/>
      </w:tblGrid>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blHeader/>
        </w:trPr>
        <w:tc>
          <w:tcPr>
            <w:tcW w:w="158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1805"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169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年均土壤流失量（t/a）</w:t>
            </w:r>
          </w:p>
        </w:tc>
        <w:tc>
          <w:tcPr>
            <w:tcW w:w="1186"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COD</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186"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TN</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067"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TP</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58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180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3321.19</w:t>
            </w:r>
          </w:p>
        </w:tc>
        <w:tc>
          <w:tcPr>
            <w:tcW w:w="1698"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1395.10</w:t>
            </w:r>
          </w:p>
        </w:tc>
        <w:tc>
          <w:tcPr>
            <w:tcW w:w="1186"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5.943</w:t>
            </w:r>
          </w:p>
        </w:tc>
        <w:tc>
          <w:tcPr>
            <w:tcW w:w="11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0.368</w:t>
            </w:r>
          </w:p>
        </w:tc>
        <w:tc>
          <w:tcPr>
            <w:tcW w:w="1067"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0.005</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58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二级保护区</w:t>
            </w:r>
          </w:p>
        </w:tc>
        <w:tc>
          <w:tcPr>
            <w:tcW w:w="180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1804.14</w:t>
            </w:r>
          </w:p>
        </w:tc>
        <w:tc>
          <w:tcPr>
            <w:tcW w:w="1698"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5886.71</w:t>
            </w:r>
          </w:p>
        </w:tc>
        <w:tc>
          <w:tcPr>
            <w:tcW w:w="1186"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25.077</w:t>
            </w:r>
          </w:p>
        </w:tc>
        <w:tc>
          <w:tcPr>
            <w:tcW w:w="11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1.554</w:t>
            </w:r>
          </w:p>
        </w:tc>
        <w:tc>
          <w:tcPr>
            <w:tcW w:w="1067"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0.023</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58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80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1977.17</w:t>
            </w:r>
          </w:p>
        </w:tc>
        <w:tc>
          <w:tcPr>
            <w:tcW w:w="1698"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7281.82</w:t>
            </w:r>
          </w:p>
        </w:tc>
        <w:tc>
          <w:tcPr>
            <w:tcW w:w="1186"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31.021</w:t>
            </w:r>
          </w:p>
        </w:tc>
        <w:tc>
          <w:tcPr>
            <w:tcW w:w="1186"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1.922</w:t>
            </w:r>
          </w:p>
        </w:tc>
        <w:tc>
          <w:tcPr>
            <w:tcW w:w="106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0.028</w:t>
            </w:r>
          </w:p>
        </w:tc>
      </w:tr>
    </w:tbl>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03" w:name="_Toc18506528"/>
      <w:bookmarkStart w:id="104" w:name="_Toc27489887"/>
      <w:bookmarkStart w:id="105" w:name="_Toc2567906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bookmarkEnd w:id="103"/>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流动源</w:t>
      </w:r>
      <w:bookmarkEnd w:id="104"/>
      <w:bookmarkEnd w:id="10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连接各自然村的道路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田边村、雅宗村、费格村等自然村间客流和物流的主要交通干线。客运车辆主要有面包车、小轿车和摩托车等载人出入，货运主要运输农副产品和日常生活用品，客运和货运量较小。其中，一级保护内乡村道路穿越路段长约1.25km；二级保护区内乡村道路道路长约2.62km。经调查访谈，保护区内道路</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未发现有运输危险化学品的车辆通行；由于所在地周边无大型种植户，农民使用农药多为零售、小剂量包装，运输车辆携带农药并破损泼洒至水体的概率很小，主要考虑机动车事故泄漏燃油风险。</w:t>
      </w:r>
    </w:p>
    <w:bookmarkEnd w:id="94"/>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06" w:name="_Toc18506529"/>
      <w:bookmarkStart w:id="107" w:name="_Toc25679064"/>
      <w:bookmarkStart w:id="108" w:name="_Toc27489888"/>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4</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污染源汇总</w:t>
      </w:r>
      <w:bookmarkEnd w:id="106"/>
      <w:bookmarkEnd w:id="107"/>
      <w:bookmarkEnd w:id="108"/>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综合以上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统计分析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，田边水库各级保护区内各类污染源情况见表2.7-13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从各级保护区分析，二级保护区内化学需氧量、氨氮、总氮、总磷排放量占比较大，在70%以上。一级保护区内各类污染物排放量在17.12%~20.38%之间。二级保护区内污染源分布较多，污染物排放量较大。</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从各污染源分析，在一级保护区，化学需氧量主要污染源是畜禽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养殖</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、水土流失，贡献率分别达到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52.78%、29.40%；氨氮主要污染源是畜禽养殖，贡献率为80.42%；总氮主要污染源是畜禽养殖、水土流失，贡献率分别达到39.41%、27.96%；总磷主要污染源是畜禽养殖、农业种植，贡献率分别达到56.34%、18.60%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二级保护区，化学需氧量主要污染源是畜禽养殖、水土流失，贡献率分别达到49.91%、31.74%；氨氮主要污染源是畜禽养殖、农业种植，贡献率分别达到72.04%、18.65%；总氮主要污染源是农业种植、畜禽养殖，贡献率分别达到39.59%、30.14%；总磷主要污染源是畜禽养殖、农业种植，贡献率分别达到49.30%、28.62%。</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综上分析，田边水库保护区范围内水污染防治重点为种养殖、水土流失，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其次是农村生活污染源。</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田边水库保护区范围内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汇总</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733"/>
        <w:gridCol w:w="1450"/>
        <w:gridCol w:w="1606"/>
        <w:gridCol w:w="1258"/>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blHeader/>
        </w:trPr>
        <w:tc>
          <w:tcPr>
            <w:tcW w:w="1243"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733"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污染源构成</w:t>
            </w:r>
          </w:p>
        </w:tc>
        <w:tc>
          <w:tcPr>
            <w:tcW w:w="1450"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COD（t/a）</w:t>
            </w:r>
          </w:p>
        </w:tc>
        <w:tc>
          <w:tcPr>
            <w:tcW w:w="1606"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-N（t/a）</w:t>
            </w:r>
          </w:p>
        </w:tc>
        <w:tc>
          <w:tcPr>
            <w:tcW w:w="125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TN（t/a）</w:t>
            </w:r>
          </w:p>
        </w:tc>
        <w:tc>
          <w:tcPr>
            <w:tcW w:w="1232"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一级保护区</w:t>
            </w: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450"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1.667</w:t>
            </w:r>
          </w:p>
        </w:tc>
        <w:tc>
          <w:tcPr>
            <w:tcW w:w="160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0.007</w:t>
            </w:r>
          </w:p>
        </w:tc>
        <w:tc>
          <w:tcPr>
            <w:tcW w:w="12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0.034</w:t>
            </w:r>
          </w:p>
        </w:tc>
        <w:tc>
          <w:tcPr>
            <w:tcW w:w="123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450"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1.338</w:t>
            </w:r>
          </w:p>
        </w:tc>
        <w:tc>
          <w:tcPr>
            <w:tcW w:w="160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0.040</w:t>
            </w:r>
          </w:p>
        </w:tc>
        <w:tc>
          <w:tcPr>
            <w:tcW w:w="12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0.067</w:t>
            </w:r>
          </w:p>
        </w:tc>
        <w:tc>
          <w:tcPr>
            <w:tcW w:w="123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450"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0.599</w:t>
            </w:r>
          </w:p>
        </w:tc>
        <w:tc>
          <w:tcPr>
            <w:tcW w:w="1606" w:type="dxa"/>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0.042</w:t>
            </w:r>
          </w:p>
        </w:tc>
        <w:tc>
          <w:tcPr>
            <w:tcW w:w="1258" w:type="dxa"/>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0.329</w:t>
            </w:r>
          </w:p>
        </w:tc>
        <w:tc>
          <w:tcPr>
            <w:tcW w:w="1232" w:type="dxa"/>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450"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10.669</w:t>
            </w:r>
          </w:p>
        </w:tc>
        <w:tc>
          <w:tcPr>
            <w:tcW w:w="160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0.363</w:t>
            </w:r>
          </w:p>
        </w:tc>
        <w:tc>
          <w:tcPr>
            <w:tcW w:w="12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0.519</w:t>
            </w:r>
          </w:p>
        </w:tc>
        <w:tc>
          <w:tcPr>
            <w:tcW w:w="123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450" w:type="dxa"/>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5.943</w:t>
            </w:r>
          </w:p>
        </w:tc>
        <w:tc>
          <w:tcPr>
            <w:tcW w:w="160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0.368</w:t>
            </w:r>
          </w:p>
        </w:tc>
        <w:tc>
          <w:tcPr>
            <w:tcW w:w="123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450"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20.216</w:t>
            </w:r>
          </w:p>
        </w:tc>
        <w:tc>
          <w:tcPr>
            <w:tcW w:w="1606"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0.452</w:t>
            </w:r>
          </w:p>
        </w:tc>
        <w:tc>
          <w:tcPr>
            <w:tcW w:w="125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1.317</w:t>
            </w:r>
          </w:p>
        </w:tc>
        <w:tc>
          <w:tcPr>
            <w:tcW w:w="1232"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二级保护区</w:t>
            </w: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450"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6.221</w:t>
            </w:r>
          </w:p>
        </w:tc>
        <w:tc>
          <w:tcPr>
            <w:tcW w:w="160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0.025</w:t>
            </w:r>
          </w:p>
        </w:tc>
        <w:tc>
          <w:tcPr>
            <w:tcW w:w="12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0.126</w:t>
            </w:r>
          </w:p>
        </w:tc>
        <w:tc>
          <w:tcPr>
            <w:tcW w:w="123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450"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4.994</w:t>
            </w:r>
          </w:p>
        </w:tc>
        <w:tc>
          <w:tcPr>
            <w:tcW w:w="160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0.149</w:t>
            </w:r>
          </w:p>
        </w:tc>
        <w:tc>
          <w:tcPr>
            <w:tcW w:w="12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0.250</w:t>
            </w:r>
          </w:p>
        </w:tc>
        <w:tc>
          <w:tcPr>
            <w:tcW w:w="123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450"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3.281</w:t>
            </w:r>
          </w:p>
        </w:tc>
        <w:tc>
          <w:tcPr>
            <w:tcW w:w="1606" w:type="dxa"/>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0.348</w:t>
            </w:r>
          </w:p>
        </w:tc>
        <w:tc>
          <w:tcPr>
            <w:tcW w:w="1258" w:type="dxa"/>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2.524</w:t>
            </w:r>
          </w:p>
        </w:tc>
        <w:tc>
          <w:tcPr>
            <w:tcW w:w="1232" w:type="dxa"/>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450"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39.426</w:t>
            </w:r>
          </w:p>
        </w:tc>
        <w:tc>
          <w:tcPr>
            <w:tcW w:w="160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1.345</w:t>
            </w:r>
          </w:p>
        </w:tc>
        <w:tc>
          <w:tcPr>
            <w:tcW w:w="12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1.922</w:t>
            </w:r>
          </w:p>
        </w:tc>
        <w:tc>
          <w:tcPr>
            <w:tcW w:w="123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450" w:type="dxa"/>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25.077</w:t>
            </w:r>
          </w:p>
        </w:tc>
        <w:tc>
          <w:tcPr>
            <w:tcW w:w="160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1.554</w:t>
            </w:r>
          </w:p>
        </w:tc>
        <w:tc>
          <w:tcPr>
            <w:tcW w:w="123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450"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78.999</w:t>
            </w:r>
          </w:p>
        </w:tc>
        <w:tc>
          <w:tcPr>
            <w:tcW w:w="1606"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1.868</w:t>
            </w:r>
          </w:p>
        </w:tc>
        <w:tc>
          <w:tcPr>
            <w:tcW w:w="125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6.376</w:t>
            </w:r>
          </w:p>
        </w:tc>
        <w:tc>
          <w:tcPr>
            <w:tcW w:w="1232"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保护区</w:t>
            </w: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450"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7.887</w:t>
            </w:r>
          </w:p>
        </w:tc>
        <w:tc>
          <w:tcPr>
            <w:tcW w:w="160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0.032</w:t>
            </w:r>
          </w:p>
        </w:tc>
        <w:tc>
          <w:tcPr>
            <w:tcW w:w="125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0.160</w:t>
            </w:r>
          </w:p>
        </w:tc>
        <w:tc>
          <w:tcPr>
            <w:tcW w:w="1232"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450"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6.332</w:t>
            </w:r>
          </w:p>
        </w:tc>
        <w:tc>
          <w:tcPr>
            <w:tcW w:w="160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0.188</w:t>
            </w:r>
          </w:p>
        </w:tc>
        <w:tc>
          <w:tcPr>
            <w:tcW w:w="125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0.317</w:t>
            </w:r>
          </w:p>
        </w:tc>
        <w:tc>
          <w:tcPr>
            <w:tcW w:w="1232"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450"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3.880</w:t>
            </w:r>
          </w:p>
        </w:tc>
        <w:tc>
          <w:tcPr>
            <w:tcW w:w="1606"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0.390</w:t>
            </w:r>
          </w:p>
        </w:tc>
        <w:tc>
          <w:tcPr>
            <w:tcW w:w="1258"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2.853</w:t>
            </w:r>
          </w:p>
        </w:tc>
        <w:tc>
          <w:tcPr>
            <w:tcW w:w="1232" w:type="dxa"/>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450"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50.095</w:t>
            </w:r>
          </w:p>
        </w:tc>
        <w:tc>
          <w:tcPr>
            <w:tcW w:w="160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1.709</w:t>
            </w:r>
          </w:p>
        </w:tc>
        <w:tc>
          <w:tcPr>
            <w:tcW w:w="125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2.441</w:t>
            </w:r>
          </w:p>
        </w:tc>
        <w:tc>
          <w:tcPr>
            <w:tcW w:w="1232"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450" w:type="dxa"/>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31.021</w:t>
            </w:r>
          </w:p>
        </w:tc>
        <w:tc>
          <w:tcPr>
            <w:tcW w:w="160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1.922</w:t>
            </w:r>
          </w:p>
        </w:tc>
        <w:tc>
          <w:tcPr>
            <w:tcW w:w="1232"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43"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733"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450"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99.215</w:t>
            </w:r>
          </w:p>
        </w:tc>
        <w:tc>
          <w:tcPr>
            <w:tcW w:w="1606"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2.319</w:t>
            </w:r>
          </w:p>
        </w:tc>
        <w:tc>
          <w:tcPr>
            <w:tcW w:w="125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7.694</w:t>
            </w:r>
          </w:p>
        </w:tc>
        <w:tc>
          <w:tcPr>
            <w:tcW w:w="1232"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1.080</w:t>
            </w:r>
          </w:p>
        </w:tc>
      </w:tr>
    </w:tbl>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52950" cy="2819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52950" cy="28194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田边水库各级保护区污染物贡献率分布图</w:t>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781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33900" cy="2781300"/>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7527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33900" cy="2752725"/>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田边水库各级保护区内各</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贡献率</w:t>
      </w:r>
    </w:p>
    <w:p>
      <w:pPr>
        <w:pStyle w:val="3"/>
        <w:rPr>
          <w:color w:val="0D0D0D" w:themeColor="text1" w:themeTint="F2"/>
          <w14:textFill>
            <w14:solidFill>
              <w14:schemeClr w14:val="tx1">
                <w14:lumMod w14:val="95000"/>
                <w14:lumOff w14:val="5000"/>
              </w14:schemeClr>
            </w14:solidFill>
          </w14:textFill>
        </w:rPr>
      </w:pPr>
      <w:bookmarkStart w:id="109" w:name="_Toc25162356"/>
      <w:bookmarkStart w:id="110" w:name="_Toc27489889"/>
      <w:bookmarkStart w:id="111" w:name="_Toc10723878"/>
      <w:bookmarkStart w:id="112" w:name="_Toc12456077"/>
      <w:bookmarkStart w:id="113" w:name="_Toc326180110"/>
      <w:r>
        <w:rPr>
          <w:rFonts w:hint="eastAsia"/>
          <w:color w:val="0D0D0D" w:themeColor="text1" w:themeTint="F2"/>
          <w14:textFill>
            <w14:solidFill>
              <w14:schemeClr w14:val="tx1">
                <w14:lumMod w14:val="95000"/>
                <w14:lumOff w14:val="5000"/>
              </w14:schemeClr>
            </w14:solidFill>
          </w14:textFill>
        </w:rPr>
        <w:t>2.8 饮用水水源地水环境风险分析</w:t>
      </w:r>
      <w:bookmarkEnd w:id="109"/>
      <w:bookmarkEnd w:id="110"/>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环境保护指南（试行）》要求，采用风险值定性评价方法评价田边水库饮用水水源地的环境风险。根据风险源所在保护区的影响程度和影响范围，按照固定源、流动源和非点源分别对水源存在的风险进行源项分析及评价。计算方法如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固定源：Rp=P1+P2+P3；流动源：Rf=F1+F2+F3；非点源：Ry=Y1+Y2+Y3；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式中：P、F、Y分别为固定源、流动源、非点源的评分值。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一般来说，当Rp（或Rf、Ry）≤3时，作为可接受程度的背景值；当3＜Rp（或Rf、Ry）≤7时，应采取风险防范措施；当7＜Rp（或Rf、Ry）≤9时，应采取风险预警措施；当Rp（或Rf、Ry）＞9时，应采取风险应急措施。</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评价方法根据风险源指标及评分值，按照评分值叠加法对饮用水水源保护区内风险源进行定性评价，评价结果见表2.8-1。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2.8-1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田边水库饮用水水源地环境风险评价结果</w:t>
      </w:r>
    </w:p>
    <w:tbl>
      <w:tblPr>
        <w:tblStyle w:val="4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32"/>
        <w:gridCol w:w="1980"/>
        <w:gridCol w:w="1436"/>
        <w:gridCol w:w="1043"/>
        <w:gridCol w:w="1045"/>
        <w:gridCol w:w="1048"/>
        <w:gridCol w:w="93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1032"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源</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项</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类型</w:t>
            </w:r>
          </w:p>
        </w:tc>
        <w:tc>
          <w:tcPr>
            <w:tcW w:w="1980"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风险源</w:t>
            </w:r>
          </w:p>
        </w:tc>
        <w:tc>
          <w:tcPr>
            <w:tcW w:w="2479"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一级保护区</w:t>
            </w:r>
          </w:p>
        </w:tc>
        <w:tc>
          <w:tcPr>
            <w:tcW w:w="2093"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938"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总分值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1032"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80"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3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043"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045"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048"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938"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032"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固定源（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Rp</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8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石油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化工行业（</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个</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4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03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8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垃圾</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4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03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8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危险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废弃物填埋场（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4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03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8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尾矿库</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4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03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8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加油站</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4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03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8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油品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储罐（</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4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03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8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码头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吞吐量（</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4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03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8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污/废水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处理设施（</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万吨/日</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4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032"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流动源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Rf</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98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陆运</w:t>
            </w:r>
          </w:p>
        </w:tc>
        <w:tc>
          <w:tcPr>
            <w:tcW w:w="1436" w:type="dxa"/>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L＞2r</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043" w:type="dxa"/>
            <w:tcBorders>
              <w:bottom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045" w:type="dxa"/>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L＞2r</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048" w:type="dxa"/>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938" w:type="dxa"/>
            <w:vMerge w:val="restart"/>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03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8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船舶</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3" w:type="dxa"/>
            <w:tcBorders>
              <w:top w:val="single" w:color="auto" w:sz="4" w:space="0"/>
            </w:tcBorders>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4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38" w:type="dxa"/>
            <w:vMerge w:val="continue"/>
            <w:vAlign w:val="center"/>
          </w:tcPr>
          <w:p>
            <w:pPr>
              <w:widowControl/>
              <w:adjustRightInd w:val="0"/>
              <w:snapToGrid w:val="0"/>
              <w:jc w:val="center"/>
              <w:rPr>
                <w:rFonts w:ascii="Times New Roman" w:hAnsi="Times New Roman" w:eastAsia="仿宋"/>
                <w:color w:val="0D0D0D" w:themeColor="text1" w:themeTint="F2"/>
                <w:sz w:val="24"/>
                <w:szCs w:val="24"/>
                <w:highlight w:val="yellow"/>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032"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非点源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（Ry）</w:t>
            </w:r>
          </w:p>
        </w:tc>
        <w:tc>
          <w:tcPr>
            <w:tcW w:w="198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所占比例</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存在（63.39%）</w:t>
            </w:r>
          </w:p>
        </w:tc>
        <w:tc>
          <w:tcPr>
            <w:tcW w:w="104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04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50%~</w:t>
            </w:r>
          </w:p>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60%</w:t>
            </w:r>
          </w:p>
        </w:tc>
        <w:tc>
          <w:tcPr>
            <w:tcW w:w="10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9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03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98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生态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缓冲</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带</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4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04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93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bl>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（1）固定源</w:t>
      </w:r>
    </w:p>
    <w:p>
      <w:pPr>
        <w:widowControl/>
        <w:adjustRightInd w:val="0"/>
        <w:snapToGrid w:val="0"/>
        <w:spacing w:line="360" w:lineRule="auto"/>
        <w:ind w:firstLine="560" w:firstLineChars="200"/>
        <w:rPr>
          <w:rFonts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根据现场调查，田边水库保护区范围内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无固定风险源。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田边水库饮用水水源地固定源环境风险低，水库保护区范围内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无固定污染源，固定源总分值为0，评分值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Rp＜3，为可接受程度的背景值。</w:t>
      </w:r>
    </w:p>
    <w:p>
      <w:pPr>
        <w:widowControl/>
        <w:adjustRightInd w:val="0"/>
        <w:snapToGrid w:val="0"/>
        <w:spacing w:line="360" w:lineRule="auto"/>
        <w:ind w:firstLine="562" w:firstLineChars="200"/>
        <w:rPr>
          <w:rFonts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t>（2）流动源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连接各自然村的道路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田边村、费格村、雅宗村等自然村间客流和物流的主要交通干线。客运车辆主要有面包车、小轿车和摩托车等载人出入，货运主要运输农副产品和日常生活用品，客运和货运量较小。其中，一级保护内乡村道路穿越路段长约1.25km；二级保护区内乡村道路道路长约2.62km。</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田边水库保护区范围内流动源总分值为17，</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Rf＞9，应采取风险应急措施，加强水库周边道路车辆通行监管，严格禁止运输危险化学品，限制运输可能对水库水质造成污染的其他物品。</w:t>
      </w: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（3）非点源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根据调查，田边水库保护区范围内现状非点源主要有农村生活、农业种植、畜禽养殖及水土流失面源污染等，具体源强详见2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节。</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田边水库保护区范围内耕地面积占比为51.72%，一级保护区、二级保护区均有分布。根据非点源风险值计算，非点源风险值为17，</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y&gt;9，应采取风险应急措施，环境风险较高。此外，根据实地踏勘，田边水库保护区范围内还存在农村生活污水及垃圾污染、畜禽养殖污染及水土流失污染。通过识别环境风险因素，应重点对非点源风险采取应急措施，加快农村农业面源治理及水土流失治理，降低水源保护区环境风险，保证饮用水水质安全。</w:t>
      </w:r>
    </w:p>
    <w:p>
      <w:pPr>
        <w:pStyle w:val="3"/>
        <w:rPr>
          <w:color w:val="0D0D0D" w:themeColor="text1" w:themeTint="F2"/>
          <w14:textFill>
            <w14:solidFill>
              <w14:schemeClr w14:val="tx1">
                <w14:lumMod w14:val="95000"/>
                <w14:lumOff w14:val="5000"/>
              </w14:schemeClr>
            </w14:solidFill>
          </w14:textFill>
        </w:rPr>
      </w:pPr>
      <w:bookmarkStart w:id="114" w:name="_Toc25679066"/>
      <w:bookmarkStart w:id="115" w:name="_Toc27489890"/>
      <w:r>
        <w:rPr>
          <w:rFonts w:hint="eastAsia"/>
          <w:color w:val="0D0D0D" w:themeColor="text1" w:themeTint="F2"/>
          <w14:textFill>
            <w14:solidFill>
              <w14:schemeClr w14:val="tx1">
                <w14:lumMod w14:val="95000"/>
                <w14:lumOff w14:val="5000"/>
              </w14:schemeClr>
            </w14:solidFill>
          </w14:textFill>
        </w:rPr>
        <w:t>2.9 饮用水水源保护区规范化建设现状及存在问题</w:t>
      </w:r>
      <w:bookmarkEnd w:id="114"/>
      <w:bookmarkEnd w:id="115"/>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6" w:name="_Toc25679067"/>
      <w:bookmarkStart w:id="117" w:name="_Toc12621595"/>
      <w:bookmarkStart w:id="118" w:name="_Toc27489891"/>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2.9.1 保护区规范化建设及管理现状</w:t>
      </w:r>
      <w:bookmarkEnd w:id="116"/>
      <w:bookmarkEnd w:id="117"/>
      <w:bookmarkEnd w:id="118"/>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田边水库作为在用水源，但未严格按《集中式饮用水源地规范化建设环境保护技术要求》（HJ773-2015）开展水源地保护相关保护工作。根据现场调查及资料收集，目前已开展的保护工作主要有：</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（1）管理机构设置</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田边水库主管部门为富源县水利水电工程管理站，管理单位为营上镇水务所。</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（2）监测能力</w:t>
      </w:r>
    </w:p>
    <w:p>
      <w:pPr>
        <w:adjustRightInd w:val="0"/>
        <w:snapToGrid w:val="0"/>
        <w:spacing w:line="360" w:lineRule="auto"/>
        <w:ind w:firstLine="560" w:firstLineChars="200"/>
        <w:rPr>
          <w:rFonts w:ascii="Times New Roman" w:hAnsi="Times New Roman" w:cs="Times New Roman"/>
          <w:color w:val="0D0D0D" w:themeColor="text1" w:themeTint="F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田边水库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未进行例行水质监测，于2011年12月、2012年8月、2013年7月按照《地表水环境质量标准》（</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开展了水质监测，主要对pH、溶解氧、高锰酸盐指数、五日生化需氧量、氨氮、化学需氧量、砷、汞、六价铬、镉、铅、挥发酚、总氮、总磷、粪大肠菌群、氰化物、石油类、氟化物及饮用水源地集中式生活饮用水源地补充项目硫酸盐、氯化物、硝酸盐、铁、锰进行监测。</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9" w:name="_Toc12621596"/>
      <w:bookmarkStart w:id="120" w:name="_Toc27489892"/>
      <w:bookmarkStart w:id="121" w:name="_Toc25679068"/>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2.9.2 保护区</w:t>
      </w:r>
      <w:bookmarkEnd w:id="119"/>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主要环境问题</w:t>
      </w:r>
      <w:bookmarkEnd w:id="120"/>
      <w:bookmarkEnd w:id="121"/>
    </w:p>
    <w:p>
      <w:pPr>
        <w:adjustRightInd w:val="0"/>
        <w:snapToGrid w:val="0"/>
        <w:spacing w:line="360" w:lineRule="auto"/>
        <w:ind w:firstLine="560"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22" w:name="_Hlk2034913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根据《集中式饮用水源地规范化建设环境保护技术要求》（HJ 773-2015）等技术规范，结合现场调查，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水源地规范化建设存在问题如下：</w:t>
      </w:r>
    </w:p>
    <w:bookmarkEnd w:id="122"/>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（1）面源污染相对较大</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田边水库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范围内主要涉及农村生活、</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畜禽养殖、</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农业种养殖、水土流失污染等面源。</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保护区内</w:t>
      </w:r>
      <w:bookmarkStart w:id="123" w:name="_Hlk20349201"/>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个自然村小组主要分布于</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田边水库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内，少部分分布于</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一级保护区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农村生活污水及生活垃圾</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田边水库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造成面源</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污染。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此外，还存在大量的畜禽养殖污染，对水库水质造成一定影响。</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内有大量耕地，</w:t>
      </w:r>
      <w:bookmarkStart w:id="124" w:name="_Hlk2009203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耕地面积占比达到水库保护区面积的51.72%</w:t>
      </w:r>
      <w:bookmarkEnd w:id="124"/>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农业生产中大量使用农药化肥导致水体污染。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内水土流失面积占比在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69.26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中度及以上侵蚀面积占水土流失面积的44.61%，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水土流失造成一定的面源污染。</w:t>
      </w:r>
    </w:p>
    <w:bookmarkEnd w:id="123"/>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25" w:name="_Hlk20349559"/>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（2）保护区分级划界问题</w:t>
      </w:r>
    </w:p>
    <w:p>
      <w:pPr>
        <w:adjustRightInd w:val="0"/>
        <w:snapToGrid w:val="0"/>
        <w:spacing w:line="360" w:lineRule="auto"/>
        <w:ind w:firstLine="560" w:firstLineChars="200"/>
        <w:rPr>
          <w:rFonts w:ascii="Times New Roman" w:hAnsi="Times New Roman" w:eastAsia="仿宋"/>
          <w:color w:val="262626" w:themeColor="text1" w:themeTint="D9"/>
          <w:sz w:val="28"/>
          <w:szCs w:val="28"/>
          <w14:textFill>
            <w14:solidFill>
              <w14:schemeClr w14:val="tx1">
                <w14:lumMod w14:val="85000"/>
                <w14:lumOff w14:val="1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作为在用水源地，</w:t>
      </w:r>
      <w:r>
        <w:rPr>
          <w:rFonts w:hint="eastAsia" w:ascii="Times New Roman" w:hAnsi="Times New Roman" w:eastAsia="仿宋"/>
          <w:color w:val="262626" w:themeColor="text1" w:themeTint="D9"/>
          <w:sz w:val="28"/>
          <w:szCs w:val="28"/>
          <w14:textFill>
            <w14:solidFill>
              <w14:schemeClr w14:val="tx1">
                <w14:lumMod w14:val="85000"/>
                <w14:lumOff w14:val="15000"/>
              </w14:schemeClr>
            </w14:solidFill>
          </w14:textFill>
        </w:rPr>
        <w:t>未按新的技术规范要求划分水源保护区并依法审批并颁布实施，也未按水源保护区边界范围并根据《饮用水水源保护区标志技术要求》（HJ/T433-2008）设置界桩、交通警示牌、宣传牌等标识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）风险防控与应急能力建设问题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定期或不定期开展水源地周边安全隐患排查及风险评估，建立水源保护区内风险源名录和风险防控方案。同时制定水库饮用水水源地应急预案，按照生态环境部门要求备案并定期开展应急演练，储备应急物资，设有应急防护工程，具备饮用水水源地突发环境事件应急处置技术方案及应急专家库，并具备应急监测能力。目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根据水环境风险源分析，田边水库流动源及非点源环境风险较大，但田边水库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未制定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相应的</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应急预案，风险防控与应急能力</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还</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待加强。</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措施不到位</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按照《集中式饮用水水源编码规范》（HJ 747-2015）要求，应对水源地进行编码，完善水源地档案，做到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并按照环境监察要求定期巡查、开展水源地环境状况评估，建立水源地信息化管理平台，定期公开水源地相关信息。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需加强管理，建立完善水源地档案及环境监察。</w:t>
      </w:r>
    </w:p>
    <w:bookmarkEnd w:id="125"/>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pPr>
      <w:bookmarkStart w:id="126" w:name="_Toc20409149"/>
      <w:bookmarkStart w:id="127" w:name="_Toc27489893"/>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 xml:space="preserve">第三章 </w:t>
      </w:r>
      <w:r>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划分与定界</w:t>
      </w:r>
      <w:bookmarkEnd w:id="126"/>
      <w:bookmarkEnd w:id="127"/>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8" w:name="_Toc12621586"/>
      <w:bookmarkStart w:id="129" w:name="_Toc10723880"/>
      <w:bookmarkStart w:id="130" w:name="_Toc20409150"/>
      <w:bookmarkStart w:id="131" w:name="_Toc27489894"/>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划分方法</w:t>
      </w:r>
      <w:bookmarkEnd w:id="128"/>
      <w:bookmarkEnd w:id="129"/>
      <w:bookmarkEnd w:id="130"/>
      <w:bookmarkEnd w:id="131"/>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，利用</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地形图、水系图、土地利用现状图、土地利用规划图，</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采用地形边界法、类比经验法，</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田边水库水源地的</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二级保护区，对局部区域，根据实际情况进行微调。</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32" w:name="_Toc20409151"/>
      <w:bookmarkStart w:id="133" w:name="_Toc530362551"/>
      <w:bookmarkStart w:id="134" w:name="_Toc27489895"/>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一级保护区划分</w:t>
      </w:r>
      <w:bookmarkEnd w:id="132"/>
      <w:bookmarkEnd w:id="133"/>
      <w:bookmarkEnd w:id="134"/>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35" w:name="_Toc530362552"/>
      <w:bookmarkStart w:id="136" w:name="_Toc27489896"/>
      <w:bookmarkStart w:id="137" w:name="_Toc20409152"/>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 二级保护区划分</w:t>
      </w:r>
      <w:bookmarkEnd w:id="135"/>
      <w:bookmarkEnd w:id="136"/>
      <w:bookmarkEnd w:id="137"/>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6.3.1.1 </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满足条件的水源地，可采用类比经验法确定二级保护区水域范围。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小型湖泊、中小型水库一级保护区边界外的水域面积设定为二级保护区。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6.3.2.2  采用地形边界法或类比经验法</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38" w:name="_Toc10723885"/>
      <w:bookmarkStart w:id="139" w:name="_Toc12621589"/>
      <w:bookmarkStart w:id="140" w:name="_Toc20409153"/>
      <w:bookmarkStart w:id="141" w:name="_Toc27489897"/>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bookmarkEnd w:id="138"/>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初步划分结果与分析</w:t>
      </w:r>
      <w:bookmarkEnd w:id="139"/>
      <w:bookmarkEnd w:id="140"/>
      <w:bookmarkEnd w:id="141"/>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42" w:name="_Toc20409154"/>
      <w:bookmarkStart w:id="143" w:name="_Toc27489898"/>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一</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42"/>
      <w:bookmarkEnd w:id="143"/>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水</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田边</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1967.50</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m，相应库容</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244.61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（V＜0.1亿m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小型水库。水库水面面积不大，因此将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田边</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1967.50</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m以下的全部水域划为一级保护区，面积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0.0707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正常蓄水位外延200m范围，同时以水库周边现状道路定界，面积为0.3493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0.4200</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44" w:name="_Toc20409155"/>
      <w:bookmarkStart w:id="145" w:name="_Toc27489899"/>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二</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44"/>
      <w:bookmarkEnd w:id="145"/>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田边</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田边水库流域范围内除一级保护区的其他区域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3.2629</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3.2629</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表3.</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田边</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水库饮用水水源保护区组成</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6"/>
        <w:gridCol w:w="456"/>
        <w:gridCol w:w="4391"/>
        <w:gridCol w:w="2054"/>
        <w:gridCol w:w="116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912" w:type="dxa"/>
            <w:gridSpan w:val="2"/>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区划</w:t>
            </w:r>
          </w:p>
        </w:tc>
        <w:tc>
          <w:tcPr>
            <w:tcW w:w="439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依据HJ 338-2018</w:t>
            </w:r>
          </w:p>
        </w:tc>
        <w:tc>
          <w:tcPr>
            <w:tcW w:w="2054"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控制范围</w:t>
            </w:r>
          </w:p>
        </w:tc>
        <w:tc>
          <w:tcPr>
            <w:tcW w:w="116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面积（km</w:t>
            </w:r>
            <w:r>
              <w:rPr>
                <w:rFonts w:ascii="Times New Roman" w:hAnsi="Times New Roman" w:eastAsia="仿宋" w:cs="Times New Roman"/>
                <w:b/>
                <w:color w:val="0D0D0D" w:themeColor="text1" w:themeTint="F2"/>
                <w:kern w:val="0"/>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39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tc>
        <w:tc>
          <w:tcPr>
            <w:tcW w:w="205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田边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1967.50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m以下的全部水域。</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0.0707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39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tc>
        <w:tc>
          <w:tcPr>
            <w:tcW w:w="205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田边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外延200m范围，同时以水库周边现状道路定界。</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0.3493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357"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0.4200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39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6.3.1.1  满足条件的水源地，可采用类比经验法确定二级保护区水域范围。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小型湖泊、中小型水库一级保护区边界外的水域面积设定为二级保护区。</w:t>
            </w:r>
          </w:p>
        </w:tc>
        <w:tc>
          <w:tcPr>
            <w:tcW w:w="205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田边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水库一级保护区边界外无大中型河流，仅为小型溪流，面积并入陆域范围统计。</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391"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6.3.2.2  采用地形边界法或类比经验法</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tc>
        <w:tc>
          <w:tcPr>
            <w:tcW w:w="205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流域分水岭范围内一级保护区外的其他区域</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3.2629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357"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3.2629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357"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165"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3.6829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522" w:type="dxa"/>
            <w:gridSpan w:val="5"/>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备注：水位线高程为1985国家高程基准，采用2000国家大地坐标系计算面积。</w:t>
            </w:r>
          </w:p>
        </w:tc>
      </w:tr>
    </w:tbl>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46" w:name="_Toc20409156"/>
      <w:bookmarkStart w:id="147" w:name="_Toc12621593"/>
      <w:bookmarkStart w:id="148" w:name="_Toc27489900"/>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保护区定界的</w:t>
      </w:r>
      <w:bookmarkEnd w:id="146"/>
      <w:bookmarkEnd w:id="147"/>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依据</w:t>
      </w:r>
      <w:bookmarkEnd w:id="148"/>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（1）为便于开展日常环境管理工作，依据保护区划分的分析、计算结果，结合水源保护区的地形、地标、地物特点，最终确定各级保护区的界线。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（2）充分利用具有永久性的明显标志如水分线、行政区界线、公路、铁路、桥梁、大型建筑物、水库大坝、水工建筑物、河流汊口、输电线、通讯线等标示保护区界线。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（3）最终确定的各级保护区坐标红线图、表，作为政府部门审批的依据，也作为规划国土、环保部门土地开发审批的依据。</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（4）应按照国家规定设置饮用水水源地保护标志。</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149" w:name="_Toc27489901"/>
      <w:bookmarkStart w:id="150" w:name="_Toc25162371"/>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第四章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饮用水水源</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建设投资估算</w:t>
      </w:r>
      <w:bookmarkEnd w:id="149"/>
      <w:bookmarkEnd w:id="150"/>
    </w:p>
    <w:p>
      <w:pPr>
        <w:pStyle w:val="3"/>
        <w:rPr>
          <w:color w:val="0D0D0D" w:themeColor="text1" w:themeTint="F2"/>
          <w14:textFill>
            <w14:solidFill>
              <w14:schemeClr w14:val="tx1">
                <w14:lumMod w14:val="95000"/>
                <w14:lumOff w14:val="5000"/>
              </w14:schemeClr>
            </w14:solidFill>
          </w14:textFill>
        </w:rPr>
      </w:pPr>
      <w:bookmarkStart w:id="151" w:name="_Toc25162372"/>
      <w:bookmarkStart w:id="152" w:name="_Toc27489902"/>
      <w:bookmarkStart w:id="153" w:name="_Toc12536221"/>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 xml:space="preserve"> 保护区规范化建设项目投资估算</w:t>
      </w:r>
      <w:bookmarkEnd w:id="151"/>
      <w:bookmarkEnd w:id="15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依据《集中式饮用水水源地规范化建设环境保护技术要求》（H</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），结合田边水库保护区规范化建设及管理现状、存在问题分析，针对田边水库保护区提出规范化建设项目。</w:t>
      </w:r>
      <w:bookmarkStart w:id="154" w:name="_Toc524596456"/>
    </w:p>
    <w:bookmarkEnd w:id="154"/>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5" w:name="_Toc27489903"/>
      <w:bookmarkStart w:id="156" w:name="_Toc25162373"/>
      <w:r>
        <w:rPr>
          <w:rFonts w:hint="eastAsia"/>
          <w:color w:val="0D0D0D" w:themeColor="text1" w:themeTint="F2"/>
          <w:sz w:val="28"/>
          <w:szCs w:val="28"/>
          <w14:textFill>
            <w14:solidFill>
              <w14:schemeClr w14:val="tx1">
                <w14:lumMod w14:val="95000"/>
                <w14:lumOff w14:val="5000"/>
              </w14:schemeClr>
            </w14:solidFill>
          </w14:textFill>
        </w:rPr>
        <w:t>4.1.1 保护区范围划定工程</w:t>
      </w:r>
      <w:bookmarkEnd w:id="155"/>
      <w:bookmarkEnd w:id="156"/>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bookmarkStart w:id="157" w:name="_Hlk25181393"/>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根据保护区建设要求，饮用水水源保护区应依据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、交通警示牌、宣传牌等标识，在一级保护区周边人类活动频繁区域设置隔离防护设施。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应根据划定的保护区范围设置标识、建设隔离防护设施。</w:t>
      </w:r>
    </w:p>
    <w:bookmarkEnd w:id="157"/>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58" w:name="_Toc452322606"/>
      <w:bookmarkStart w:id="159" w:name="_Toc47874284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一级保护区围网</w:t>
      </w:r>
      <w:bookmarkEnd w:id="158"/>
      <w:bookmarkEnd w:id="159"/>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一级保护区陆域边界长2703m，需要在一级保护区周边人类活动频繁的区域设置隔离防护设施，根据田边水库一级保护区边道路及村庄分布，在一级保护区乡村道路及水库周边村庄边界等设置围网，需要设围网的边界长2349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围网高1.8m，每3m设置一个立柱，单价以200元/m计（包含制作费、运输费和施工等），总投资约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46.98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（2）一级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。经测算，田边水库一级保护区边界长约2703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，共设拐点13个，设置界桩13个，需投资0.65元。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保护区边界制作埋设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，在公路进入保护区范围处设立标示标牌。采用50cm×25cm×10cm的水泥混凝土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。经测算，田边水库二级保护区边界长约8890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，共设拐点21个，按拐点设置界桩21个，需投资1.05万元。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交通警示牌、宣传牌</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在水库保护区的进出路口设置交通警示牌，共计4块；同时，为加强宣传保护，规划在保护区内3个自然村设置水源保护宣传牌，共计3块。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交通警示牌、宣传牌依据《饮用水水源保护区标志技术要求》（HJ/T433-2008）设置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交通警示牌0.5万元/个，宣传牌0.5万元/个。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设置1块取水口告示碑，钢筋混凝土，200cm×50cm×250cm，估价2万元/座。</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田边水库饮用水源保护区边界及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标志标牌投资估算见表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田边水库饮用水源保护区边界及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标志标牌投资估算表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241"/>
        <w:gridCol w:w="1178"/>
        <w:gridCol w:w="1236"/>
        <w:gridCol w:w="1609"/>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blHeader/>
        </w:trPr>
        <w:tc>
          <w:tcPr>
            <w:tcW w:w="1078"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水库</w:t>
            </w:r>
          </w:p>
        </w:tc>
        <w:tc>
          <w:tcPr>
            <w:tcW w:w="2241"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工程内容</w:t>
            </w:r>
          </w:p>
        </w:tc>
        <w:tc>
          <w:tcPr>
            <w:tcW w:w="1178"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边界长</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（m）</w:t>
            </w:r>
          </w:p>
        </w:tc>
        <w:tc>
          <w:tcPr>
            <w:tcW w:w="1236"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工程数量</w:t>
            </w:r>
          </w:p>
        </w:tc>
        <w:tc>
          <w:tcPr>
            <w:tcW w:w="1609"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180"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restart"/>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田边水库</w:t>
            </w: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一级保护区围网</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2703</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2349m</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0.02万元/</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m</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2703</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二级保护区界桩</w:t>
            </w:r>
          </w:p>
        </w:tc>
        <w:tc>
          <w:tcPr>
            <w:tcW w:w="1178" w:type="dxa"/>
            <w:shd w:val="clear" w:color="auto" w:fill="auto"/>
            <w:vAlign w:val="bottom"/>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8890</w:t>
            </w: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21个</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交通警示牌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宣传牌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41"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取水口告示牌</w:t>
            </w:r>
          </w:p>
        </w:tc>
        <w:tc>
          <w:tcPr>
            <w:tcW w:w="1178"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1块</w:t>
            </w:r>
          </w:p>
        </w:tc>
        <w:tc>
          <w:tcPr>
            <w:tcW w:w="1609"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2万元/块</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78" w:type="dxa"/>
            <w:vMerge w:val="continue"/>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6264" w:type="dxa"/>
            <w:gridSpan w:val="4"/>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180"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54.18</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60" w:name="_Toc25162374"/>
      <w:bookmarkStart w:id="161" w:name="_Toc27489904"/>
      <w:bookmarkStart w:id="162" w:name="_Toc524596457"/>
      <w:r>
        <w:rPr>
          <w:rFonts w:hint="eastAsia"/>
          <w:color w:val="0D0D0D" w:themeColor="text1" w:themeTint="F2"/>
          <w:sz w:val="28"/>
          <w:szCs w:val="28"/>
          <w14:textFill>
            <w14:solidFill>
              <w14:schemeClr w14:val="tx1">
                <w14:lumMod w14:val="95000"/>
                <w14:lumOff w14:val="5000"/>
              </w14:schemeClr>
            </w14:solidFill>
          </w14:textFill>
        </w:rPr>
        <w:t>4.1.2 保护区整治工程</w:t>
      </w:r>
      <w:bookmarkEnd w:id="160"/>
      <w:bookmarkEnd w:id="161"/>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根据技术规范要求，对一级保护区、二级保护区进行污染整治。一级保护区内不存在与供水设施和保护水源无关的建设项目，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保护区划定前已有的建设项目拆除或关闭并视情进行生态修复；保护区内无工业、生活排污口，无畜禽养殖、网箱养殖、旅游、游泳、垂钓等活动；</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保护区内无新增农业种植和经济林，已有的农业种植严格控制化肥、农药等非点源污染，并逐步退出。二级保护区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整治点源、控制非点源、管理流动源，</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实行科学种植和非点源污染防治。</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田边水库保护区划分结果，一级保护区内无与水源保护无关的建设项目及排口，但存在农村居民居住、畜禽养殖及耕地种植；二级保护区内有大量居民居住、畜禽养殖及大片耕地。因此主要对保护区内农村生活面源污染、畜禽养殖污染及耕地种植面源污染实施控制工程；并加强保护区内道路交通污染和风险防控。</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bookmarkEnd w:id="162"/>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1）退耕还林工程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通过实施退耕还林还草，清退一级保护区内全部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耕地，禁止区内新开垦耕地。根据201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国家发展改革局、财政部、国家林业局、农业部、国土资源部联合下发的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关于下达2017年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退耕还林还草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年度任务的通知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》，退耕还林补助为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00元/亩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，每亩第一年900元（其中，种苗造林费400元）、第三年300元、第五年400元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现状有耕地约399.42亩（26.63hm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约63.91万元。</w:t>
      </w:r>
      <w:bookmarkStart w:id="163" w:name="_Toc524596458"/>
    </w:p>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2）农村生活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田边水库一级保护区内主要涉及都格村的田边村和费格村少部分农村居民，约58户232人，应对保护区内居民生活污水及生活垃圾进行收集和处理，工程措施与二级保护区外居住区同时实施。</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3）畜禽养殖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一级保护区内主要涉及都格村的田边村和费格村少部分农村居民，有分散式畜禽养殖，为降低畜禽养殖对水库水质造成影响，应实施畜禽养殖面源治理工程，提高畜禽粪便综合利用率，工程措施与二级保护区农村畜禽养殖同时实施。</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（2）二级保护区面源污染控制</w:t>
      </w:r>
      <w:bookmarkEnd w:id="163"/>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1）退耕还林工程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二级保护区内25°以上坡耕地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逐步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。根据统计分析，田边水库二级保护区2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以上坡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约110.33亩（7.36hm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312"/>
        <w:gridCol w:w="1478"/>
        <w:gridCol w:w="1278"/>
        <w:gridCol w:w="1135"/>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572" w:type="dxa"/>
            <w:vMerge w:val="restart"/>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农用地类型</w:t>
            </w:r>
          </w:p>
        </w:tc>
        <w:tc>
          <w:tcPr>
            <w:tcW w:w="1312"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2756" w:type="dxa"/>
            <w:gridSpan w:val="2"/>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退耕还林面积</w:t>
            </w:r>
          </w:p>
        </w:tc>
        <w:tc>
          <w:tcPr>
            <w:tcW w:w="113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747"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572" w:type="dxa"/>
            <w:vMerge w:val="continue"/>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312"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278"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13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747"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96.23</w:t>
            </w:r>
          </w:p>
        </w:tc>
        <w:tc>
          <w:tcPr>
            <w:tcW w:w="1478"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7.36</w:t>
            </w:r>
          </w:p>
        </w:tc>
        <w:tc>
          <w:tcPr>
            <w:tcW w:w="127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110.33</w:t>
            </w:r>
          </w:p>
        </w:tc>
        <w:tc>
          <w:tcPr>
            <w:tcW w:w="1135"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1747"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17.65</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针对目前农田化肥施用过量，化肥氮、磷、钾配比不协调，农作物品质下降、农田氮、磷流失严重等问题，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农田的实际情况，当地测土配方施肥技术推广和示范费用补助1500元/hm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元/亩）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田边水库二级保护区内的旱地、水田进行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配方推广，实施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面积约为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156.50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23.48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面积及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测算</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415"/>
        <w:gridCol w:w="2759"/>
        <w:gridCol w:w="1413"/>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4" w:type="dxa"/>
            <w:vMerge w:val="restart"/>
            <w:shd w:val="clear" w:color="auto" w:fill="D8D8D8" w:themeFill="background1" w:themeFillShade="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农用地类型</w:t>
            </w: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现状面积</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测土配方施肥</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面积</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4" w:type="dxa"/>
            <w:vMerge w:val="continue"/>
            <w:shd w:val="clear" w:color="auto" w:fill="D8D8D8" w:themeFill="background1" w:themeFillShade="D9"/>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p>
        </w:tc>
        <w:tc>
          <w:tcPr>
            <w:tcW w:w="141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2759"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413" w:type="dxa"/>
            <w:shd w:val="clear" w:color="auto" w:fill="D9D9D9"/>
            <w:noWrap/>
            <w:vAlign w:val="center"/>
          </w:tcPr>
          <w:p>
            <w:pPr>
              <w:widowControl/>
              <w:jc w:val="cente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231"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4"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41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96.23</w:t>
            </w:r>
          </w:p>
        </w:tc>
        <w:tc>
          <w:tcPr>
            <w:tcW w:w="2759"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88.87</w:t>
            </w:r>
          </w:p>
        </w:tc>
        <w:tc>
          <w:tcPr>
            <w:tcW w:w="141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231"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4"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水田</w:t>
            </w:r>
          </w:p>
        </w:tc>
        <w:tc>
          <w:tcPr>
            <w:tcW w:w="141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67.63</w:t>
            </w:r>
          </w:p>
        </w:tc>
        <w:tc>
          <w:tcPr>
            <w:tcW w:w="2759"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67.63</w:t>
            </w:r>
          </w:p>
        </w:tc>
        <w:tc>
          <w:tcPr>
            <w:tcW w:w="141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231"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704"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41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163.86</w:t>
            </w:r>
          </w:p>
        </w:tc>
        <w:tc>
          <w:tcPr>
            <w:tcW w:w="2759"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156.50</w:t>
            </w:r>
          </w:p>
        </w:tc>
        <w:tc>
          <w:tcPr>
            <w:tcW w:w="141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231"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23.48</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3）农村生活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二级保护区内主要涉及都格村的田边村、费格村、雅宗村3个自然村，二级保护区内有209户866人；包括分布在一级保护区内田边村、费格村少部分居民，共计267户1098人。各自然村人口较多且分布较为集中，对保护区内各自然村实施农村生活垃圾及生活污水处置工程。</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农村生活垃圾处置工程：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建成</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“组保洁、村收集、乡（镇）转运、县（市）区处置”的城乡生活垃圾无害化</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收运处置四级管理体制，将保护区内农村生活垃圾集中收集并在保护区外进行无害化处置，近期农村生活垃圾收集处理率达80%。垃圾收集基础设施（垃圾房）每个自然村设置1个，按村委会投工投劳，政府补助方式实施，投资以0.5万元/个计；每个村委会配置1辆农用三轮摩托式垃圾清运车，以2万元/辆计；</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每个村委会于水源保护区外设置1座小型焚烧炉，以3万元/座计，共计3万元；</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垃圾清运费（含清运人员工资、运输车辆运维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、焚烧炉运维</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等），向农户定期收取后支付，以10元/户/月估算。</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涉及</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1个村委会3个自然村，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配备垃圾清运车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辆，</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投资2.00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；设置1座小型焚烧炉，投资3.00万元；3个自然村各建设1个</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垃圾收集基础设施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，投资1.50万元；267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户垃圾清运年运维费约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3.20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共投资9.70万元。</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农村生活污水处置工程：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各自然村居住较为集中，采用集中生活污水处理方式，并将生活污水收集处理后引出流域外。保护区主要涉及田边村（94户304人）、雅宗村（74户379人）、费格村（99户415人），根据各自然村生活污水产生量设计污水集中处理设施规模分别为8t/d、12t/d、10t/d，截污沟渠、截污管道及处理设施投资以1万元/t计，估算投资30.00万元。</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4）畜禽养殖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田边水库保护内主要涉及3个自然村，畜禽养殖约为肉猪2333头、肉牛85头、肉羊266只。</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提升城乡人居环境五年行动计划”，对保护区内农户畜禽养殖实施“改圈”，规范农村畜禽养殖，加强相关宣传教育工作，提高农户污染防范意识，畜禽养殖粪便禁止排入区内地表水体。农户“改圈”按村民投工投劳，政府补助方式实施，投资按0.5万元/户计，田边水库保护区内267户全面实施“改圈”，投资约133.50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64" w:name="_Toc52459646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）交通污染和风险控制</w:t>
      </w:r>
      <w:bookmarkEnd w:id="164"/>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保护区内现状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有连接各自然村的道路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，其中，一级保护内乡村道路穿越路段长约1.25km；二级保护区内乡村道路道路长约2.62km。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为防止和杜绝保护区沿岸道路运输带来的污染和运输事故带来的污染隐患，</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在一级保护区和二级保护区主要道路需设置饮用水源保护区交通安全标志，主要道路设置截排水沟，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4，规划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38.70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交通污染控制工程投资估算表</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281"/>
        <w:gridCol w:w="9"/>
        <w:gridCol w:w="1064"/>
        <w:gridCol w:w="7"/>
        <w:gridCol w:w="1558"/>
        <w:gridCol w:w="1185"/>
        <w:gridCol w:w="1072"/>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540"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保护区划</w:t>
            </w:r>
          </w:p>
        </w:tc>
        <w:tc>
          <w:tcPr>
            <w:tcW w:w="1290" w:type="dxa"/>
            <w:gridSpan w:val="2"/>
            <w:shd w:val="clear" w:color="000000" w:fill="D9D9D9"/>
            <w:noWrap/>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公路名称</w:t>
            </w:r>
          </w:p>
        </w:tc>
        <w:tc>
          <w:tcPr>
            <w:tcW w:w="1071" w:type="dxa"/>
            <w:gridSpan w:val="2"/>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长度</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km</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p>
        </w:tc>
        <w:tc>
          <w:tcPr>
            <w:tcW w:w="1558"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拟采取防护措施</w:t>
            </w:r>
          </w:p>
        </w:tc>
        <w:tc>
          <w:tcPr>
            <w:tcW w:w="1185"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工程规模</w:t>
            </w:r>
          </w:p>
        </w:tc>
        <w:tc>
          <w:tcPr>
            <w:tcW w:w="1072"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806"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4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乡村道路</w:t>
            </w:r>
          </w:p>
        </w:tc>
        <w:tc>
          <w:tcPr>
            <w:tcW w:w="1071"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1.25</w:t>
            </w:r>
          </w:p>
        </w:tc>
        <w:tc>
          <w:tcPr>
            <w:tcW w:w="1558"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完善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公路截排水调节沟</w:t>
            </w:r>
          </w:p>
        </w:tc>
        <w:tc>
          <w:tcPr>
            <w:tcW w:w="1185"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1.25km</w:t>
            </w:r>
          </w:p>
        </w:tc>
        <w:tc>
          <w:tcPr>
            <w:tcW w:w="1072"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10万元/km</w:t>
            </w:r>
          </w:p>
        </w:tc>
        <w:tc>
          <w:tcPr>
            <w:tcW w:w="8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4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290"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乡村道路</w:t>
            </w:r>
          </w:p>
        </w:tc>
        <w:tc>
          <w:tcPr>
            <w:tcW w:w="1071"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2.62</w:t>
            </w:r>
          </w:p>
        </w:tc>
        <w:tc>
          <w:tcPr>
            <w:tcW w:w="1558"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5"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2.62km</w:t>
            </w:r>
          </w:p>
        </w:tc>
        <w:tc>
          <w:tcPr>
            <w:tcW w:w="1072"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821" w:type="dxa"/>
            <w:gridSpan w:val="2"/>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73"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3.87</w:t>
            </w:r>
          </w:p>
        </w:tc>
        <w:tc>
          <w:tcPr>
            <w:tcW w:w="1565" w:type="dxa"/>
            <w:gridSpan w:val="2"/>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8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07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80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38.70</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65" w:name="_Toc524596461"/>
      <w:bookmarkStart w:id="166" w:name="_Toc25162375"/>
      <w:bookmarkStart w:id="167" w:name="_Toc27489905"/>
      <w:r>
        <w:rPr>
          <w:rFonts w:hint="eastAsia"/>
          <w:color w:val="0D0D0D" w:themeColor="text1" w:themeTint="F2"/>
          <w:sz w:val="28"/>
          <w:szCs w:val="28"/>
          <w14:textFill>
            <w14:solidFill>
              <w14:schemeClr w14:val="tx1">
                <w14:lumMod w14:val="95000"/>
                <w14:lumOff w14:val="5000"/>
              </w14:schemeClr>
            </w14:solidFill>
          </w14:textFill>
        </w:rPr>
        <w:t xml:space="preserve">4.1.3 </w:t>
      </w:r>
      <w:r>
        <w:rPr>
          <w:color w:val="0D0D0D" w:themeColor="text1" w:themeTint="F2"/>
          <w:sz w:val="28"/>
          <w:szCs w:val="28"/>
          <w14:textFill>
            <w14:solidFill>
              <w14:schemeClr w14:val="tx1">
                <w14:lumMod w14:val="95000"/>
                <w14:lumOff w14:val="5000"/>
              </w14:schemeClr>
            </w14:solidFill>
          </w14:textFill>
        </w:rPr>
        <w:t>生态恢复与建设工程</w:t>
      </w:r>
      <w:bookmarkEnd w:id="165"/>
      <w:bookmarkEnd w:id="166"/>
      <w:bookmarkEnd w:id="167"/>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针对饮用水水源地保护区内的生态现状，进行生态修复、生态建设工程，加强生态保护，提高保护区内自然净化能力，促进生态良性循环，改善和保护饮用水源水质。</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（1）退耕地人工造林工程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对田边水库一级保护区内全部退耕地399.42亩、二级保护区25°以上坡耕地110.33亩退耕地实施人工造林。投资以0.15万元/亩计。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退耕地人工造林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312"/>
        <w:gridCol w:w="1478"/>
        <w:gridCol w:w="1416"/>
        <w:gridCol w:w="127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572" w:type="dxa"/>
            <w:vMerge w:val="restart"/>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31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2894" w:type="dxa"/>
            <w:gridSpan w:val="2"/>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退耕地造林</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面积</w:t>
            </w:r>
          </w:p>
        </w:tc>
        <w:tc>
          <w:tcPr>
            <w:tcW w:w="1277"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467"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572" w:type="dxa"/>
            <w:vMerge w:val="continue"/>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31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78"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1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277"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467"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26.63</w:t>
            </w:r>
          </w:p>
        </w:tc>
        <w:tc>
          <w:tcPr>
            <w:tcW w:w="147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26.63</w:t>
            </w:r>
          </w:p>
        </w:tc>
        <w:tc>
          <w:tcPr>
            <w:tcW w:w="141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399.42</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467"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163.86</w:t>
            </w:r>
          </w:p>
        </w:tc>
        <w:tc>
          <w:tcPr>
            <w:tcW w:w="147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7.36</w:t>
            </w:r>
          </w:p>
        </w:tc>
        <w:tc>
          <w:tcPr>
            <w:tcW w:w="14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110.33</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467"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572"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31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190.48</w:t>
            </w:r>
          </w:p>
        </w:tc>
        <w:tc>
          <w:tcPr>
            <w:tcW w:w="1478"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33.98</w:t>
            </w:r>
          </w:p>
        </w:tc>
        <w:tc>
          <w:tcPr>
            <w:tcW w:w="1416"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509.75</w:t>
            </w:r>
          </w:p>
        </w:tc>
        <w:tc>
          <w:tcPr>
            <w:tcW w:w="1277"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67" w:type="dxa"/>
            <w:shd w:val="clear" w:color="auto" w:fill="auto"/>
            <w:noWrap/>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76.46</w:t>
            </w: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（2）水土流失治理工程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土地利用现状、水土流失现状、水土保持工作方向和水源保护的相关要求，水源地保护区的一级保护区全部作为生态用地，本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作为水土流失综合治理区进行措施布局。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采取农业用地措施（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坡改梯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经济果木林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种植、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植物护埂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保土耕作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坡面水系措施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、作业便道措施、挖沙采石场迹地恢复措施）、生态用地措施（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水土保持林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种草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封禁治理措施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）、小型水利水保工程措施（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溪沟整治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拦砂坝</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）及其他辅助措施，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力争保护区内平均土壤侵蚀模数降至轻度（500 t/km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·a）以下，流域水土流失总量降低50%以上。水土流失综合治理工程投资按0.5万元/公顷估算，最终投资以具体实施项目可研设计为准。</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规划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对一级保护区内的流失面积22.84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、二级保护区内的流失面积83.59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实施治理，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53.21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水土流失治理工程规划及投资估算</w:t>
      </w:r>
    </w:p>
    <w:tbl>
      <w:tblPr>
        <w:tblStyle w:val="4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26"/>
        <w:gridCol w:w="1749"/>
        <w:gridCol w:w="1749"/>
        <w:gridCol w:w="1749"/>
        <w:gridCol w:w="174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526" w:type="dxa"/>
            <w:vMerge w:val="restart"/>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现状流失面积</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治理面积</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规划土壤侵蚀模数目标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526" w:type="dxa"/>
            <w:vMerge w:val="continue"/>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c>
          <w:tcPr>
            <w:tcW w:w="1749"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27.81</w:t>
            </w:r>
          </w:p>
        </w:tc>
        <w:tc>
          <w:tcPr>
            <w:tcW w:w="1749" w:type="dxa"/>
            <w:vAlign w:val="bottom"/>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22.84</w:t>
            </w:r>
          </w:p>
        </w:tc>
        <w:tc>
          <w:tcPr>
            <w:tcW w:w="1749"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11.42</w:t>
            </w:r>
          </w:p>
        </w:tc>
        <w:tc>
          <w:tcPr>
            <w:tcW w:w="1749"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749"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227.28</w:t>
            </w:r>
          </w:p>
        </w:tc>
        <w:tc>
          <w:tcPr>
            <w:tcW w:w="1749" w:type="dxa"/>
            <w:vAlign w:val="bottom"/>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83.59</w:t>
            </w:r>
          </w:p>
        </w:tc>
        <w:tc>
          <w:tcPr>
            <w:tcW w:w="1749"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41.79</w:t>
            </w:r>
          </w:p>
        </w:tc>
        <w:tc>
          <w:tcPr>
            <w:tcW w:w="174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526"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74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255.09</w:t>
            </w:r>
          </w:p>
        </w:tc>
        <w:tc>
          <w:tcPr>
            <w:tcW w:w="174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106.43</w:t>
            </w:r>
          </w:p>
        </w:tc>
        <w:tc>
          <w:tcPr>
            <w:tcW w:w="1749"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53.21</w:t>
            </w:r>
          </w:p>
        </w:tc>
        <w:tc>
          <w:tcPr>
            <w:tcW w:w="1749"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68" w:name="_Toc27489906"/>
      <w:bookmarkStart w:id="169" w:name="_Toc25162376"/>
      <w:r>
        <w:rPr>
          <w:rFonts w:hint="eastAsia"/>
          <w:color w:val="0D0D0D" w:themeColor="text1" w:themeTint="F2"/>
          <w:sz w:val="28"/>
          <w:szCs w:val="28"/>
          <w14:textFill>
            <w14:solidFill>
              <w14:schemeClr w14:val="tx1">
                <w14:lumMod w14:val="95000"/>
                <w14:lumOff w14:val="5000"/>
              </w14:schemeClr>
            </w14:solidFill>
          </w14:textFill>
        </w:rPr>
        <w:t>4.1.4 管理能力建设工程</w:t>
      </w:r>
      <w:bookmarkEnd w:id="168"/>
      <w:bookmarkEnd w:id="169"/>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（1）水质监测能力建设工程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环境监测是水源地水环境质量监管的最有效方式，也是保护工作成效的重要考核依据。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需要加强水源监测工作，合理布置监测点位，建立常规监测机制，增加监测频次，水质监测结果向社会公布，及时反映水源水质状况，确保饮用水安全。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点位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、频次及监测项目要求详见下表。</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表4.1-7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田边水库水源环境</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监测网络建设内容</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2211"/>
        <w:gridCol w:w="1917"/>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97" w:type="dxa"/>
            <w:gridSpan w:val="2"/>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监测项目</w:t>
            </w:r>
          </w:p>
        </w:tc>
        <w:tc>
          <w:tcPr>
            <w:tcW w:w="1917" w:type="dxa"/>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点位</w:t>
            </w:r>
          </w:p>
        </w:tc>
        <w:tc>
          <w:tcPr>
            <w:tcW w:w="2108" w:type="dxa"/>
            <w:shd w:val="clear" w:color="auto" w:fill="D8D8D8" w:themeFill="background1" w:themeFillShade="D9"/>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86" w:type="dxa"/>
            <w:vMerge w:val="restart"/>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《地表水环境质量标准》（GB3838-2002）</w:t>
            </w:r>
          </w:p>
        </w:tc>
        <w:tc>
          <w:tcPr>
            <w:tcW w:w="221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24项基本项目和5项补充项目</w:t>
            </w:r>
          </w:p>
        </w:tc>
        <w:tc>
          <w:tcPr>
            <w:tcW w:w="1917"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108"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监测频次按上级考核要求进行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86" w:type="dxa"/>
            <w:vMerge w:val="continue"/>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1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80项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特定项目</w:t>
            </w:r>
          </w:p>
        </w:tc>
        <w:tc>
          <w:tcPr>
            <w:tcW w:w="1917"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108" w:type="dxa"/>
            <w:vMerge w:val="continue"/>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（2）预警及应急能力建设工程</w:t>
      </w:r>
    </w:p>
    <w:p>
      <w:pPr>
        <w:widowControl/>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应急能力建设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应</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以防为主，充分考虑潜在的突发性事故风险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强化应对饮用水源突发环境事件应急处置能力，对水污染事件做到早预见、速报告、快处理，将水环境污染事件控制在突发期，将可能造成的污染损失和后果降低到最小，最大限度地保障人民群众的用水安全。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田边水库环境应急能力建设主要包括确定应急类型及应急级别、建立监测与预警平台、制定应急预案、组建应急管理机构、配备应急物资。</w:t>
      </w:r>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3）管理能力建设</w:t>
      </w:r>
    </w:p>
    <w:p>
      <w:pPr>
        <w:widowControl/>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田边水库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饮用水水源地管理能力建设，做到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；严格按《中华人民共和国环境保护法》、《中华人民共和国水法》、《中华人民共和国水污染防治法》、《饮用水水源保护区污染防治管理规定》等相关法律法规要求</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开展水源保护区环境监管，定期巡查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严禁畜禽放牧等可能污染水源的活动，并</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定期开展饮用水水源地环境状况评估。</w:t>
      </w:r>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包括保护区范围划定工程、保护区整治工程、生态恢复与建设工程、管理能力建设工程等四大类，共12项具体工程内容。</w:t>
      </w:r>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田边水库饮用水水源保护区规范化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555.79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田边水库饮用水水源保护区规范化建设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项目投资估算汇总表</w:t>
      </w:r>
    </w:p>
    <w:tbl>
      <w:tblPr>
        <w:tblStyle w:val="44"/>
        <w:tblW w:w="1460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6"/>
        <w:gridCol w:w="1418"/>
        <w:gridCol w:w="8221"/>
        <w:gridCol w:w="1559"/>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blHeader/>
        </w:trPr>
        <w:tc>
          <w:tcPr>
            <w:tcW w:w="710"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128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类别</w:t>
            </w:r>
          </w:p>
        </w:tc>
        <w:tc>
          <w:tcPr>
            <w:tcW w:w="1418"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项目名称</w:t>
            </w:r>
          </w:p>
        </w:tc>
        <w:tc>
          <w:tcPr>
            <w:tcW w:w="8221"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项目内容</w:t>
            </w:r>
          </w:p>
        </w:tc>
        <w:tc>
          <w:tcPr>
            <w:tcW w:w="1559"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投资估算</w:t>
            </w:r>
          </w:p>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（万元）</w:t>
            </w:r>
          </w:p>
        </w:tc>
        <w:tc>
          <w:tcPr>
            <w:tcW w:w="1407"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田边水库一级保护区沿乡村道路及人为活动区域边界设立围网</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2349</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m</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，一级保护区按拐点设置界桩13个、二级保护区设置界桩21个，保护区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道路</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进出路口设置交通警示牌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块，保护区内</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3个自然村</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设置水源保护区宣传牌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块，取水口告示牌1块。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54.18</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3"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保护区整治工程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保护区退耕还林</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399.42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亩、二级保护区内</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以上坡耕地110.33亩实施退耕还林。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81.56</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县林业林草局、县农业农村局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农村生活污水处理工程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保护区内自然村建设生活污水集中处理设施，完善截污沟渠及管网，共设计污水处理规模30t/d，以处理一吨污水投资1万元计。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农村生活垃圾污染控制工程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w:t>
            </w:r>
            <w:r>
              <w:rPr>
                <w:rFonts w:ascii="仿宋" w:hAnsi="仿宋" w:eastAsia="仿宋" w:cs="宋体"/>
                <w:color w:val="0D0D0D" w:themeColor="text1" w:themeTint="F2"/>
                <w:kern w:val="0"/>
                <w:sz w:val="24"/>
                <w:szCs w:val="24"/>
                <w14:textFill>
                  <w14:solidFill>
                    <w14:schemeClr w14:val="tx1">
                      <w14:lumMod w14:val="95000"/>
                      <w14:lumOff w14:val="5000"/>
                    </w14:schemeClr>
                  </w14:solidFill>
                </w14:textFill>
              </w:rPr>
              <w:t>成“组保洁、村收集、乡（镇）转运、县（市）区处置”的城乡</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生活垃圾无害化收运处置四级管理体制。</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田边水库</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涉及</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个行政村</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267</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个自然村垃圾收集基础设施投资约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1.50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个村委会配备垃圾清运车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辆</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、垃圾焚烧炉1座</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，共计</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5.00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267</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户垃圾清运年运维费约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3.20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万元/年。</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9.70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农业面源污染控制工程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对二级保护区内旱地、水田进行测土配方施肥技术，有效降低保护区耕地化肥施用量，实施总面积分别为旱地88.87hm</w:t>
            </w:r>
            <w:r>
              <w:rPr>
                <w:rFonts w:hint="eastAsia"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、水田67.63hm</w:t>
            </w:r>
            <w:r>
              <w:rPr>
                <w:rFonts w:hint="eastAsia"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23.48</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农村畜禽养殖面源控制工程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二级保护区内农户全面实施“改圈”，规范农村畜禽养殖，投资按0.5万元/户计。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133.50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交通污染控制工程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田边水库完善一级保护区内1.25km乡道、二级保护区内2.62km乡道路段的截排水沟。</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38.70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生态恢复与建设工程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退耕地人工造林</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对田边水库一级保护区内全部耕地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399.42亩、二级保护区内退耕地110.33亩</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实施人工造林。</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76.46</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县农业农村局、县林业林草局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水土流失治理工程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对水源地保护区内水土流失面积进行综合治理，同时开展水土流失监测。田边水库一级保护区水土流失治理面积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22.84</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，二级保护区水土流失治理面积83.59hm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53.21</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管理能力建设工程</w:t>
            </w: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水源保护区环境监测网</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建立水环境质量监测、生物监测和水土流失监测等共同组成的保护区环境监测网络，构建管理信息系统，提高保护区管理效率。</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县生态环境局、县林业林草局、县水务局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预警及应急能力建设工程</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建设饮用水水源地保护区内环境保护应急工程，制定应急方案，加强饮用水源突发环境事件应急处置能力，保障饮用水安全</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418"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管理能力建设</w:t>
            </w:r>
          </w:p>
        </w:tc>
        <w:tc>
          <w:tcPr>
            <w:tcW w:w="8221"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田边水库</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做到</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严格按相关法律法规要求开展水源保护区环境监管，定期巡查</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保护区，定期开展饮用水水源地环境状况评估。</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20.00</w:t>
            </w:r>
          </w:p>
        </w:tc>
        <w:tc>
          <w:tcPr>
            <w:tcW w:w="1407"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县水利局、县生态环境分局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635" w:type="dxa"/>
            <w:gridSpan w:val="4"/>
            <w:shd w:val="clear" w:color="auto" w:fill="auto"/>
            <w:noWrap/>
            <w:vAlign w:val="center"/>
          </w:tcPr>
          <w:p>
            <w:pPr>
              <w:widowControl/>
              <w:jc w:val="cente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合计</w:t>
            </w:r>
          </w:p>
        </w:tc>
        <w:tc>
          <w:tcPr>
            <w:tcW w:w="1559"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555.79</w:t>
            </w:r>
          </w:p>
        </w:tc>
        <w:tc>
          <w:tcPr>
            <w:tcW w:w="1407" w:type="dxa"/>
            <w:shd w:val="clear" w:color="auto" w:fill="auto"/>
            <w:noWrap/>
            <w:vAlign w:val="center"/>
          </w:tcPr>
          <w:p>
            <w:pPr>
              <w:widowControl/>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p>
        </w:tc>
      </w:tr>
    </w:tbl>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sectPr>
          <w:pgSz w:w="16838" w:h="11906" w:orient="landscape"/>
          <w:pgMar w:top="1800" w:right="1440" w:bottom="1800" w:left="1440" w:header="851" w:footer="992" w:gutter="0"/>
          <w:pgNumType w:fmt="numberInDash"/>
          <w:cols w:space="425" w:num="1"/>
          <w:docGrid w:type="lines" w:linePitch="312" w:charSpace="0"/>
        </w:sectPr>
      </w:pPr>
    </w:p>
    <w:bookmarkEnd w:id="153"/>
    <w:p>
      <w:pPr>
        <w:pStyle w:val="3"/>
        <w:rPr>
          <w:color w:val="0D0D0D" w:themeColor="text1" w:themeTint="F2"/>
          <w14:textFill>
            <w14:solidFill>
              <w14:schemeClr w14:val="tx1">
                <w14:lumMod w14:val="95000"/>
                <w14:lumOff w14:val="5000"/>
              </w14:schemeClr>
            </w14:solidFill>
          </w14:textFill>
        </w:rPr>
      </w:pPr>
      <w:bookmarkStart w:id="170" w:name="_Toc27489907"/>
      <w:bookmarkStart w:id="171" w:name="_Toc25162377"/>
      <w:bookmarkStart w:id="172" w:name="_Toc12536222"/>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2 规范化建设目标达标的可行性分析</w:t>
      </w:r>
      <w:bookmarkEnd w:id="170"/>
      <w:bookmarkEnd w:id="171"/>
      <w:bookmarkEnd w:id="172"/>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73" w:name="_Toc478742873"/>
      <w:bookmarkStart w:id="174" w:name="_Toc524596485"/>
      <w:bookmarkStart w:id="175" w:name="_Toc531261192"/>
      <w:bookmarkStart w:id="176" w:name="_Toc27489908"/>
      <w:bookmarkStart w:id="177" w:name="_Toc169504813"/>
      <w:bookmarkStart w:id="178" w:name="_Toc452322643"/>
      <w:bookmarkStart w:id="179" w:name="_Toc169506163"/>
      <w:bookmarkStart w:id="180" w:name="_Toc299451597"/>
      <w:bookmarkStart w:id="181" w:name="_Toc25162378"/>
      <w:bookmarkStart w:id="182" w:name="_Toc169526926"/>
      <w:bookmarkStart w:id="183" w:name="_Toc200905568"/>
      <w:r>
        <w:rPr>
          <w:rFonts w:hint="eastAsia"/>
          <w:color w:val="0D0D0D" w:themeColor="text1" w:themeTint="F2"/>
          <w:sz w:val="28"/>
          <w:szCs w:val="28"/>
          <w14:textFill>
            <w14:solidFill>
              <w14:schemeClr w14:val="tx1">
                <w14:lumMod w14:val="95000"/>
                <w14:lumOff w14:val="5000"/>
              </w14:schemeClr>
            </w14:solidFill>
          </w14:textFill>
        </w:rPr>
        <w:t xml:space="preserve">4.2.1 </w:t>
      </w:r>
      <w:r>
        <w:rPr>
          <w:color w:val="0D0D0D" w:themeColor="text1" w:themeTint="F2"/>
          <w:sz w:val="28"/>
          <w:szCs w:val="28"/>
          <w14:textFill>
            <w14:solidFill>
              <w14:schemeClr w14:val="tx1">
                <w14:lumMod w14:val="95000"/>
                <w14:lumOff w14:val="5000"/>
              </w14:schemeClr>
            </w14:solidFill>
          </w14:textFill>
        </w:rPr>
        <w:t>项目投资及预期效果</w:t>
      </w:r>
      <w:bookmarkEnd w:id="173"/>
      <w:bookmarkEnd w:id="174"/>
      <w:bookmarkEnd w:id="175"/>
      <w:bookmarkEnd w:id="176"/>
      <w:bookmarkEnd w:id="177"/>
      <w:bookmarkEnd w:id="178"/>
      <w:bookmarkEnd w:id="179"/>
      <w:bookmarkEnd w:id="180"/>
      <w:bookmarkEnd w:id="181"/>
      <w:bookmarkEnd w:id="182"/>
      <w:bookmarkEnd w:id="183"/>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田边水库饮用水水源保护区规范化建设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555.79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万元，实现饮用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稳定达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84" w:name="_Toc169506164"/>
      <w:bookmarkStart w:id="185" w:name="_Toc478742874"/>
      <w:bookmarkStart w:id="186" w:name="_Toc200905569"/>
      <w:bookmarkStart w:id="187" w:name="_Toc452322644"/>
      <w:bookmarkStart w:id="188" w:name="_Toc524596486"/>
      <w:bookmarkStart w:id="189" w:name="_Toc169504814"/>
      <w:bookmarkStart w:id="190" w:name="_Toc299451598"/>
      <w:bookmarkStart w:id="191" w:name="_Toc169526927"/>
      <w:bookmarkStart w:id="192" w:name="_Toc25162379"/>
      <w:bookmarkStart w:id="193" w:name="_Toc27489909"/>
      <w:bookmarkStart w:id="194" w:name="_Toc531261193"/>
      <w:r>
        <w:rPr>
          <w:rFonts w:hint="eastAsia"/>
          <w:color w:val="0D0D0D" w:themeColor="text1" w:themeTint="F2"/>
          <w:sz w:val="28"/>
          <w:szCs w:val="28"/>
          <w14:textFill>
            <w14:solidFill>
              <w14:schemeClr w14:val="tx1">
                <w14:lumMod w14:val="95000"/>
                <w14:lumOff w14:val="5000"/>
              </w14:schemeClr>
            </w14:solidFill>
          </w14:textFill>
        </w:rPr>
        <w:t xml:space="preserve">4.2.2 </w:t>
      </w:r>
      <w:r>
        <w:rPr>
          <w:color w:val="0D0D0D" w:themeColor="text1" w:themeTint="F2"/>
          <w:sz w:val="28"/>
          <w:szCs w:val="28"/>
          <w14:textFill>
            <w14:solidFill>
              <w14:schemeClr w14:val="tx1">
                <w14:lumMod w14:val="95000"/>
                <w14:lumOff w14:val="5000"/>
              </w14:schemeClr>
            </w14:solidFill>
          </w14:textFill>
        </w:rPr>
        <w:t>保护区整治方案可行性</w:t>
      </w:r>
      <w:bookmarkEnd w:id="184"/>
      <w:bookmarkEnd w:id="185"/>
      <w:bookmarkEnd w:id="186"/>
      <w:bookmarkEnd w:id="187"/>
      <w:bookmarkEnd w:id="188"/>
      <w:bookmarkEnd w:id="189"/>
      <w:bookmarkEnd w:id="190"/>
      <w:bookmarkEnd w:id="191"/>
      <w:bookmarkEnd w:id="192"/>
      <w:bookmarkEnd w:id="193"/>
      <w:bookmarkEnd w:id="194"/>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5" w:name="_Toc452322645"/>
      <w:bookmarkStart w:id="196" w:name="_Toc478742875"/>
      <w:bookmarkStart w:id="197" w:name="_Toc299451599"/>
      <w:bookmarkStart w:id="198" w:name="_Toc524596487"/>
      <w:bookmarkStart w:id="199" w:name="_Toc20090557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一级保护区污染控制工程</w:t>
      </w:r>
      <w:bookmarkEnd w:id="195"/>
      <w:bookmarkEnd w:id="196"/>
      <w:bookmarkEnd w:id="197"/>
      <w:bookmarkEnd w:id="198"/>
      <w:bookmarkEnd w:id="199"/>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目标的实现，在一级保护区边界设置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围网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、标志、警示牌等，所有耕地实施退耕还林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，实施生活污水及生活垃圾、畜禽养殖污染控制工程，加强交通污染防控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规划的污染控制工程均针对区内现状污染源提出，所规划工程均符合国家相关政策及技术规范，具有较强的可操作性和可行性。这些方案实施后，可以最大限度降低一级保护区内的人为活动干扰对水源水质的影响，也将降低风险事故的发生概率和降低风险事故影响程度，对饮用水水质稳定达标具有积极作用。</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00" w:name="_Toc524596488"/>
      <w:bookmarkStart w:id="201" w:name="_Toc478742876"/>
      <w:bookmarkStart w:id="202" w:name="_Toc299451600"/>
      <w:bookmarkStart w:id="203" w:name="_Toc452322646"/>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污染控制工程</w:t>
      </w:r>
      <w:bookmarkEnd w:id="200"/>
      <w:bookmarkEnd w:id="201"/>
      <w:bookmarkEnd w:id="202"/>
      <w:bookmarkEnd w:id="203"/>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通过埋设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道路设置标牌，明确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范围；通过实施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农村生活污水和生活垃圾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污染控制工程；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实施畜禽粪便综合利用工程；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推广</w:t>
      </w:r>
      <w:r>
        <w:rPr>
          <w:rFonts w:ascii="仿宋" w:hAnsi="仿宋" w:eastAsia="仿宋"/>
          <w:color w:val="0D0D0D" w:themeColor="text1" w:themeTint="F2"/>
          <w:sz w:val="28"/>
          <w:szCs w:val="28"/>
          <w14:textFill>
            <w14:solidFill>
              <w14:schemeClr w14:val="tx1">
                <w14:lumMod w14:val="95000"/>
                <w14:lumOff w14:val="5000"/>
              </w14:schemeClr>
            </w14:solidFill>
          </w14:textFill>
        </w:rPr>
        <w:t>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，降低化肥施用量、退耕还林、减少耕地面积等措施对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、农业</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面源污染进行控制；设置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，降低保护区内交通事故污染风险及危害。上述工程或措施均符合国家相关政策及技术规范，具有较强的可操作性和可行性。完成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04" w:name="_Toc200905571"/>
      <w:bookmarkStart w:id="205" w:name="_Toc299451601"/>
      <w:bookmarkStart w:id="206" w:name="_Toc524596489"/>
      <w:bookmarkStart w:id="207" w:name="_Toc452322647"/>
      <w:bookmarkStart w:id="208" w:name="_Toc47874287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生态恢复与建设工程</w:t>
      </w:r>
      <w:bookmarkEnd w:id="204"/>
      <w:bookmarkEnd w:id="205"/>
      <w:bookmarkEnd w:id="206"/>
      <w:bookmarkEnd w:id="207"/>
      <w:bookmarkEnd w:id="208"/>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退耕还林（草）工程、林地保护工程和水土流失治理工程等生态恢复和建设工程，建设保护水源涵养林和水土保持林，将进一步提高保护区林草覆盖率，降低流域土壤侵蚀强度，从而提高流域水源涵养能力，降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污染物对水质的影响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。工程实施将形成水源保护区以水源涵养为主的森林生态系统，确保水源地的陆生生态系统水源涵养功能的正常发挥，确保水源区水源充足，水质优良。</w:t>
      </w:r>
    </w:p>
    <w:p>
      <w:pPr>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09" w:name="_Toc524596490"/>
      <w:bookmarkStart w:id="210" w:name="_Toc478742878"/>
      <w:bookmarkStart w:id="211" w:name="_Toc452322648"/>
      <w:bookmarkStart w:id="212" w:name="_Toc299451602"/>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管理能力和环境应急能力建设</w:t>
      </w:r>
      <w:bookmarkEnd w:id="209"/>
      <w:bookmarkEnd w:id="210"/>
      <w:bookmarkEnd w:id="211"/>
      <w:bookmarkEnd w:id="212"/>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饮用水源地统一和联合管理机构，建立水源地执法队伍；建设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水源地管理数据共享平台，为系统管理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饮用水源地，合理调配水资源，实现统一管理提供数据和技术支撑；建设预警监控体系和应急处理体系，防范污染事件，提高处理效率，保障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隆阳区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饮用水安全。</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213" w:name="_Toc452322649"/>
      <w:bookmarkStart w:id="214" w:name="_Toc169526928"/>
      <w:bookmarkStart w:id="215" w:name="_Toc27489910"/>
      <w:bookmarkStart w:id="216" w:name="_Toc524596491"/>
      <w:bookmarkStart w:id="217" w:name="_Toc200905575"/>
      <w:bookmarkStart w:id="218" w:name="_Toc169506165"/>
      <w:bookmarkStart w:id="219" w:name="_Toc25162380"/>
      <w:bookmarkStart w:id="220" w:name="_Toc299451603"/>
      <w:bookmarkStart w:id="221" w:name="_Toc531261194"/>
      <w:bookmarkStart w:id="222" w:name="_Toc478742879"/>
      <w:bookmarkStart w:id="223" w:name="_Toc169504815"/>
      <w:r>
        <w:rPr>
          <w:rFonts w:hint="eastAsia"/>
          <w:color w:val="0D0D0D" w:themeColor="text1" w:themeTint="F2"/>
          <w:sz w:val="28"/>
          <w:szCs w:val="28"/>
          <w14:textFill>
            <w14:solidFill>
              <w14:schemeClr w14:val="tx1">
                <w14:lumMod w14:val="95000"/>
                <w14:lumOff w14:val="5000"/>
              </w14:schemeClr>
            </w14:solidFill>
          </w14:textFill>
        </w:rPr>
        <w:t xml:space="preserve">4.2.3 </w:t>
      </w:r>
      <w:r>
        <w:rPr>
          <w:color w:val="0D0D0D" w:themeColor="text1" w:themeTint="F2"/>
          <w:sz w:val="28"/>
          <w:szCs w:val="28"/>
          <w14:textFill>
            <w14:solidFill>
              <w14:schemeClr w14:val="tx1">
                <w14:lumMod w14:val="95000"/>
                <w14:lumOff w14:val="5000"/>
              </w14:schemeClr>
            </w14:solidFill>
          </w14:textFill>
        </w:rPr>
        <w:t>饮用水水源地水质目标可达性分析</w:t>
      </w:r>
      <w:bookmarkEnd w:id="213"/>
      <w:bookmarkEnd w:id="214"/>
      <w:bookmarkEnd w:id="215"/>
      <w:bookmarkEnd w:id="216"/>
      <w:bookmarkEnd w:id="217"/>
      <w:bookmarkEnd w:id="218"/>
      <w:bookmarkEnd w:id="219"/>
      <w:bookmarkEnd w:id="220"/>
      <w:bookmarkEnd w:id="221"/>
      <w:bookmarkEnd w:id="222"/>
      <w:bookmarkEnd w:id="223"/>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24" w:name="_Toc478742880"/>
      <w:bookmarkStart w:id="225" w:name="_Toc524596492"/>
      <w:bookmarkStart w:id="226" w:name="_Toc299451606"/>
      <w:bookmarkStart w:id="227" w:name="_Toc452322651"/>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农村面源整治</w:t>
      </w:r>
      <w:bookmarkEnd w:id="224"/>
      <w:bookmarkEnd w:id="225"/>
      <w:bookmarkEnd w:id="226"/>
      <w:bookmarkEnd w:id="227"/>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对</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一级保护区和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实施农村生活污水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收集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处理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工程，加强农村生活</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垃圾收集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清运管理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，预计农村生活污水收集处理后污染物去除率将可达到50%，农村生活垃圾收集处理率将达到80%以上。</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28" w:name="_Toc478742881"/>
      <w:bookmarkStart w:id="229" w:name="_Toc524596493"/>
      <w:bookmarkStart w:id="230" w:name="_Toc452322652"/>
      <w:bookmarkStart w:id="231" w:name="_Toc29945160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农业面源治理</w:t>
      </w:r>
      <w:bookmarkEnd w:id="228"/>
      <w:bookmarkEnd w:id="229"/>
      <w:bookmarkEnd w:id="230"/>
      <w:bookmarkEnd w:id="231"/>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一级保护区内的全部耕地进行退耕还林，实施生态防护工程，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的存留农地进行测土配方施肥技术，降低保护区耕地化肥施用量</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。工程实施后，可减少化肥施用量</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约</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20%。</w:t>
      </w:r>
    </w:p>
    <w:p>
      <w:pPr>
        <w:keepNext/>
        <w:keepLines/>
        <w:spacing w:before="340" w:after="330" w:line="578" w:lineRule="auto"/>
        <w:jc w:val="center"/>
        <w:outlineLvl w:val="0"/>
        <w:rPr>
          <w:rFonts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pPr>
      <w:bookmarkStart w:id="232" w:name="_Toc27489911"/>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第五章饮用水水源保护区划分方案、图件及有关说明</w:t>
      </w:r>
      <w:bookmarkEnd w:id="232"/>
      <w:r>
        <w:rPr>
          <w:rFonts w:hint="eastAsia"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t xml:space="preserve"> </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33" w:name="_Toc27489912"/>
      <w:bookmarkStart w:id="234" w:name="_Toc20409173"/>
      <w:bookmarkStart w:id="235" w:name="_Toc12621608"/>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饮用水水源保护区划分方案</w:t>
      </w:r>
      <w:bookmarkEnd w:id="233"/>
      <w:bookmarkEnd w:id="234"/>
      <w:bookmarkEnd w:id="235"/>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一级保护区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bookmarkStart w:id="236" w:name="_Hlk520442120"/>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1967.50m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以下水域，面积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0.0707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外延200m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同时以水库周边现状道路定界，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0.3493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为0.4200</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田边</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流域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分水岭</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范围</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内一级保护区外的其他区域，面积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3.2629</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饮用水水源保护区由一级保护区和二级保护区组成，总面积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3.6829</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bookmarkEnd w:id="236"/>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37" w:name="_Toc12621609"/>
      <w:bookmarkStart w:id="238" w:name="_Toc20409174"/>
      <w:bookmarkStart w:id="239" w:name="_Toc27489913"/>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5.2 饮用水水源保护区划分图件</w:t>
      </w:r>
      <w:bookmarkEnd w:id="237"/>
      <w:bookmarkEnd w:id="238"/>
      <w:bookmarkEnd w:id="239"/>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田边水库饮用水水源地边界主要拐点的经纬度坐标见表5-1、5-2。</w:t>
      </w:r>
    </w:p>
    <w:p>
      <w:pPr>
        <w:adjustRightInd w:val="0"/>
        <w:snapToGrid w:val="0"/>
        <w:spacing w:line="360" w:lineRule="auto"/>
        <w:ind w:firstLine="562" w:firstLineChars="20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240" w:name="_Hlk529785264"/>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富源县田边</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w:t>
      </w:r>
      <w:bookmarkEnd w:id="240"/>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饮用水水源一级保护区拐点坐标表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884"/>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blHeader/>
        </w:trPr>
        <w:tc>
          <w:tcPr>
            <w:tcW w:w="96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104°15'13.048"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25°27'11.213"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104°15'14.377"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25°27'10.047"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104°15'18.163"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25°27'8.710"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A4</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104°15'18.655"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25°27'6.420"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A5</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104°15'16.665"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25°27'2.556"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A6</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104°15'15.727"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25°26'52.133"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A7</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104°15'13.218"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25°26'46.830"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A8</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104°15'5.879"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25°26'43.378"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A9</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104°14'55.351"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25°26'46.293"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A10</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104°14'57.296"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25°26'59.433"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104°14'59.051"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25°27'5.654"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104°15'3.234"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25°27'11.178"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104°15'8.674"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25°27'11.185" N</w:t>
            </w:r>
          </w:p>
        </w:tc>
      </w:tr>
    </w:tbl>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p>
    <w:p>
      <w:pPr>
        <w:adjustRightInd w:val="0"/>
        <w:snapToGrid w:val="0"/>
        <w:spacing w:line="360" w:lineRule="auto"/>
        <w:ind w:firstLine="562" w:firstLineChars="20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  富源县田边</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级保护区拐点坐标表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884"/>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blHeader/>
        </w:trPr>
        <w:tc>
          <w:tcPr>
            <w:tcW w:w="96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104°15'28.332"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25°27'8.853"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104°15'32.746"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25°26'57.370"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104°15'34.216"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25°26'41.250"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B4</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104°15'42.877"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25°26'35.974"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B5</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104°15'48.292"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25°26'19.515"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B6</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104°15'33.253"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25°26'7.103"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B7</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104°15'20.237"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25°26'1.938"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B8</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104°15'9.277"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25°26'9.955"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B9</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104°15'0.783"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25°26'22.300"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B10</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104°14'55.883"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25°26'31.553"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104°14'50.225"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25°26'34.776"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B12</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104°14'31.381"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25°26'39.492"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B13</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104°14'19.086"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25°26'37.172"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B14</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104°14'6.749"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25°26'37.850"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B15</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104°14'0.516"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25°26'39.762"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B16</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104°14'1.158"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25°26'52.556"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B17</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104°14'4.717"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25°27'3.670"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B18</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104°14'13.593"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25°27'12.800"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B19</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104°14'33.010"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25°27'9.660"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B20</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104°14'48.421"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25°27'6.505"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B21</w:t>
            </w:r>
          </w:p>
        </w:tc>
        <w:tc>
          <w:tcPr>
            <w:tcW w:w="388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104°14'52.975"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25°27'13.673" N</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widowControl/>
        <w:snapToGrid w:val="0"/>
        <w:spacing w:line="360" w:lineRule="auto"/>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bookmarkEnd w:id="111"/>
    <w:bookmarkEnd w:id="112"/>
    <w:bookmarkEnd w:id="113"/>
    <w:p>
      <w:pPr>
        <w:pStyle w:val="3"/>
        <w:adjustRightInd w:val="0"/>
        <w:snapToGrid w:val="0"/>
        <w:spacing w:before="120" w:after="120" w:line="360" w:lineRule="auto"/>
        <w:ind w:left="142"/>
        <w:rPr>
          <w:rFonts w:cs="Times New Roman"/>
          <w:color w:val="0D0D0D" w:themeColor="text1" w:themeTint="F2"/>
          <w:sz w:val="28"/>
          <w:szCs w:val="28"/>
          <w14:textFill>
            <w14:solidFill>
              <w14:schemeClr w14:val="tx1">
                <w14:lumMod w14:val="95000"/>
                <w14:lumOff w14:val="5000"/>
              </w14:schemeClr>
            </w14:solidFill>
          </w14:textFill>
        </w:rPr>
      </w:pPr>
      <w:bookmarkStart w:id="241" w:name="_Toc27489914"/>
      <w:bookmarkStart w:id="242" w:name="_Toc12621932"/>
      <w:bookmarkStart w:id="243" w:name="_Toc531261196"/>
      <w:r>
        <w:rPr>
          <w:rFonts w:hint="eastAsia" w:cs="Times New Roman"/>
          <w:color w:val="0D0D0D" w:themeColor="text1" w:themeTint="F2"/>
          <w:sz w:val="28"/>
          <w:szCs w:val="28"/>
          <w14:textFill>
            <w14:solidFill>
              <w14:schemeClr w14:val="tx1">
                <w14:lumMod w14:val="95000"/>
                <w14:lumOff w14:val="5000"/>
              </w14:schemeClr>
            </w14:solidFill>
          </w14:textFill>
        </w:rPr>
        <w:t>附表1 富源县（2018年）基础信息调查表</w:t>
      </w:r>
      <w:bookmarkEnd w:id="241"/>
      <w:bookmarkEnd w:id="242"/>
      <w:bookmarkEnd w:id="243"/>
    </w:p>
    <w:tbl>
      <w:tblPr>
        <w:tblStyle w:val="45"/>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3"/>
        <w:gridCol w:w="1613"/>
        <w:gridCol w:w="1613"/>
        <w:gridCol w:w="1613"/>
        <w:gridCol w:w="1613"/>
        <w:gridCol w:w="1613"/>
        <w:gridCol w:w="1613"/>
        <w:gridCol w:w="1613"/>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区县名称</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人口</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（万人）</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（平方公里）</w:t>
            </w:r>
          </w:p>
        </w:tc>
        <w:tc>
          <w:tcPr>
            <w:tcW w:w="1613" w:type="dxa"/>
            <w:vAlign w:val="center"/>
          </w:tcPr>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GDP</w:t>
            </w:r>
          </w:p>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第一产业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第二产业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第三产业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年降雨量（</w:t>
            </w: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mm）</w:t>
            </w:r>
          </w:p>
        </w:tc>
        <w:tc>
          <w:tcPr>
            <w:tcW w:w="1610"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耕地面积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Cs/>
                <w:color w:val="0D0D0D" w:themeColor="text1" w:themeTint="F2"/>
                <w:sz w:val="24"/>
                <w:szCs w:val="32"/>
                <w14:textFill>
                  <w14:solidFill>
                    <w14:schemeClr w14:val="tx1">
                      <w14:lumMod w14:val="95000"/>
                      <w14:lumOff w14:val="5000"/>
                    </w14:schemeClr>
                  </w14:solidFill>
                </w14:textFill>
              </w:rPr>
              <w:t>富源县</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83.44</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3251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155.3458</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37.3832</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50.2285</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42.8381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1093.7</w:t>
            </w:r>
          </w:p>
        </w:tc>
        <w:tc>
          <w:tcPr>
            <w:tcW w:w="1610"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167.51</w:t>
            </w:r>
          </w:p>
        </w:tc>
      </w:tr>
    </w:tbl>
    <w:p>
      <w:pPr>
        <w:pStyle w:val="3"/>
        <w:adjustRightInd w:val="0"/>
        <w:snapToGrid w:val="0"/>
        <w:spacing w:before="120" w:after="120" w:line="360" w:lineRule="auto"/>
        <w:ind w:left="142"/>
        <w:rPr>
          <w:rFonts w:cs="Times New Roman"/>
          <w:color w:val="0D0D0D" w:themeColor="text1" w:themeTint="F2"/>
          <w:sz w:val="28"/>
          <w:szCs w:val="28"/>
          <w14:textFill>
            <w14:solidFill>
              <w14:schemeClr w14:val="tx1">
                <w14:lumMod w14:val="95000"/>
                <w14:lumOff w14:val="5000"/>
              </w14:schemeClr>
            </w14:solidFill>
          </w14:textFill>
        </w:rPr>
      </w:pPr>
      <w:bookmarkStart w:id="244" w:name="_Toc18506561"/>
      <w:bookmarkStart w:id="245" w:name="_Toc27489915"/>
      <w:r>
        <w:rPr>
          <w:rFonts w:cs="Times New Roman"/>
          <w:color w:val="0D0D0D" w:themeColor="text1" w:themeTint="F2"/>
          <w:sz w:val="28"/>
          <w:szCs w:val="28"/>
          <w14:textFill>
            <w14:solidFill>
              <w14:schemeClr w14:val="tx1">
                <w14:lumMod w14:val="95000"/>
                <w14:lumOff w14:val="5000"/>
              </w14:schemeClr>
            </w14:solidFill>
          </w14:textFill>
        </w:rPr>
        <w:t>附表2 富源县田边水库饮用水水源地基础信息表</w:t>
      </w:r>
      <w:bookmarkEnd w:id="244"/>
      <w:bookmarkEnd w:id="245"/>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田边水库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饮用水水源地基础信息表</w:t>
      </w:r>
    </w:p>
    <w:tbl>
      <w:tblPr>
        <w:tblStyle w:val="44"/>
        <w:tblW w:w="13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480"/>
        <w:gridCol w:w="1479"/>
        <w:gridCol w:w="1480"/>
        <w:gridCol w:w="1479"/>
        <w:gridCol w:w="1575"/>
        <w:gridCol w:w="1384"/>
        <w:gridCol w:w="1479"/>
        <w:gridCol w:w="147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州、市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县（市、区）</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水源地名称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水源地所在地</w:t>
            </w:r>
          </w:p>
        </w:tc>
        <w:tc>
          <w:tcPr>
            <w:tcW w:w="1575"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水源地编码</w:t>
            </w:r>
          </w:p>
        </w:tc>
        <w:tc>
          <w:tcPr>
            <w:tcW w:w="1384"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水源地类型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使用状态</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所在水系</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vAlign w:val="center"/>
          </w:tcPr>
          <w:p>
            <w:pPr>
              <w:widowControl/>
              <w:adjustRightInd w:val="0"/>
              <w:snapToGrid w:val="0"/>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575"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384"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曲靖市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田边水库</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营上镇</w:t>
            </w:r>
          </w:p>
        </w:tc>
        <w:tc>
          <w:tcPr>
            <w:tcW w:w="1575"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HA0114530325101R0002</w:t>
            </w:r>
          </w:p>
        </w:tc>
        <w:tc>
          <w:tcPr>
            <w:tcW w:w="1384"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正常供水</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南盘江（西江）</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4 \* ROMAN</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separate"/>
            </w:r>
            <w:r>
              <w:rPr>
                <w:rFonts w:hint="eastAsia" w:ascii="宋体" w:hAnsi="宋体" w:eastAsia="宋体" w:cs="宋体"/>
                <w:color w:val="0D0D0D" w:themeColor="text1" w:themeTint="F2"/>
                <w:kern w:val="0"/>
                <w:sz w:val="24"/>
                <w:szCs w:val="24"/>
                <w:lang w:eastAsia="ja-JP"/>
                <w14:textFill>
                  <w14:solidFill>
                    <w14:schemeClr w14:val="tx1">
                      <w14:lumMod w14:val="95000"/>
                      <w14:lumOff w14:val="5000"/>
                    </w14:schemeClr>
                  </w14:solidFill>
                </w14:textFill>
              </w:rPr>
              <w:t>Ⅲ</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超标因子（注明超标倍数）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取水口位置</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（经纬度）</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多年平均</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水位线（m）</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供水范围</w:t>
            </w:r>
          </w:p>
        </w:tc>
        <w:tc>
          <w:tcPr>
            <w:tcW w:w="1575"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供水人口</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（万人）</w:t>
            </w:r>
          </w:p>
        </w:tc>
        <w:tc>
          <w:tcPr>
            <w:tcW w:w="1384"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供水量</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（万吨/日）</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对应供水工程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是否设立隔离栏</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标识标志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575"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w:t>
            </w:r>
          </w:p>
        </w:tc>
        <w:tc>
          <w:tcPr>
            <w:tcW w:w="1384"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总氮（0.9倍）</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E</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104°15′11"</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25°27′9"</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1967.50</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营上镇集镇</w:t>
            </w:r>
          </w:p>
        </w:tc>
        <w:tc>
          <w:tcPr>
            <w:tcW w:w="1575"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0.8</w:t>
            </w:r>
          </w:p>
        </w:tc>
        <w:tc>
          <w:tcPr>
            <w:tcW w:w="1384"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富源县营上镇自来水厂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bookmarkStart w:id="246" w:name="_Toc12621934"/>
      <w:bookmarkStart w:id="247" w:name="_Toc10723935"/>
      <w:bookmarkStart w:id="248" w:name="_Toc27489916"/>
    </w:p>
    <w:p>
      <w:pPr>
        <w:pStyle w:val="3"/>
        <w:adjustRightInd w:val="0"/>
        <w:snapToGrid w:val="0"/>
        <w:spacing w:before="120" w:after="120" w:line="360" w:lineRule="auto"/>
        <w:ind w:left="142"/>
        <w:rPr>
          <w:rFonts w:cs="Times New Roman"/>
          <w:color w:val="0D0D0D" w:themeColor="text1" w:themeTint="F2"/>
          <w:sz w:val="28"/>
          <w:szCs w:val="28"/>
          <w14:textFill>
            <w14:solidFill>
              <w14:schemeClr w14:val="tx1">
                <w14:lumMod w14:val="95000"/>
                <w14:lumOff w14:val="5000"/>
              </w14:schemeClr>
            </w14:solidFill>
          </w14:textFill>
        </w:rPr>
      </w:pPr>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3</w:t>
      </w:r>
      <w:bookmarkEnd w:id="246"/>
      <w:bookmarkEnd w:id="247"/>
      <w:r>
        <w:rPr>
          <w:rFonts w:hint="eastAsia" w:cs="Times New Roman"/>
          <w:color w:val="0D0D0D" w:themeColor="text1" w:themeTint="F2"/>
          <w:sz w:val="28"/>
          <w:szCs w:val="28"/>
          <w14:textFill>
            <w14:solidFill>
              <w14:schemeClr w14:val="tx1">
                <w14:lumMod w14:val="95000"/>
                <w14:lumOff w14:val="5000"/>
              </w14:schemeClr>
            </w14:solidFill>
          </w14:textFill>
        </w:rPr>
        <w:t xml:space="preserve"> 富源县田边水库集中式饮用水水源保护区划分结果表</w:t>
      </w:r>
      <w:bookmarkEnd w:id="248"/>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田边水库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饮用水水源地保护区划分结果表</w:t>
      </w:r>
    </w:p>
    <w:tbl>
      <w:tblPr>
        <w:tblStyle w:val="44"/>
        <w:tblW w:w="13948" w:type="dxa"/>
        <w:tblInd w:w="0" w:type="dxa"/>
        <w:tblLayout w:type="fixed"/>
        <w:tblCellMar>
          <w:top w:w="0" w:type="dxa"/>
          <w:left w:w="108" w:type="dxa"/>
          <w:bottom w:w="0" w:type="dxa"/>
          <w:right w:w="108" w:type="dxa"/>
        </w:tblCellMar>
      </w:tblPr>
      <w:tblGrid>
        <w:gridCol w:w="838"/>
        <w:gridCol w:w="1284"/>
        <w:gridCol w:w="993"/>
        <w:gridCol w:w="1275"/>
        <w:gridCol w:w="1559"/>
        <w:gridCol w:w="1133"/>
        <w:gridCol w:w="1418"/>
        <w:gridCol w:w="1378"/>
        <w:gridCol w:w="1537"/>
        <w:gridCol w:w="1253"/>
        <w:gridCol w:w="1280"/>
      </w:tblGrid>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城市名称</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饮用水水源地名称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水源地类型</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水环境功能类别</w:t>
            </w:r>
          </w:p>
        </w:tc>
        <w:tc>
          <w:tcPr>
            <w:tcW w:w="15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指标名称</w:t>
            </w:r>
          </w:p>
        </w:tc>
        <w:tc>
          <w:tcPr>
            <w:tcW w:w="255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一级保护区</w:t>
            </w:r>
          </w:p>
        </w:tc>
        <w:tc>
          <w:tcPr>
            <w:tcW w:w="291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二级保护区</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准保护区</w:t>
            </w:r>
          </w:p>
        </w:tc>
      </w:tr>
      <w:tr>
        <w:tblPrEx>
          <w:tblLayout w:type="fixed"/>
          <w:tblCellMar>
            <w:top w:w="0" w:type="dxa"/>
            <w:left w:w="108" w:type="dxa"/>
            <w:bottom w:w="0" w:type="dxa"/>
            <w:right w:w="108" w:type="dxa"/>
          </w:tblCellMar>
        </w:tblPrEx>
        <w:trPr>
          <w:trHeight w:val="285" w:hRule="atLeast"/>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41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37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r>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w:t>
            </w:r>
          </w:p>
        </w:tc>
        <w:tc>
          <w:tcPr>
            <w:tcW w:w="128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田边水库</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1275"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类</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51"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0.4200</w:t>
            </w:r>
          </w:p>
        </w:tc>
        <w:tc>
          <w:tcPr>
            <w:tcW w:w="2915"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3.2629</w:t>
            </w:r>
          </w:p>
        </w:tc>
        <w:tc>
          <w:tcPr>
            <w:tcW w:w="2533"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Layout w:type="fixed"/>
          <w:tblCellMar>
            <w:top w:w="0" w:type="dxa"/>
            <w:left w:w="108" w:type="dxa"/>
            <w:bottom w:w="0" w:type="dxa"/>
            <w:right w:w="108" w:type="dxa"/>
          </w:tblCellMar>
        </w:tblPrEx>
        <w:trPr>
          <w:trHeight w:val="315"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0.0707</w:t>
            </w:r>
          </w:p>
        </w:tc>
        <w:tc>
          <w:tcPr>
            <w:tcW w:w="141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0.3493</w:t>
            </w:r>
          </w:p>
        </w:tc>
        <w:tc>
          <w:tcPr>
            <w:tcW w:w="137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3.2629</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Layout w:type="fixed"/>
          <w:tblCellMar>
            <w:top w:w="0" w:type="dxa"/>
            <w:left w:w="108" w:type="dxa"/>
            <w:bottom w:w="0" w:type="dxa"/>
            <w:right w:w="108" w:type="dxa"/>
          </w:tblCellMar>
        </w:tblPrEx>
        <w:trPr>
          <w:trHeight w:val="570"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保护区范围</w:t>
            </w:r>
          </w:p>
        </w:tc>
        <w:tc>
          <w:tcPr>
            <w:tcW w:w="2551"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水域：田边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1967.50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m以下的全部水域。</w:t>
            </w:r>
          </w:p>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陆域：田边水库正常蓄水位外延200m范围</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为陆域</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，同时以水库周边现状道路定界。</w:t>
            </w:r>
          </w:p>
        </w:tc>
        <w:tc>
          <w:tcPr>
            <w:tcW w:w="2915"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流域分水岭范围内一级保护区外的其他区域。</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bl>
    <w:p>
      <w:pPr>
        <w:rPr>
          <w:color w:val="0D0D0D" w:themeColor="text1" w:themeTint="F2"/>
          <w:highlight w:val="yellow"/>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p>
      <w:pPr>
        <w:pStyle w:val="3"/>
        <w:adjustRightInd w:val="0"/>
        <w:snapToGrid w:val="0"/>
        <w:spacing w:before="120" w:after="120" w:line="360" w:lineRule="auto"/>
        <w:ind w:left="142"/>
        <w:rPr>
          <w:rFonts w:cs="Times New Roman"/>
          <w:color w:val="0D0D0D" w:themeColor="text1" w:themeTint="F2"/>
          <w:sz w:val="28"/>
          <w:szCs w:val="28"/>
          <w14:textFill>
            <w14:solidFill>
              <w14:schemeClr w14:val="tx1">
                <w14:lumMod w14:val="95000"/>
                <w14:lumOff w14:val="5000"/>
              </w14:schemeClr>
            </w14:solidFill>
          </w14:textFill>
        </w:rPr>
      </w:pPr>
      <w:bookmarkStart w:id="249" w:name="_Toc27489917"/>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4 富源县田边水库饮用水水源地保护区污染源调查表</w:t>
      </w:r>
      <w:bookmarkEnd w:id="249"/>
    </w:p>
    <w:p>
      <w:pPr>
        <w:adjustRightInd w:val="0"/>
        <w:snapToGrid w:val="0"/>
        <w:spacing w:line="240" w:lineRule="atLeast"/>
        <w:jc w:val="cente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田边水库</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饮用水水源地保护区污染源调查表</w:t>
      </w:r>
    </w:p>
    <w:tbl>
      <w:tblPr>
        <w:tblStyle w:val="44"/>
        <w:tblW w:w="14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709"/>
        <w:gridCol w:w="2722"/>
        <w:gridCol w:w="1086"/>
        <w:gridCol w:w="1847"/>
        <w:gridCol w:w="2550"/>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水源地名称</w:t>
            </w:r>
          </w:p>
        </w:tc>
        <w:tc>
          <w:tcPr>
            <w:tcW w:w="1134"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保护区级别</w:t>
            </w:r>
          </w:p>
        </w:tc>
        <w:tc>
          <w:tcPr>
            <w:tcW w:w="4517" w:type="dxa"/>
            <w:gridSpan w:val="3"/>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主要污染源</w:t>
            </w:r>
          </w:p>
        </w:tc>
        <w:tc>
          <w:tcPr>
            <w:tcW w:w="184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环境风险</w:t>
            </w:r>
          </w:p>
        </w:tc>
        <w:tc>
          <w:tcPr>
            <w:tcW w:w="2550"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存在的主要环境问题</w:t>
            </w:r>
          </w:p>
        </w:tc>
        <w:tc>
          <w:tcPr>
            <w:tcW w:w="317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规范化建设项目及管理措施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709"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点源</w:t>
            </w:r>
          </w:p>
        </w:tc>
        <w:tc>
          <w:tcPr>
            <w:tcW w:w="2722"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面源</w:t>
            </w:r>
          </w:p>
        </w:tc>
        <w:tc>
          <w:tcPr>
            <w:tcW w:w="1086"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流动源</w:t>
            </w:r>
          </w:p>
        </w:tc>
        <w:tc>
          <w:tcPr>
            <w:tcW w:w="184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550"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317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田边水库</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一级区</w:t>
            </w:r>
          </w:p>
        </w:tc>
        <w:tc>
          <w:tcPr>
            <w:tcW w:w="70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722"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1.农村生活面源，涉及</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58</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232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人；</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2.畜禽养殖污染，涉及畜禽数量</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558</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头（只）</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 xml:space="preserve"> </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26.63公顷；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27.81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乡村道路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农业农村面源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1.农村生活污水及垃圾面源污染；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1.一级保护区防护围网、交通警示牌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、告示牌、界桩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2.农村生活</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3.农村生活污水处置工程；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4.畜禽养殖</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“改圈”</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退耕还林、人工造林</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.交通污染控制工程；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二级区</w:t>
            </w:r>
          </w:p>
        </w:tc>
        <w:tc>
          <w:tcPr>
            <w:tcW w:w="709"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722"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1.农村生活面源，涉及</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3个自然村209</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866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人；</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2.畜禽养殖污染，涉及畜禽数量</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2126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头（只）</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163.86公顷；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227.28</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乡村道路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农业农村面源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1.农村生活污水及垃圾面源污染；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1.二级保护区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、宣传牌、交通警示牌设置；</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2.农村生活</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3.农村生活污水处置工程；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.畜禽养殖</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“改圈”</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退耕还林、人工造林</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.测土配方施肥工程；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交通污染控制工程；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bl>
    <w:p>
      <w:pPr>
        <w:rPr>
          <w:color w:val="0D0D0D" w:themeColor="text1" w:themeTint="F2"/>
          <w:highlight w:val="yellow"/>
          <w14:textFill>
            <w14:solidFill>
              <w14:schemeClr w14:val="tx1">
                <w14:lumMod w14:val="95000"/>
                <w14:lumOff w14:val="5000"/>
              </w14:schemeClr>
            </w14:solidFill>
          </w14:textFill>
        </w:rPr>
      </w:pPr>
    </w:p>
    <w:p>
      <w:pPr>
        <w:rPr>
          <w:color w:val="0D0D0D" w:themeColor="text1" w:themeTint="F2"/>
          <w:highlight w:val="yellow"/>
          <w14:textFill>
            <w14:solidFill>
              <w14:schemeClr w14:val="tx1">
                <w14:lumMod w14:val="95000"/>
                <w14:lumOff w14:val="5000"/>
              </w14:schemeClr>
            </w14:solidFill>
          </w14:textFill>
        </w:rPr>
      </w:pPr>
    </w:p>
    <w:sectPr>
      <w:pgSz w:w="16838" w:h="11906" w:orient="landscape"/>
      <w:pgMar w:top="1236" w:right="1440" w:bottom="1236" w:left="144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Microsoft YaHei UI">
    <w:altName w:val="宋体"/>
    <w:panose1 w:val="020B0503020204020204"/>
    <w:charset w:val="86"/>
    <w:family w:val="swiss"/>
    <w:pitch w:val="default"/>
    <w:sig w:usb0="00000000" w:usb1="0000000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468632"/>
      <w:docPartObj>
        <w:docPartGallery w:val="AutoText"/>
      </w:docPartObj>
    </w:sdtPr>
    <w:sdtContent>
      <w:p>
        <w:pPr>
          <w:pStyle w:val="28"/>
          <w:jc w:val="center"/>
        </w:pP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5807744"/>
      <w:docPartObj>
        <w:docPartGallery w:val="AutoText"/>
      </w:docPartObj>
    </w:sdtPr>
    <w:sdtContent>
      <w:p>
        <w:pPr>
          <w:pStyle w:val="28"/>
          <w:jc w:val="center"/>
        </w:pPr>
        <w:r>
          <w:fldChar w:fldCharType="begin"/>
        </w:r>
        <w:r>
          <w:instrText xml:space="preserve">PAGE   \* MERGEFORMAT</w:instrText>
        </w:r>
        <w:r>
          <w:fldChar w:fldCharType="separate"/>
        </w:r>
        <w:r>
          <w:rPr>
            <w:lang w:val="zh-CN"/>
          </w:rPr>
          <w:t>iii</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9099417"/>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36 -</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092"/>
    <w:rsid w:val="00002B1D"/>
    <w:rsid w:val="000051A7"/>
    <w:rsid w:val="000057B4"/>
    <w:rsid w:val="000057E5"/>
    <w:rsid w:val="00006389"/>
    <w:rsid w:val="000214DD"/>
    <w:rsid w:val="00023B70"/>
    <w:rsid w:val="000245F6"/>
    <w:rsid w:val="00024D03"/>
    <w:rsid w:val="0003553B"/>
    <w:rsid w:val="000362D7"/>
    <w:rsid w:val="00036A97"/>
    <w:rsid w:val="00041333"/>
    <w:rsid w:val="00042407"/>
    <w:rsid w:val="000439BE"/>
    <w:rsid w:val="00044BEE"/>
    <w:rsid w:val="000453C1"/>
    <w:rsid w:val="0004636E"/>
    <w:rsid w:val="00047106"/>
    <w:rsid w:val="00050091"/>
    <w:rsid w:val="00053EA4"/>
    <w:rsid w:val="0005450C"/>
    <w:rsid w:val="00055B7B"/>
    <w:rsid w:val="00055BA1"/>
    <w:rsid w:val="00057724"/>
    <w:rsid w:val="00071E63"/>
    <w:rsid w:val="00073188"/>
    <w:rsid w:val="00073243"/>
    <w:rsid w:val="0008082C"/>
    <w:rsid w:val="00081CA4"/>
    <w:rsid w:val="000857FC"/>
    <w:rsid w:val="000924F1"/>
    <w:rsid w:val="000946A3"/>
    <w:rsid w:val="000A0EB9"/>
    <w:rsid w:val="000A30C6"/>
    <w:rsid w:val="000A42F3"/>
    <w:rsid w:val="000A5248"/>
    <w:rsid w:val="000B2196"/>
    <w:rsid w:val="000B32DF"/>
    <w:rsid w:val="000B75C5"/>
    <w:rsid w:val="000C4766"/>
    <w:rsid w:val="000D6FD0"/>
    <w:rsid w:val="000E1D72"/>
    <w:rsid w:val="000E5B0E"/>
    <w:rsid w:val="000F0431"/>
    <w:rsid w:val="000F2DDA"/>
    <w:rsid w:val="000F3D90"/>
    <w:rsid w:val="000F51D5"/>
    <w:rsid w:val="000F7402"/>
    <w:rsid w:val="00103D7C"/>
    <w:rsid w:val="00104C08"/>
    <w:rsid w:val="001051D6"/>
    <w:rsid w:val="00110EEA"/>
    <w:rsid w:val="00113071"/>
    <w:rsid w:val="00117795"/>
    <w:rsid w:val="00130C7D"/>
    <w:rsid w:val="00132BB7"/>
    <w:rsid w:val="0014035B"/>
    <w:rsid w:val="00140894"/>
    <w:rsid w:val="00142C7C"/>
    <w:rsid w:val="00143132"/>
    <w:rsid w:val="00143B51"/>
    <w:rsid w:val="001450A5"/>
    <w:rsid w:val="001515D1"/>
    <w:rsid w:val="00152DE8"/>
    <w:rsid w:val="00154210"/>
    <w:rsid w:val="00154E81"/>
    <w:rsid w:val="00160938"/>
    <w:rsid w:val="0016142D"/>
    <w:rsid w:val="0016272A"/>
    <w:rsid w:val="00163FD7"/>
    <w:rsid w:val="001650DD"/>
    <w:rsid w:val="0017193D"/>
    <w:rsid w:val="00173D56"/>
    <w:rsid w:val="00173E5C"/>
    <w:rsid w:val="0017476F"/>
    <w:rsid w:val="00174CAB"/>
    <w:rsid w:val="0017618B"/>
    <w:rsid w:val="00183092"/>
    <w:rsid w:val="0019267A"/>
    <w:rsid w:val="00194212"/>
    <w:rsid w:val="001A0ADE"/>
    <w:rsid w:val="001A2E28"/>
    <w:rsid w:val="001A4329"/>
    <w:rsid w:val="001A6D71"/>
    <w:rsid w:val="001B001C"/>
    <w:rsid w:val="001B0953"/>
    <w:rsid w:val="001B3522"/>
    <w:rsid w:val="001B399F"/>
    <w:rsid w:val="001B4EB6"/>
    <w:rsid w:val="001B6646"/>
    <w:rsid w:val="001C0FDC"/>
    <w:rsid w:val="001C5CC1"/>
    <w:rsid w:val="001C79D2"/>
    <w:rsid w:val="001C7F24"/>
    <w:rsid w:val="001D000A"/>
    <w:rsid w:val="001D007F"/>
    <w:rsid w:val="001D2B32"/>
    <w:rsid w:val="001D4DCB"/>
    <w:rsid w:val="001E115B"/>
    <w:rsid w:val="001E2CBB"/>
    <w:rsid w:val="001E3BB6"/>
    <w:rsid w:val="001E7E56"/>
    <w:rsid w:val="001F09BA"/>
    <w:rsid w:val="001F2ED2"/>
    <w:rsid w:val="001F39C9"/>
    <w:rsid w:val="001F4959"/>
    <w:rsid w:val="00200B72"/>
    <w:rsid w:val="00202785"/>
    <w:rsid w:val="002048A9"/>
    <w:rsid w:val="002079BF"/>
    <w:rsid w:val="00211997"/>
    <w:rsid w:val="0021314E"/>
    <w:rsid w:val="00214F7F"/>
    <w:rsid w:val="00217CB5"/>
    <w:rsid w:val="00220ABF"/>
    <w:rsid w:val="002232B1"/>
    <w:rsid w:val="00224286"/>
    <w:rsid w:val="002242F4"/>
    <w:rsid w:val="00224325"/>
    <w:rsid w:val="00225115"/>
    <w:rsid w:val="00225CD6"/>
    <w:rsid w:val="00225CE4"/>
    <w:rsid w:val="00230EE3"/>
    <w:rsid w:val="00233AC7"/>
    <w:rsid w:val="00234AD7"/>
    <w:rsid w:val="00234D47"/>
    <w:rsid w:val="00235ADC"/>
    <w:rsid w:val="00236BEF"/>
    <w:rsid w:val="00240A23"/>
    <w:rsid w:val="002428DE"/>
    <w:rsid w:val="00242E6F"/>
    <w:rsid w:val="00245FCB"/>
    <w:rsid w:val="002525C2"/>
    <w:rsid w:val="00254575"/>
    <w:rsid w:val="002567B7"/>
    <w:rsid w:val="0026026B"/>
    <w:rsid w:val="0026158C"/>
    <w:rsid w:val="0027167D"/>
    <w:rsid w:val="00271DB8"/>
    <w:rsid w:val="00274605"/>
    <w:rsid w:val="002802F5"/>
    <w:rsid w:val="00281552"/>
    <w:rsid w:val="0028794B"/>
    <w:rsid w:val="00287ED2"/>
    <w:rsid w:val="002920BF"/>
    <w:rsid w:val="0029326D"/>
    <w:rsid w:val="0029330D"/>
    <w:rsid w:val="00293CBE"/>
    <w:rsid w:val="002A0A80"/>
    <w:rsid w:val="002A1BF4"/>
    <w:rsid w:val="002C03F5"/>
    <w:rsid w:val="002C2F2C"/>
    <w:rsid w:val="002C6B17"/>
    <w:rsid w:val="002C7C4F"/>
    <w:rsid w:val="002D0832"/>
    <w:rsid w:val="002D0CA3"/>
    <w:rsid w:val="002D311E"/>
    <w:rsid w:val="002D34CB"/>
    <w:rsid w:val="002D5179"/>
    <w:rsid w:val="002D7662"/>
    <w:rsid w:val="002D792B"/>
    <w:rsid w:val="002E2790"/>
    <w:rsid w:val="002E392F"/>
    <w:rsid w:val="002E3BE8"/>
    <w:rsid w:val="002F0BE9"/>
    <w:rsid w:val="002F3241"/>
    <w:rsid w:val="002F66F4"/>
    <w:rsid w:val="002F6799"/>
    <w:rsid w:val="002F7BDA"/>
    <w:rsid w:val="0030118C"/>
    <w:rsid w:val="00303208"/>
    <w:rsid w:val="00310CB9"/>
    <w:rsid w:val="00321A93"/>
    <w:rsid w:val="00323D7E"/>
    <w:rsid w:val="003246BF"/>
    <w:rsid w:val="0032502D"/>
    <w:rsid w:val="00326FEE"/>
    <w:rsid w:val="00331309"/>
    <w:rsid w:val="00334C17"/>
    <w:rsid w:val="0034299F"/>
    <w:rsid w:val="003477F8"/>
    <w:rsid w:val="00352FAA"/>
    <w:rsid w:val="00355FE5"/>
    <w:rsid w:val="00356AAB"/>
    <w:rsid w:val="00357883"/>
    <w:rsid w:val="0036175A"/>
    <w:rsid w:val="00363792"/>
    <w:rsid w:val="00364FC4"/>
    <w:rsid w:val="003700F0"/>
    <w:rsid w:val="00371709"/>
    <w:rsid w:val="00377B96"/>
    <w:rsid w:val="00377CBD"/>
    <w:rsid w:val="00377F77"/>
    <w:rsid w:val="00382B27"/>
    <w:rsid w:val="00384537"/>
    <w:rsid w:val="00385DD3"/>
    <w:rsid w:val="00386464"/>
    <w:rsid w:val="0038755F"/>
    <w:rsid w:val="00392320"/>
    <w:rsid w:val="00394A47"/>
    <w:rsid w:val="003A0A97"/>
    <w:rsid w:val="003A25C1"/>
    <w:rsid w:val="003A72D2"/>
    <w:rsid w:val="003B0018"/>
    <w:rsid w:val="003B0CA0"/>
    <w:rsid w:val="003B437D"/>
    <w:rsid w:val="003B6F9D"/>
    <w:rsid w:val="003C0DB4"/>
    <w:rsid w:val="003C522D"/>
    <w:rsid w:val="003C5268"/>
    <w:rsid w:val="003C6F4A"/>
    <w:rsid w:val="003C749D"/>
    <w:rsid w:val="003D161A"/>
    <w:rsid w:val="003D255A"/>
    <w:rsid w:val="003D33EA"/>
    <w:rsid w:val="003D5C8D"/>
    <w:rsid w:val="003D6A90"/>
    <w:rsid w:val="003E538F"/>
    <w:rsid w:val="003E6141"/>
    <w:rsid w:val="003F5C1B"/>
    <w:rsid w:val="00400090"/>
    <w:rsid w:val="00400A21"/>
    <w:rsid w:val="0040266F"/>
    <w:rsid w:val="004031BA"/>
    <w:rsid w:val="004106CF"/>
    <w:rsid w:val="0041269B"/>
    <w:rsid w:val="00412929"/>
    <w:rsid w:val="00414205"/>
    <w:rsid w:val="00416620"/>
    <w:rsid w:val="00425590"/>
    <w:rsid w:val="004265FB"/>
    <w:rsid w:val="004272C3"/>
    <w:rsid w:val="00427307"/>
    <w:rsid w:val="00432439"/>
    <w:rsid w:val="00434F19"/>
    <w:rsid w:val="004402CE"/>
    <w:rsid w:val="0044251F"/>
    <w:rsid w:val="00445E0F"/>
    <w:rsid w:val="0045221E"/>
    <w:rsid w:val="00454914"/>
    <w:rsid w:val="00455EB4"/>
    <w:rsid w:val="004628EA"/>
    <w:rsid w:val="00464362"/>
    <w:rsid w:val="0046549A"/>
    <w:rsid w:val="00470C5A"/>
    <w:rsid w:val="0047226A"/>
    <w:rsid w:val="00472908"/>
    <w:rsid w:val="004736C1"/>
    <w:rsid w:val="004812C3"/>
    <w:rsid w:val="004834DC"/>
    <w:rsid w:val="00486D39"/>
    <w:rsid w:val="00494395"/>
    <w:rsid w:val="004950FB"/>
    <w:rsid w:val="004979B2"/>
    <w:rsid w:val="004A1047"/>
    <w:rsid w:val="004A1D49"/>
    <w:rsid w:val="004A1E4D"/>
    <w:rsid w:val="004B1778"/>
    <w:rsid w:val="004B3BFC"/>
    <w:rsid w:val="004B4154"/>
    <w:rsid w:val="004B7587"/>
    <w:rsid w:val="004B76E0"/>
    <w:rsid w:val="004C3EA4"/>
    <w:rsid w:val="004D03CF"/>
    <w:rsid w:val="004D15CB"/>
    <w:rsid w:val="004D5808"/>
    <w:rsid w:val="004E0B8A"/>
    <w:rsid w:val="004E1181"/>
    <w:rsid w:val="004E268D"/>
    <w:rsid w:val="004E31D3"/>
    <w:rsid w:val="004E3B02"/>
    <w:rsid w:val="004F1096"/>
    <w:rsid w:val="004F2555"/>
    <w:rsid w:val="004F305F"/>
    <w:rsid w:val="004F4AFA"/>
    <w:rsid w:val="004F6DBF"/>
    <w:rsid w:val="004F7688"/>
    <w:rsid w:val="00510733"/>
    <w:rsid w:val="00511B03"/>
    <w:rsid w:val="00514A0D"/>
    <w:rsid w:val="00516DD9"/>
    <w:rsid w:val="00521B3D"/>
    <w:rsid w:val="0053357C"/>
    <w:rsid w:val="00534D33"/>
    <w:rsid w:val="0054698B"/>
    <w:rsid w:val="005531EA"/>
    <w:rsid w:val="00555F14"/>
    <w:rsid w:val="005633C1"/>
    <w:rsid w:val="00563DBF"/>
    <w:rsid w:val="00565CF6"/>
    <w:rsid w:val="00567B1F"/>
    <w:rsid w:val="00567D90"/>
    <w:rsid w:val="00567ED6"/>
    <w:rsid w:val="00575518"/>
    <w:rsid w:val="005757CC"/>
    <w:rsid w:val="00576547"/>
    <w:rsid w:val="00580DD0"/>
    <w:rsid w:val="00582F51"/>
    <w:rsid w:val="00585A3E"/>
    <w:rsid w:val="0059048D"/>
    <w:rsid w:val="00595351"/>
    <w:rsid w:val="00596FA7"/>
    <w:rsid w:val="005A1DE4"/>
    <w:rsid w:val="005A4C50"/>
    <w:rsid w:val="005B10E7"/>
    <w:rsid w:val="005B277E"/>
    <w:rsid w:val="005B28A0"/>
    <w:rsid w:val="005B2D29"/>
    <w:rsid w:val="005B6C87"/>
    <w:rsid w:val="005C1F31"/>
    <w:rsid w:val="005C5598"/>
    <w:rsid w:val="005D2F32"/>
    <w:rsid w:val="005D423A"/>
    <w:rsid w:val="005D4BBD"/>
    <w:rsid w:val="005E074F"/>
    <w:rsid w:val="005E1777"/>
    <w:rsid w:val="005E2D96"/>
    <w:rsid w:val="005F2B58"/>
    <w:rsid w:val="005F2DD4"/>
    <w:rsid w:val="00601654"/>
    <w:rsid w:val="00601FB1"/>
    <w:rsid w:val="006022B8"/>
    <w:rsid w:val="00602BC7"/>
    <w:rsid w:val="00604C86"/>
    <w:rsid w:val="0061223E"/>
    <w:rsid w:val="0061288E"/>
    <w:rsid w:val="006129B1"/>
    <w:rsid w:val="006148E7"/>
    <w:rsid w:val="00614957"/>
    <w:rsid w:val="00617DF6"/>
    <w:rsid w:val="006210E7"/>
    <w:rsid w:val="00623420"/>
    <w:rsid w:val="00623837"/>
    <w:rsid w:val="00624DF4"/>
    <w:rsid w:val="00631FC0"/>
    <w:rsid w:val="00637330"/>
    <w:rsid w:val="00640911"/>
    <w:rsid w:val="0064789A"/>
    <w:rsid w:val="006507CF"/>
    <w:rsid w:val="00652246"/>
    <w:rsid w:val="00655FE6"/>
    <w:rsid w:val="00662FC1"/>
    <w:rsid w:val="00664E41"/>
    <w:rsid w:val="006659B8"/>
    <w:rsid w:val="006742D3"/>
    <w:rsid w:val="006751E8"/>
    <w:rsid w:val="00676EAC"/>
    <w:rsid w:val="00680815"/>
    <w:rsid w:val="00681908"/>
    <w:rsid w:val="00683CEB"/>
    <w:rsid w:val="0068449E"/>
    <w:rsid w:val="0068715B"/>
    <w:rsid w:val="0069443F"/>
    <w:rsid w:val="00694D4E"/>
    <w:rsid w:val="0069529D"/>
    <w:rsid w:val="006A2C50"/>
    <w:rsid w:val="006A4F95"/>
    <w:rsid w:val="006A546F"/>
    <w:rsid w:val="006A6419"/>
    <w:rsid w:val="006B0565"/>
    <w:rsid w:val="006B16F0"/>
    <w:rsid w:val="006B2091"/>
    <w:rsid w:val="006B337B"/>
    <w:rsid w:val="006C170A"/>
    <w:rsid w:val="006C224B"/>
    <w:rsid w:val="006C44D3"/>
    <w:rsid w:val="006D05B1"/>
    <w:rsid w:val="006D0F75"/>
    <w:rsid w:val="006D3B5C"/>
    <w:rsid w:val="006D5639"/>
    <w:rsid w:val="006D6030"/>
    <w:rsid w:val="006E0D67"/>
    <w:rsid w:val="006E18EA"/>
    <w:rsid w:val="006E2A62"/>
    <w:rsid w:val="006E357C"/>
    <w:rsid w:val="006E630A"/>
    <w:rsid w:val="006F640B"/>
    <w:rsid w:val="006F7475"/>
    <w:rsid w:val="00712573"/>
    <w:rsid w:val="007145E5"/>
    <w:rsid w:val="00717CC5"/>
    <w:rsid w:val="0072026D"/>
    <w:rsid w:val="00720E1F"/>
    <w:rsid w:val="0072335D"/>
    <w:rsid w:val="00725180"/>
    <w:rsid w:val="0072693D"/>
    <w:rsid w:val="00726AFA"/>
    <w:rsid w:val="00727A98"/>
    <w:rsid w:val="00727B4B"/>
    <w:rsid w:val="00730FB8"/>
    <w:rsid w:val="00731DE8"/>
    <w:rsid w:val="00734873"/>
    <w:rsid w:val="00741BA0"/>
    <w:rsid w:val="00741CB4"/>
    <w:rsid w:val="00742036"/>
    <w:rsid w:val="00742055"/>
    <w:rsid w:val="007436D7"/>
    <w:rsid w:val="00743BFF"/>
    <w:rsid w:val="00743DD0"/>
    <w:rsid w:val="00753267"/>
    <w:rsid w:val="0075607B"/>
    <w:rsid w:val="007614F8"/>
    <w:rsid w:val="00761D23"/>
    <w:rsid w:val="007641B6"/>
    <w:rsid w:val="00764B2F"/>
    <w:rsid w:val="0076611B"/>
    <w:rsid w:val="00767447"/>
    <w:rsid w:val="007711DE"/>
    <w:rsid w:val="00771671"/>
    <w:rsid w:val="00771C3C"/>
    <w:rsid w:val="00774566"/>
    <w:rsid w:val="00774AAF"/>
    <w:rsid w:val="00775329"/>
    <w:rsid w:val="00775C7F"/>
    <w:rsid w:val="00780EB1"/>
    <w:rsid w:val="0078133D"/>
    <w:rsid w:val="007830F0"/>
    <w:rsid w:val="00783D7A"/>
    <w:rsid w:val="00784D61"/>
    <w:rsid w:val="00784EEC"/>
    <w:rsid w:val="00787312"/>
    <w:rsid w:val="00790B54"/>
    <w:rsid w:val="007A0134"/>
    <w:rsid w:val="007A33C1"/>
    <w:rsid w:val="007A3642"/>
    <w:rsid w:val="007A590D"/>
    <w:rsid w:val="007A65FC"/>
    <w:rsid w:val="007A67B2"/>
    <w:rsid w:val="007A79B8"/>
    <w:rsid w:val="007B0AA1"/>
    <w:rsid w:val="007B32E7"/>
    <w:rsid w:val="007B4755"/>
    <w:rsid w:val="007B5260"/>
    <w:rsid w:val="007B6972"/>
    <w:rsid w:val="007B7AF0"/>
    <w:rsid w:val="007C3B7D"/>
    <w:rsid w:val="007C42A3"/>
    <w:rsid w:val="007C435F"/>
    <w:rsid w:val="007C47F3"/>
    <w:rsid w:val="007C5750"/>
    <w:rsid w:val="007C6646"/>
    <w:rsid w:val="007C69E7"/>
    <w:rsid w:val="007C7B3A"/>
    <w:rsid w:val="007C7EE3"/>
    <w:rsid w:val="007D0BBD"/>
    <w:rsid w:val="007D13F3"/>
    <w:rsid w:val="007D7463"/>
    <w:rsid w:val="007E0966"/>
    <w:rsid w:val="007E5CCE"/>
    <w:rsid w:val="007F04EA"/>
    <w:rsid w:val="007F493E"/>
    <w:rsid w:val="007F4C0A"/>
    <w:rsid w:val="007F56F7"/>
    <w:rsid w:val="007F5E23"/>
    <w:rsid w:val="007F6101"/>
    <w:rsid w:val="00806C65"/>
    <w:rsid w:val="0080747F"/>
    <w:rsid w:val="00807A38"/>
    <w:rsid w:val="00811BBF"/>
    <w:rsid w:val="00812CBA"/>
    <w:rsid w:val="00824544"/>
    <w:rsid w:val="008252D8"/>
    <w:rsid w:val="00832112"/>
    <w:rsid w:val="00832C3E"/>
    <w:rsid w:val="00835636"/>
    <w:rsid w:val="0084428E"/>
    <w:rsid w:val="00846C7B"/>
    <w:rsid w:val="00850F99"/>
    <w:rsid w:val="008526A3"/>
    <w:rsid w:val="00853B99"/>
    <w:rsid w:val="00853C1D"/>
    <w:rsid w:val="00854FCB"/>
    <w:rsid w:val="008567CC"/>
    <w:rsid w:val="00860960"/>
    <w:rsid w:val="00860C8B"/>
    <w:rsid w:val="00860CA7"/>
    <w:rsid w:val="00867D4D"/>
    <w:rsid w:val="00870B10"/>
    <w:rsid w:val="00872263"/>
    <w:rsid w:val="00880AF9"/>
    <w:rsid w:val="0088359E"/>
    <w:rsid w:val="00884367"/>
    <w:rsid w:val="00887E27"/>
    <w:rsid w:val="00893F55"/>
    <w:rsid w:val="0089412F"/>
    <w:rsid w:val="008968C5"/>
    <w:rsid w:val="00897381"/>
    <w:rsid w:val="008A2074"/>
    <w:rsid w:val="008A3990"/>
    <w:rsid w:val="008A4333"/>
    <w:rsid w:val="008A528B"/>
    <w:rsid w:val="008A742C"/>
    <w:rsid w:val="008B170A"/>
    <w:rsid w:val="008B2450"/>
    <w:rsid w:val="008B69D0"/>
    <w:rsid w:val="008C1E7A"/>
    <w:rsid w:val="008C256E"/>
    <w:rsid w:val="008D3212"/>
    <w:rsid w:val="008D7256"/>
    <w:rsid w:val="008E08B8"/>
    <w:rsid w:val="008E0D02"/>
    <w:rsid w:val="008F582E"/>
    <w:rsid w:val="008F5C40"/>
    <w:rsid w:val="0090420A"/>
    <w:rsid w:val="00904A1F"/>
    <w:rsid w:val="00904DD5"/>
    <w:rsid w:val="00913E6E"/>
    <w:rsid w:val="00924266"/>
    <w:rsid w:val="0092507B"/>
    <w:rsid w:val="00935524"/>
    <w:rsid w:val="00943383"/>
    <w:rsid w:val="0094425D"/>
    <w:rsid w:val="00945519"/>
    <w:rsid w:val="00945BEA"/>
    <w:rsid w:val="00947534"/>
    <w:rsid w:val="009477A5"/>
    <w:rsid w:val="00952441"/>
    <w:rsid w:val="00956F20"/>
    <w:rsid w:val="00960D6D"/>
    <w:rsid w:val="009616D8"/>
    <w:rsid w:val="00970864"/>
    <w:rsid w:val="0097140D"/>
    <w:rsid w:val="00972238"/>
    <w:rsid w:val="00975C9D"/>
    <w:rsid w:val="00976ACF"/>
    <w:rsid w:val="0097772A"/>
    <w:rsid w:val="009805DC"/>
    <w:rsid w:val="00981160"/>
    <w:rsid w:val="0098418B"/>
    <w:rsid w:val="00985C4E"/>
    <w:rsid w:val="00985F15"/>
    <w:rsid w:val="00990E03"/>
    <w:rsid w:val="009947F8"/>
    <w:rsid w:val="00995A84"/>
    <w:rsid w:val="009966D7"/>
    <w:rsid w:val="009976CB"/>
    <w:rsid w:val="00997C30"/>
    <w:rsid w:val="009A13AB"/>
    <w:rsid w:val="009A50C2"/>
    <w:rsid w:val="009A5975"/>
    <w:rsid w:val="009A6EAA"/>
    <w:rsid w:val="009A6F3F"/>
    <w:rsid w:val="009B32C2"/>
    <w:rsid w:val="009B65A1"/>
    <w:rsid w:val="009B734F"/>
    <w:rsid w:val="009B7709"/>
    <w:rsid w:val="009C0133"/>
    <w:rsid w:val="009C2FB2"/>
    <w:rsid w:val="009C624A"/>
    <w:rsid w:val="009D03B9"/>
    <w:rsid w:val="009D11E8"/>
    <w:rsid w:val="009D25CC"/>
    <w:rsid w:val="009D2EE4"/>
    <w:rsid w:val="009D329A"/>
    <w:rsid w:val="009D44CF"/>
    <w:rsid w:val="009E147C"/>
    <w:rsid w:val="009E20A5"/>
    <w:rsid w:val="009E3084"/>
    <w:rsid w:val="009E4358"/>
    <w:rsid w:val="009E513E"/>
    <w:rsid w:val="009F039A"/>
    <w:rsid w:val="009F0C6B"/>
    <w:rsid w:val="009F5F24"/>
    <w:rsid w:val="00A02C05"/>
    <w:rsid w:val="00A05395"/>
    <w:rsid w:val="00A07136"/>
    <w:rsid w:val="00A11282"/>
    <w:rsid w:val="00A14E86"/>
    <w:rsid w:val="00A15D1C"/>
    <w:rsid w:val="00A21269"/>
    <w:rsid w:val="00A2291B"/>
    <w:rsid w:val="00A23014"/>
    <w:rsid w:val="00A2335D"/>
    <w:rsid w:val="00A24853"/>
    <w:rsid w:val="00A24ACA"/>
    <w:rsid w:val="00A26414"/>
    <w:rsid w:val="00A2679E"/>
    <w:rsid w:val="00A2759D"/>
    <w:rsid w:val="00A277FC"/>
    <w:rsid w:val="00A27A1B"/>
    <w:rsid w:val="00A30C5F"/>
    <w:rsid w:val="00A31CE1"/>
    <w:rsid w:val="00A333B1"/>
    <w:rsid w:val="00A341A6"/>
    <w:rsid w:val="00A35854"/>
    <w:rsid w:val="00A37A36"/>
    <w:rsid w:val="00A37E34"/>
    <w:rsid w:val="00A4301A"/>
    <w:rsid w:val="00A432FC"/>
    <w:rsid w:val="00A437A2"/>
    <w:rsid w:val="00A5247D"/>
    <w:rsid w:val="00A52561"/>
    <w:rsid w:val="00A55E77"/>
    <w:rsid w:val="00A56C73"/>
    <w:rsid w:val="00A65960"/>
    <w:rsid w:val="00A70B0F"/>
    <w:rsid w:val="00A7208B"/>
    <w:rsid w:val="00A748C5"/>
    <w:rsid w:val="00A74CEF"/>
    <w:rsid w:val="00A75CC6"/>
    <w:rsid w:val="00A80215"/>
    <w:rsid w:val="00A81521"/>
    <w:rsid w:val="00A816AC"/>
    <w:rsid w:val="00A82BC4"/>
    <w:rsid w:val="00A85DB4"/>
    <w:rsid w:val="00A85E44"/>
    <w:rsid w:val="00A86AD4"/>
    <w:rsid w:val="00A90B13"/>
    <w:rsid w:val="00A918E4"/>
    <w:rsid w:val="00A96FC5"/>
    <w:rsid w:val="00AA2D02"/>
    <w:rsid w:val="00AA4AB9"/>
    <w:rsid w:val="00AA648F"/>
    <w:rsid w:val="00AB11F3"/>
    <w:rsid w:val="00AB197F"/>
    <w:rsid w:val="00AB25F7"/>
    <w:rsid w:val="00AB4EB3"/>
    <w:rsid w:val="00AB5427"/>
    <w:rsid w:val="00AC2043"/>
    <w:rsid w:val="00AC6D09"/>
    <w:rsid w:val="00AC6DC8"/>
    <w:rsid w:val="00AD4395"/>
    <w:rsid w:val="00AD44CD"/>
    <w:rsid w:val="00AD72B6"/>
    <w:rsid w:val="00AD73FE"/>
    <w:rsid w:val="00AE1C33"/>
    <w:rsid w:val="00AE4814"/>
    <w:rsid w:val="00AE624F"/>
    <w:rsid w:val="00AE7304"/>
    <w:rsid w:val="00AF1958"/>
    <w:rsid w:val="00AF6EE6"/>
    <w:rsid w:val="00B02E29"/>
    <w:rsid w:val="00B04954"/>
    <w:rsid w:val="00B0539E"/>
    <w:rsid w:val="00B05450"/>
    <w:rsid w:val="00B1449C"/>
    <w:rsid w:val="00B14A32"/>
    <w:rsid w:val="00B15EE6"/>
    <w:rsid w:val="00B2110C"/>
    <w:rsid w:val="00B24229"/>
    <w:rsid w:val="00B24FAB"/>
    <w:rsid w:val="00B2620A"/>
    <w:rsid w:val="00B26D42"/>
    <w:rsid w:val="00B277FC"/>
    <w:rsid w:val="00B344A4"/>
    <w:rsid w:val="00B34CBF"/>
    <w:rsid w:val="00B37296"/>
    <w:rsid w:val="00B410E3"/>
    <w:rsid w:val="00B43DD2"/>
    <w:rsid w:val="00B44499"/>
    <w:rsid w:val="00B4525C"/>
    <w:rsid w:val="00B50B41"/>
    <w:rsid w:val="00B54011"/>
    <w:rsid w:val="00B56480"/>
    <w:rsid w:val="00B56EF4"/>
    <w:rsid w:val="00B57C3B"/>
    <w:rsid w:val="00B63579"/>
    <w:rsid w:val="00B66BC3"/>
    <w:rsid w:val="00B66FAA"/>
    <w:rsid w:val="00B67D3A"/>
    <w:rsid w:val="00B708BA"/>
    <w:rsid w:val="00B72D16"/>
    <w:rsid w:val="00B80EF8"/>
    <w:rsid w:val="00B8720F"/>
    <w:rsid w:val="00B90F8C"/>
    <w:rsid w:val="00B94C1C"/>
    <w:rsid w:val="00B95C42"/>
    <w:rsid w:val="00B96E2C"/>
    <w:rsid w:val="00BB0BC2"/>
    <w:rsid w:val="00BB1804"/>
    <w:rsid w:val="00BB2580"/>
    <w:rsid w:val="00BB25EF"/>
    <w:rsid w:val="00BB37D7"/>
    <w:rsid w:val="00BB4D24"/>
    <w:rsid w:val="00BB7437"/>
    <w:rsid w:val="00BC6127"/>
    <w:rsid w:val="00BD1009"/>
    <w:rsid w:val="00BD294D"/>
    <w:rsid w:val="00BD2DDF"/>
    <w:rsid w:val="00BD48C9"/>
    <w:rsid w:val="00BD66E4"/>
    <w:rsid w:val="00BE2192"/>
    <w:rsid w:val="00BE2BE8"/>
    <w:rsid w:val="00BE39E5"/>
    <w:rsid w:val="00BE5049"/>
    <w:rsid w:val="00BE6A4D"/>
    <w:rsid w:val="00BF0BE3"/>
    <w:rsid w:val="00BF0E97"/>
    <w:rsid w:val="00BF3E15"/>
    <w:rsid w:val="00BF4B4F"/>
    <w:rsid w:val="00BF6371"/>
    <w:rsid w:val="00C037A8"/>
    <w:rsid w:val="00C04BA7"/>
    <w:rsid w:val="00C054D8"/>
    <w:rsid w:val="00C07690"/>
    <w:rsid w:val="00C118FF"/>
    <w:rsid w:val="00C12762"/>
    <w:rsid w:val="00C139C0"/>
    <w:rsid w:val="00C20D1C"/>
    <w:rsid w:val="00C2581D"/>
    <w:rsid w:val="00C27B6A"/>
    <w:rsid w:val="00C36310"/>
    <w:rsid w:val="00C36C5E"/>
    <w:rsid w:val="00C36F46"/>
    <w:rsid w:val="00C41E47"/>
    <w:rsid w:val="00C423E7"/>
    <w:rsid w:val="00C4395B"/>
    <w:rsid w:val="00C45D6A"/>
    <w:rsid w:val="00C46E34"/>
    <w:rsid w:val="00C47205"/>
    <w:rsid w:val="00C503E4"/>
    <w:rsid w:val="00C531B5"/>
    <w:rsid w:val="00C57BC8"/>
    <w:rsid w:val="00C707EB"/>
    <w:rsid w:val="00C73C2F"/>
    <w:rsid w:val="00C74E05"/>
    <w:rsid w:val="00C76B4C"/>
    <w:rsid w:val="00C81D41"/>
    <w:rsid w:val="00C8237E"/>
    <w:rsid w:val="00C8348B"/>
    <w:rsid w:val="00C84291"/>
    <w:rsid w:val="00C875E3"/>
    <w:rsid w:val="00C904FA"/>
    <w:rsid w:val="00C979F7"/>
    <w:rsid w:val="00C97B30"/>
    <w:rsid w:val="00CA0CF8"/>
    <w:rsid w:val="00CA67F2"/>
    <w:rsid w:val="00CB2586"/>
    <w:rsid w:val="00CB284C"/>
    <w:rsid w:val="00CB5362"/>
    <w:rsid w:val="00CB7AE0"/>
    <w:rsid w:val="00CC0316"/>
    <w:rsid w:val="00CC34D9"/>
    <w:rsid w:val="00CC434C"/>
    <w:rsid w:val="00CC4D8C"/>
    <w:rsid w:val="00CD48C7"/>
    <w:rsid w:val="00CD6C16"/>
    <w:rsid w:val="00CD7884"/>
    <w:rsid w:val="00CD7A25"/>
    <w:rsid w:val="00CF0CDB"/>
    <w:rsid w:val="00CF1356"/>
    <w:rsid w:val="00CF247F"/>
    <w:rsid w:val="00CF5B31"/>
    <w:rsid w:val="00CF7D17"/>
    <w:rsid w:val="00CF7F7F"/>
    <w:rsid w:val="00D019B0"/>
    <w:rsid w:val="00D029BC"/>
    <w:rsid w:val="00D030FE"/>
    <w:rsid w:val="00D0311C"/>
    <w:rsid w:val="00D04631"/>
    <w:rsid w:val="00D1020C"/>
    <w:rsid w:val="00D1060A"/>
    <w:rsid w:val="00D106CF"/>
    <w:rsid w:val="00D143A0"/>
    <w:rsid w:val="00D1799A"/>
    <w:rsid w:val="00D203B5"/>
    <w:rsid w:val="00D2062B"/>
    <w:rsid w:val="00D24229"/>
    <w:rsid w:val="00D26C3D"/>
    <w:rsid w:val="00D311FD"/>
    <w:rsid w:val="00D3383E"/>
    <w:rsid w:val="00D41894"/>
    <w:rsid w:val="00D44870"/>
    <w:rsid w:val="00D527E0"/>
    <w:rsid w:val="00D52CD7"/>
    <w:rsid w:val="00D5648C"/>
    <w:rsid w:val="00D614D5"/>
    <w:rsid w:val="00D61DAE"/>
    <w:rsid w:val="00D70ED2"/>
    <w:rsid w:val="00D7111C"/>
    <w:rsid w:val="00D735DC"/>
    <w:rsid w:val="00D76CD5"/>
    <w:rsid w:val="00D80287"/>
    <w:rsid w:val="00D817E2"/>
    <w:rsid w:val="00D8546C"/>
    <w:rsid w:val="00D86000"/>
    <w:rsid w:val="00D8669A"/>
    <w:rsid w:val="00D90197"/>
    <w:rsid w:val="00D929C4"/>
    <w:rsid w:val="00D94B5D"/>
    <w:rsid w:val="00D95116"/>
    <w:rsid w:val="00D95D7A"/>
    <w:rsid w:val="00DA0E5F"/>
    <w:rsid w:val="00DA2789"/>
    <w:rsid w:val="00DA68A2"/>
    <w:rsid w:val="00DB1AF5"/>
    <w:rsid w:val="00DB39C1"/>
    <w:rsid w:val="00DB60F2"/>
    <w:rsid w:val="00DB7AF8"/>
    <w:rsid w:val="00DC00E2"/>
    <w:rsid w:val="00DC0681"/>
    <w:rsid w:val="00DC2E6B"/>
    <w:rsid w:val="00DC612E"/>
    <w:rsid w:val="00DC76C6"/>
    <w:rsid w:val="00DD1D80"/>
    <w:rsid w:val="00DD2647"/>
    <w:rsid w:val="00DE06AA"/>
    <w:rsid w:val="00DE1CE3"/>
    <w:rsid w:val="00DE55A7"/>
    <w:rsid w:val="00DF07BD"/>
    <w:rsid w:val="00DF2ACF"/>
    <w:rsid w:val="00DF3275"/>
    <w:rsid w:val="00DF71D2"/>
    <w:rsid w:val="00E0197F"/>
    <w:rsid w:val="00E01D45"/>
    <w:rsid w:val="00E02F95"/>
    <w:rsid w:val="00E034ED"/>
    <w:rsid w:val="00E06398"/>
    <w:rsid w:val="00E1183E"/>
    <w:rsid w:val="00E13022"/>
    <w:rsid w:val="00E163AF"/>
    <w:rsid w:val="00E23852"/>
    <w:rsid w:val="00E249AF"/>
    <w:rsid w:val="00E305C8"/>
    <w:rsid w:val="00E32BA2"/>
    <w:rsid w:val="00E35FB8"/>
    <w:rsid w:val="00E36E93"/>
    <w:rsid w:val="00E400BC"/>
    <w:rsid w:val="00E42B07"/>
    <w:rsid w:val="00E445E3"/>
    <w:rsid w:val="00E4493C"/>
    <w:rsid w:val="00E52265"/>
    <w:rsid w:val="00E555D2"/>
    <w:rsid w:val="00E5719D"/>
    <w:rsid w:val="00E574E0"/>
    <w:rsid w:val="00E628A5"/>
    <w:rsid w:val="00E66747"/>
    <w:rsid w:val="00E703E1"/>
    <w:rsid w:val="00E704DC"/>
    <w:rsid w:val="00E708D4"/>
    <w:rsid w:val="00E71516"/>
    <w:rsid w:val="00E740DF"/>
    <w:rsid w:val="00E75251"/>
    <w:rsid w:val="00E77220"/>
    <w:rsid w:val="00E85C0A"/>
    <w:rsid w:val="00E87336"/>
    <w:rsid w:val="00E91059"/>
    <w:rsid w:val="00E91661"/>
    <w:rsid w:val="00E921AA"/>
    <w:rsid w:val="00E93EF5"/>
    <w:rsid w:val="00E9483B"/>
    <w:rsid w:val="00EA0459"/>
    <w:rsid w:val="00EA17E0"/>
    <w:rsid w:val="00EA2607"/>
    <w:rsid w:val="00EA2C71"/>
    <w:rsid w:val="00EA395F"/>
    <w:rsid w:val="00EA62E8"/>
    <w:rsid w:val="00EA63E3"/>
    <w:rsid w:val="00EB0FAA"/>
    <w:rsid w:val="00EB10FC"/>
    <w:rsid w:val="00EB1853"/>
    <w:rsid w:val="00EB62E3"/>
    <w:rsid w:val="00EB6A65"/>
    <w:rsid w:val="00EC4285"/>
    <w:rsid w:val="00EC6C2C"/>
    <w:rsid w:val="00ED169D"/>
    <w:rsid w:val="00ED1F25"/>
    <w:rsid w:val="00ED3B84"/>
    <w:rsid w:val="00ED499B"/>
    <w:rsid w:val="00ED525A"/>
    <w:rsid w:val="00ED5394"/>
    <w:rsid w:val="00ED5E01"/>
    <w:rsid w:val="00ED5E7E"/>
    <w:rsid w:val="00EE2825"/>
    <w:rsid w:val="00EE3C96"/>
    <w:rsid w:val="00EF1F22"/>
    <w:rsid w:val="00EF21B3"/>
    <w:rsid w:val="00EF291E"/>
    <w:rsid w:val="00EF428C"/>
    <w:rsid w:val="00EF4ECD"/>
    <w:rsid w:val="00EF5F8E"/>
    <w:rsid w:val="00EF66E0"/>
    <w:rsid w:val="00EF70E2"/>
    <w:rsid w:val="00EF7DFA"/>
    <w:rsid w:val="00F006A8"/>
    <w:rsid w:val="00F00BAF"/>
    <w:rsid w:val="00F024BB"/>
    <w:rsid w:val="00F03116"/>
    <w:rsid w:val="00F044A2"/>
    <w:rsid w:val="00F11C8F"/>
    <w:rsid w:val="00F145DE"/>
    <w:rsid w:val="00F15652"/>
    <w:rsid w:val="00F201D8"/>
    <w:rsid w:val="00F22942"/>
    <w:rsid w:val="00F24F6D"/>
    <w:rsid w:val="00F30BA4"/>
    <w:rsid w:val="00F31718"/>
    <w:rsid w:val="00F33DE4"/>
    <w:rsid w:val="00F35384"/>
    <w:rsid w:val="00F36AA0"/>
    <w:rsid w:val="00F449EB"/>
    <w:rsid w:val="00F50A53"/>
    <w:rsid w:val="00F51A17"/>
    <w:rsid w:val="00F51E06"/>
    <w:rsid w:val="00F546AD"/>
    <w:rsid w:val="00F564E8"/>
    <w:rsid w:val="00F61742"/>
    <w:rsid w:val="00F63235"/>
    <w:rsid w:val="00F640E5"/>
    <w:rsid w:val="00F65DA7"/>
    <w:rsid w:val="00F66B8F"/>
    <w:rsid w:val="00F716BB"/>
    <w:rsid w:val="00F73DE7"/>
    <w:rsid w:val="00F73F6D"/>
    <w:rsid w:val="00F74719"/>
    <w:rsid w:val="00F76094"/>
    <w:rsid w:val="00F76C96"/>
    <w:rsid w:val="00F7783B"/>
    <w:rsid w:val="00F8163F"/>
    <w:rsid w:val="00F82566"/>
    <w:rsid w:val="00F825DE"/>
    <w:rsid w:val="00F84C59"/>
    <w:rsid w:val="00F85C38"/>
    <w:rsid w:val="00F93BFF"/>
    <w:rsid w:val="00F93E52"/>
    <w:rsid w:val="00F95758"/>
    <w:rsid w:val="00F95F77"/>
    <w:rsid w:val="00F97699"/>
    <w:rsid w:val="00FA426E"/>
    <w:rsid w:val="00FA518D"/>
    <w:rsid w:val="00FA7518"/>
    <w:rsid w:val="00FB064D"/>
    <w:rsid w:val="00FB6A24"/>
    <w:rsid w:val="00FC0DE5"/>
    <w:rsid w:val="00FC12FF"/>
    <w:rsid w:val="00FC3739"/>
    <w:rsid w:val="00FC3B6C"/>
    <w:rsid w:val="00FC47FC"/>
    <w:rsid w:val="00FC6174"/>
    <w:rsid w:val="00FC7CC5"/>
    <w:rsid w:val="00FD3CC3"/>
    <w:rsid w:val="00FD4B1F"/>
    <w:rsid w:val="00FD5D2F"/>
    <w:rsid w:val="00FE7E7E"/>
    <w:rsid w:val="00FF237E"/>
    <w:rsid w:val="00FF5208"/>
    <w:rsid w:val="00FF5E1F"/>
    <w:rsid w:val="00FF799F"/>
    <w:rsid w:val="04DF3C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99" w:name="Body Text First Indent"/>
    <w:lsdException w:qFormat="1" w:uiPriority="99" w:name="Body Text First Indent 2"/>
    <w:lsdException w:unhideWhenUsed="0" w:uiPriority="0" w:name="Note Heading"/>
    <w:lsdException w:uiPriority="0" w:name="Body Text 2"/>
    <w:lsdException w:uiPriority="0" w:name="Body Text 3"/>
    <w:lsdException w:unhideWhenUsed="0" w:uiPriority="0" w:name="Body Text Indent 2"/>
    <w:lsdException w:uiPriority="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outlineLvl w:val="0"/>
    </w:pPr>
    <w:rPr>
      <w:rFonts w:ascii="Times New Roman" w:hAnsi="Times New Roman" w:eastAsia="仿宋"/>
      <w:b/>
      <w:bCs/>
      <w:kern w:val="44"/>
      <w:sz w:val="36"/>
      <w:szCs w:val="44"/>
    </w:rPr>
  </w:style>
  <w:style w:type="paragraph" w:styleId="3">
    <w:name w:val="heading 2"/>
    <w:basedOn w:val="1"/>
    <w:next w:val="1"/>
    <w:link w:val="56"/>
    <w:unhideWhenUsed/>
    <w:qFormat/>
    <w:uiPriority w:val="9"/>
    <w:pPr>
      <w:keepNext/>
      <w:keepLines/>
      <w:spacing w:before="260" w:after="260" w:line="416" w:lineRule="auto"/>
      <w:outlineLvl w:val="1"/>
    </w:pPr>
    <w:rPr>
      <w:rFonts w:ascii="Times New Roman" w:hAnsi="Times New Roman" w:eastAsia="仿宋" w:cstheme="majorBidi"/>
      <w:b/>
      <w:bCs/>
      <w:sz w:val="32"/>
      <w:szCs w:val="32"/>
    </w:rPr>
  </w:style>
  <w:style w:type="paragraph" w:styleId="4">
    <w:name w:val="heading 3"/>
    <w:basedOn w:val="1"/>
    <w:next w:val="1"/>
    <w:link w:val="57"/>
    <w:unhideWhenUsed/>
    <w:qFormat/>
    <w:uiPriority w:val="0"/>
    <w:pPr>
      <w:keepNext/>
      <w:keepLines/>
      <w:spacing w:before="260" w:after="260" w:line="416" w:lineRule="auto"/>
      <w:outlineLvl w:val="2"/>
    </w:pPr>
    <w:rPr>
      <w:rFonts w:ascii="Times New Roman" w:hAnsi="Times New Roman" w:eastAsia="仿宋"/>
      <w:b/>
      <w:bCs/>
      <w:sz w:val="30"/>
      <w:szCs w:val="32"/>
    </w:rPr>
  </w:style>
  <w:style w:type="paragraph" w:styleId="5">
    <w:name w:val="heading 4"/>
    <w:basedOn w:val="1"/>
    <w:next w:val="1"/>
    <w:link w:val="66"/>
    <w:unhideWhenUsed/>
    <w:qFormat/>
    <w:uiPriority w:val="0"/>
    <w:pPr>
      <w:keepNext/>
      <w:keepLines/>
      <w:spacing w:line="360" w:lineRule="auto"/>
      <w:outlineLvl w:val="3"/>
    </w:pPr>
    <w:rPr>
      <w:rFonts w:ascii="Times New Roman" w:hAnsi="Times New Roman" w:eastAsia="仿宋" w:cstheme="majorBidi"/>
      <w:b/>
      <w:bCs/>
      <w:sz w:val="24"/>
      <w:szCs w:val="28"/>
    </w:rPr>
  </w:style>
  <w:style w:type="paragraph" w:styleId="6">
    <w:name w:val="heading 5"/>
    <w:basedOn w:val="1"/>
    <w:next w:val="1"/>
    <w:link w:val="84"/>
    <w:qFormat/>
    <w:uiPriority w:val="0"/>
    <w:pPr>
      <w:widowControl/>
      <w:spacing w:before="240" w:after="60" w:line="360" w:lineRule="auto"/>
      <w:ind w:firstLine="200" w:firstLineChars="200"/>
      <w:jc w:val="left"/>
      <w:outlineLvl w:val="4"/>
    </w:pPr>
    <w:rPr>
      <w:rFonts w:ascii="Calibri" w:hAnsi="Calibri" w:eastAsia="宋体" w:cs="Times New Roman"/>
      <w:b/>
      <w:bCs/>
      <w:i/>
      <w:iCs/>
      <w:kern w:val="0"/>
      <w:sz w:val="26"/>
      <w:szCs w:val="26"/>
      <w:lang w:bidi="en-US"/>
    </w:rPr>
  </w:style>
  <w:style w:type="paragraph" w:styleId="7">
    <w:name w:val="heading 6"/>
    <w:basedOn w:val="1"/>
    <w:next w:val="1"/>
    <w:link w:val="85"/>
    <w:qFormat/>
    <w:uiPriority w:val="0"/>
    <w:pPr>
      <w:widowControl/>
      <w:spacing w:before="240" w:after="60" w:line="360" w:lineRule="auto"/>
      <w:ind w:firstLine="200" w:firstLineChars="200"/>
      <w:jc w:val="left"/>
      <w:outlineLvl w:val="5"/>
    </w:pPr>
    <w:rPr>
      <w:rFonts w:ascii="Calibri" w:hAnsi="Calibri" w:eastAsia="宋体" w:cs="Times New Roman"/>
      <w:b/>
      <w:bCs/>
      <w:kern w:val="0"/>
      <w:sz w:val="22"/>
      <w:szCs w:val="28"/>
      <w:lang w:bidi="en-US"/>
    </w:rPr>
  </w:style>
  <w:style w:type="paragraph" w:styleId="8">
    <w:name w:val="heading 7"/>
    <w:basedOn w:val="1"/>
    <w:next w:val="1"/>
    <w:link w:val="86"/>
    <w:qFormat/>
    <w:uiPriority w:val="0"/>
    <w:pPr>
      <w:widowControl/>
      <w:spacing w:before="240" w:after="60" w:line="360" w:lineRule="auto"/>
      <w:ind w:firstLine="200" w:firstLineChars="200"/>
      <w:jc w:val="left"/>
      <w:outlineLvl w:val="6"/>
    </w:pPr>
    <w:rPr>
      <w:rFonts w:ascii="Calibri" w:hAnsi="Calibri" w:eastAsia="宋体" w:cs="Times New Roman"/>
      <w:kern w:val="0"/>
      <w:sz w:val="24"/>
      <w:szCs w:val="24"/>
      <w:lang w:bidi="en-US"/>
    </w:rPr>
  </w:style>
  <w:style w:type="paragraph" w:styleId="9">
    <w:name w:val="heading 8"/>
    <w:basedOn w:val="1"/>
    <w:next w:val="1"/>
    <w:link w:val="87"/>
    <w:qFormat/>
    <w:uiPriority w:val="0"/>
    <w:pPr>
      <w:widowControl/>
      <w:spacing w:before="240" w:after="60" w:line="360" w:lineRule="auto"/>
      <w:ind w:firstLine="200" w:firstLineChars="200"/>
      <w:jc w:val="left"/>
      <w:outlineLvl w:val="7"/>
    </w:pPr>
    <w:rPr>
      <w:rFonts w:ascii="Calibri" w:hAnsi="Calibri" w:eastAsia="宋体" w:cs="Times New Roman"/>
      <w:i/>
      <w:iCs/>
      <w:kern w:val="0"/>
      <w:sz w:val="24"/>
      <w:szCs w:val="24"/>
      <w:lang w:bidi="en-US"/>
    </w:rPr>
  </w:style>
  <w:style w:type="paragraph" w:styleId="10">
    <w:name w:val="heading 9"/>
    <w:basedOn w:val="1"/>
    <w:next w:val="1"/>
    <w:link w:val="88"/>
    <w:qFormat/>
    <w:uiPriority w:val="0"/>
    <w:pPr>
      <w:widowControl/>
      <w:spacing w:before="240" w:after="60" w:line="360" w:lineRule="auto"/>
      <w:ind w:firstLine="200" w:firstLineChars="200"/>
      <w:jc w:val="left"/>
      <w:outlineLvl w:val="8"/>
    </w:pPr>
    <w:rPr>
      <w:rFonts w:ascii="Cambria" w:hAnsi="Cambria" w:eastAsia="宋体" w:cs="Times New Roman"/>
      <w:kern w:val="0"/>
      <w:sz w:val="22"/>
      <w:szCs w:val="28"/>
      <w:lang w:bidi="en-US"/>
    </w:rPr>
  </w:style>
  <w:style w:type="character" w:default="1" w:styleId="46">
    <w:name w:val="Default Paragraph Font"/>
    <w:semiHidden/>
    <w:unhideWhenUsed/>
    <w:uiPriority w:val="1"/>
  </w:style>
  <w:style w:type="table" w:default="1" w:styleId="44">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te Heading"/>
    <w:basedOn w:val="1"/>
    <w:next w:val="1"/>
    <w:link w:val="146"/>
    <w:semiHidden/>
    <w:uiPriority w:val="0"/>
    <w:pPr>
      <w:jc w:val="center"/>
    </w:pPr>
    <w:rPr>
      <w:rFonts w:ascii="Times New Roman" w:hAnsi="Times New Roman" w:eastAsia="宋体" w:cs="Times New Roman"/>
      <w:kern w:val="0"/>
      <w:sz w:val="28"/>
      <w:szCs w:val="24"/>
    </w:rPr>
  </w:style>
  <w:style w:type="paragraph" w:styleId="13">
    <w:name w:val="Normal Indent"/>
    <w:basedOn w:val="1"/>
    <w:qFormat/>
    <w:uiPriority w:val="0"/>
    <w:pPr>
      <w:ind w:firstLine="420" w:firstLineChars="200"/>
    </w:pPr>
    <w:rPr>
      <w:rFonts w:ascii="Times New Roman" w:hAnsi="Times New Roman" w:eastAsia="宋体" w:cs="Times New Roman"/>
      <w:kern w:val="0"/>
      <w:sz w:val="28"/>
      <w:szCs w:val="24"/>
    </w:rPr>
  </w:style>
  <w:style w:type="paragraph" w:styleId="14">
    <w:name w:val="caption"/>
    <w:basedOn w:val="1"/>
    <w:next w:val="1"/>
    <w:qFormat/>
    <w:uiPriority w:val="0"/>
    <w:pPr>
      <w:widowControl/>
      <w:ind w:firstLine="200" w:firstLineChars="200"/>
      <w:jc w:val="left"/>
    </w:pPr>
    <w:rPr>
      <w:rFonts w:ascii="Calibri" w:hAnsi="Calibri" w:eastAsia="宋体" w:cs="Times New Roman"/>
      <w:b/>
      <w:bCs/>
      <w:color w:val="4F81BD"/>
      <w:kern w:val="0"/>
      <w:sz w:val="18"/>
      <w:szCs w:val="18"/>
      <w:lang w:bidi="en-US"/>
    </w:rPr>
  </w:style>
  <w:style w:type="paragraph" w:styleId="15">
    <w:name w:val="List Bullet"/>
    <w:basedOn w:val="1"/>
    <w:unhideWhenUsed/>
    <w:uiPriority w:val="99"/>
    <w:pPr>
      <w:numPr>
        <w:ilvl w:val="0"/>
        <w:numId w:val="1"/>
      </w:numPr>
      <w:contextualSpacing/>
    </w:pPr>
  </w:style>
  <w:style w:type="paragraph" w:styleId="16">
    <w:name w:val="Document Map"/>
    <w:basedOn w:val="1"/>
    <w:link w:val="92"/>
    <w:semiHidden/>
    <w:uiPriority w:val="0"/>
    <w:pPr>
      <w:shd w:val="clear" w:color="auto" w:fill="000080"/>
      <w:spacing w:line="360" w:lineRule="auto"/>
      <w:ind w:firstLine="200" w:firstLineChars="200"/>
    </w:pPr>
    <w:rPr>
      <w:rFonts w:ascii="仿宋_GB2312" w:hAnsi="Times New Roman" w:eastAsia="仿宋_GB2312" w:cs="Times New Roman"/>
      <w:kern w:val="0"/>
      <w:sz w:val="24"/>
      <w:szCs w:val="24"/>
    </w:rPr>
  </w:style>
  <w:style w:type="paragraph" w:styleId="17">
    <w:name w:val="annotation text"/>
    <w:basedOn w:val="1"/>
    <w:link w:val="67"/>
    <w:unhideWhenUsed/>
    <w:uiPriority w:val="99"/>
    <w:pPr>
      <w:jc w:val="left"/>
    </w:pPr>
  </w:style>
  <w:style w:type="paragraph" w:styleId="18">
    <w:name w:val="Body Text 3"/>
    <w:basedOn w:val="1"/>
    <w:link w:val="132"/>
    <w:semiHidden/>
    <w:unhideWhenUsed/>
    <w:uiPriority w:val="0"/>
    <w:pPr>
      <w:widowControl/>
      <w:spacing w:after="120" w:line="360" w:lineRule="auto"/>
      <w:ind w:firstLine="200" w:firstLineChars="200"/>
      <w:jc w:val="left"/>
    </w:pPr>
    <w:rPr>
      <w:rFonts w:ascii="Calibri" w:hAnsi="Calibri" w:eastAsia="宋体" w:cs="Times New Roman"/>
      <w:kern w:val="0"/>
      <w:sz w:val="16"/>
      <w:szCs w:val="16"/>
      <w:lang w:bidi="en-US"/>
    </w:rPr>
  </w:style>
  <w:style w:type="paragraph" w:styleId="19">
    <w:name w:val="Body Text"/>
    <w:basedOn w:val="1"/>
    <w:link w:val="128"/>
    <w:uiPriority w:val="0"/>
    <w:pPr>
      <w:spacing w:after="120"/>
    </w:pPr>
    <w:rPr>
      <w:rFonts w:ascii="Times New Roman" w:hAnsi="Times New Roman" w:eastAsia="宋体" w:cs="Times New Roman"/>
      <w:kern w:val="0"/>
      <w:sz w:val="24"/>
      <w:szCs w:val="24"/>
    </w:rPr>
  </w:style>
  <w:style w:type="paragraph" w:styleId="20">
    <w:name w:val="Body Text Indent"/>
    <w:basedOn w:val="1"/>
    <w:link w:val="100"/>
    <w:qFormat/>
    <w:uiPriority w:val="0"/>
    <w:pPr>
      <w:spacing w:line="360" w:lineRule="auto"/>
      <w:ind w:firstLine="480" w:firstLineChars="200"/>
    </w:pPr>
    <w:rPr>
      <w:rFonts w:ascii="宋体" w:hAnsi="宋体" w:eastAsia="宋体" w:cs="Times New Roman"/>
      <w:kern w:val="0"/>
      <w:sz w:val="24"/>
      <w:szCs w:val="24"/>
    </w:rPr>
  </w:style>
  <w:style w:type="paragraph" w:styleId="21">
    <w:name w:val="toc 5"/>
    <w:basedOn w:val="1"/>
    <w:next w:val="1"/>
    <w:unhideWhenUsed/>
    <w:uiPriority w:val="39"/>
    <w:pPr>
      <w:ind w:left="1680" w:leftChars="800"/>
    </w:pPr>
  </w:style>
  <w:style w:type="paragraph" w:styleId="22">
    <w:name w:val="toc 3"/>
    <w:basedOn w:val="1"/>
    <w:next w:val="1"/>
    <w:unhideWhenUsed/>
    <w:qFormat/>
    <w:uiPriority w:val="39"/>
    <w:pPr>
      <w:widowControl/>
      <w:spacing w:after="100" w:line="276" w:lineRule="auto"/>
      <w:ind w:left="440"/>
      <w:jc w:val="left"/>
    </w:pPr>
    <w:rPr>
      <w:kern w:val="0"/>
      <w:sz w:val="22"/>
    </w:rPr>
  </w:style>
  <w:style w:type="paragraph" w:styleId="23">
    <w:name w:val="Plain Text"/>
    <w:basedOn w:val="1"/>
    <w:link w:val="125"/>
    <w:qFormat/>
    <w:uiPriority w:val="0"/>
    <w:rPr>
      <w:rFonts w:ascii="宋体" w:hAnsi="Courier New" w:eastAsia="宋体" w:cs="Courier New"/>
      <w:kern w:val="0"/>
      <w:sz w:val="28"/>
      <w:szCs w:val="21"/>
    </w:rPr>
  </w:style>
  <w:style w:type="paragraph" w:styleId="24">
    <w:name w:val="toc 8"/>
    <w:basedOn w:val="1"/>
    <w:next w:val="1"/>
    <w:unhideWhenUsed/>
    <w:qFormat/>
    <w:uiPriority w:val="39"/>
    <w:pPr>
      <w:ind w:left="2940" w:leftChars="1400"/>
    </w:pPr>
  </w:style>
  <w:style w:type="paragraph" w:styleId="25">
    <w:name w:val="Date"/>
    <w:basedOn w:val="1"/>
    <w:next w:val="1"/>
    <w:link w:val="64"/>
    <w:unhideWhenUsed/>
    <w:qFormat/>
    <w:uiPriority w:val="0"/>
    <w:pPr>
      <w:ind w:left="100" w:leftChars="2500"/>
    </w:pPr>
  </w:style>
  <w:style w:type="paragraph" w:styleId="26">
    <w:name w:val="Body Text Indent 2"/>
    <w:basedOn w:val="1"/>
    <w:link w:val="138"/>
    <w:semiHidden/>
    <w:uiPriority w:val="0"/>
    <w:pPr>
      <w:spacing w:after="120" w:line="480" w:lineRule="auto"/>
      <w:ind w:left="420" w:leftChars="200"/>
    </w:pPr>
    <w:rPr>
      <w:rFonts w:ascii="Times New Roman" w:hAnsi="Times New Roman" w:eastAsia="宋体" w:cs="Times New Roman"/>
      <w:sz w:val="28"/>
      <w:szCs w:val="24"/>
    </w:rPr>
  </w:style>
  <w:style w:type="paragraph" w:styleId="27">
    <w:name w:val="Balloon Text"/>
    <w:basedOn w:val="1"/>
    <w:link w:val="63"/>
    <w:semiHidden/>
    <w:unhideWhenUsed/>
    <w:uiPriority w:val="99"/>
    <w:rPr>
      <w:sz w:val="18"/>
      <w:szCs w:val="18"/>
    </w:rPr>
  </w:style>
  <w:style w:type="paragraph" w:styleId="28">
    <w:name w:val="footer"/>
    <w:basedOn w:val="1"/>
    <w:link w:val="54"/>
    <w:unhideWhenUsed/>
    <w:qFormat/>
    <w:uiPriority w:val="99"/>
    <w:pPr>
      <w:tabs>
        <w:tab w:val="center" w:pos="4153"/>
        <w:tab w:val="right" w:pos="8306"/>
      </w:tabs>
      <w:snapToGrid w:val="0"/>
      <w:jc w:val="left"/>
    </w:pPr>
    <w:rPr>
      <w:sz w:val="18"/>
      <w:szCs w:val="18"/>
    </w:rPr>
  </w:style>
  <w:style w:type="paragraph" w:styleId="29">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widowControl/>
      <w:spacing w:after="100" w:line="276" w:lineRule="auto"/>
      <w:jc w:val="left"/>
    </w:pPr>
    <w:rPr>
      <w:kern w:val="0"/>
      <w:sz w:val="22"/>
    </w:rPr>
  </w:style>
  <w:style w:type="paragraph" w:styleId="31">
    <w:name w:val="toc 4"/>
    <w:basedOn w:val="1"/>
    <w:next w:val="1"/>
    <w:unhideWhenUsed/>
    <w:qFormat/>
    <w:uiPriority w:val="39"/>
    <w:pPr>
      <w:ind w:left="1260" w:leftChars="600"/>
    </w:pPr>
  </w:style>
  <w:style w:type="paragraph" w:styleId="32">
    <w:name w:val="Subtitle"/>
    <w:basedOn w:val="1"/>
    <w:next w:val="1"/>
    <w:link w:val="109"/>
    <w:qFormat/>
    <w:uiPriority w:val="0"/>
    <w:pPr>
      <w:widowControl/>
      <w:spacing w:after="60" w:line="360" w:lineRule="auto"/>
      <w:ind w:firstLine="200" w:firstLineChars="200"/>
      <w:jc w:val="center"/>
      <w:outlineLvl w:val="1"/>
    </w:pPr>
    <w:rPr>
      <w:rFonts w:ascii="Cambria" w:hAnsi="Cambria" w:eastAsia="宋体" w:cs="Times New Roman"/>
      <w:kern w:val="0"/>
      <w:sz w:val="24"/>
      <w:szCs w:val="24"/>
      <w:lang w:bidi="en-US"/>
    </w:rPr>
  </w:style>
  <w:style w:type="paragraph" w:styleId="33">
    <w:name w:val="footnote text"/>
    <w:basedOn w:val="1"/>
    <w:link w:val="204"/>
    <w:unhideWhenUsed/>
    <w:qFormat/>
    <w:uiPriority w:val="0"/>
    <w:pPr>
      <w:widowControl/>
      <w:jc w:val="left"/>
    </w:pPr>
    <w:rPr>
      <w:rFonts w:ascii="Calibri" w:hAnsi="Calibri" w:eastAsia="宋体" w:cs="Times New Roman"/>
      <w:kern w:val="0"/>
      <w:sz w:val="20"/>
      <w:szCs w:val="20"/>
    </w:rPr>
  </w:style>
  <w:style w:type="paragraph" w:styleId="34">
    <w:name w:val="toc 6"/>
    <w:basedOn w:val="1"/>
    <w:next w:val="1"/>
    <w:unhideWhenUsed/>
    <w:qFormat/>
    <w:uiPriority w:val="39"/>
    <w:pPr>
      <w:ind w:left="2100" w:leftChars="1000"/>
    </w:pPr>
  </w:style>
  <w:style w:type="paragraph" w:styleId="35">
    <w:name w:val="Body Text Indent 3"/>
    <w:basedOn w:val="1"/>
    <w:link w:val="135"/>
    <w:semiHidden/>
    <w:unhideWhenUsed/>
    <w:uiPriority w:val="0"/>
    <w:pPr>
      <w:widowControl/>
      <w:spacing w:after="120" w:line="360" w:lineRule="auto"/>
      <w:ind w:left="420" w:leftChars="200" w:firstLine="200" w:firstLineChars="200"/>
      <w:jc w:val="left"/>
    </w:pPr>
    <w:rPr>
      <w:rFonts w:ascii="Calibri" w:hAnsi="Calibri" w:eastAsia="宋体" w:cs="Times New Roman"/>
      <w:kern w:val="0"/>
      <w:sz w:val="16"/>
      <w:szCs w:val="16"/>
      <w:lang w:bidi="en-US"/>
    </w:rPr>
  </w:style>
  <w:style w:type="paragraph" w:styleId="36">
    <w:name w:val="toc 2"/>
    <w:basedOn w:val="1"/>
    <w:next w:val="1"/>
    <w:unhideWhenUsed/>
    <w:qFormat/>
    <w:uiPriority w:val="39"/>
    <w:pPr>
      <w:widowControl/>
      <w:spacing w:after="100" w:line="276" w:lineRule="auto"/>
      <w:ind w:left="220"/>
      <w:jc w:val="left"/>
    </w:pPr>
    <w:rPr>
      <w:kern w:val="0"/>
      <w:sz w:val="22"/>
    </w:rPr>
  </w:style>
  <w:style w:type="paragraph" w:styleId="37">
    <w:name w:val="toc 9"/>
    <w:basedOn w:val="1"/>
    <w:next w:val="1"/>
    <w:unhideWhenUsed/>
    <w:qFormat/>
    <w:uiPriority w:val="39"/>
    <w:pPr>
      <w:ind w:left="3360" w:leftChars="1600"/>
    </w:pPr>
  </w:style>
  <w:style w:type="paragraph" w:styleId="38">
    <w:name w:val="Body Text 2"/>
    <w:basedOn w:val="1"/>
    <w:link w:val="141"/>
    <w:semiHidden/>
    <w:unhideWhenUsed/>
    <w:uiPriority w:val="0"/>
    <w:pPr>
      <w:widowControl/>
      <w:spacing w:after="120" w:line="480" w:lineRule="auto"/>
      <w:ind w:firstLine="200" w:firstLineChars="200"/>
      <w:jc w:val="left"/>
    </w:pPr>
    <w:rPr>
      <w:rFonts w:ascii="Calibri" w:hAnsi="Calibri" w:eastAsia="宋体" w:cs="Times New Roman"/>
      <w:kern w:val="0"/>
      <w:sz w:val="24"/>
      <w:szCs w:val="24"/>
      <w:lang w:bidi="en-US"/>
    </w:rPr>
  </w:style>
  <w:style w:type="paragraph" w:styleId="39">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40">
    <w:name w:val="Title"/>
    <w:basedOn w:val="1"/>
    <w:next w:val="1"/>
    <w:link w:val="107"/>
    <w:qFormat/>
    <w:uiPriority w:val="10"/>
    <w:pPr>
      <w:widowControl/>
      <w:spacing w:before="240" w:after="60" w:line="360" w:lineRule="auto"/>
      <w:ind w:firstLine="200" w:firstLineChars="200"/>
      <w:jc w:val="center"/>
      <w:outlineLvl w:val="0"/>
    </w:pPr>
    <w:rPr>
      <w:rFonts w:ascii="Cambria" w:hAnsi="Cambria" w:eastAsia="宋体" w:cs="Times New Roman"/>
      <w:b/>
      <w:bCs/>
      <w:kern w:val="28"/>
      <w:sz w:val="32"/>
      <w:szCs w:val="32"/>
      <w:lang w:bidi="en-US"/>
    </w:rPr>
  </w:style>
  <w:style w:type="paragraph" w:styleId="41">
    <w:name w:val="annotation subject"/>
    <w:basedOn w:val="17"/>
    <w:next w:val="17"/>
    <w:link w:val="68"/>
    <w:semiHidden/>
    <w:unhideWhenUsed/>
    <w:qFormat/>
    <w:uiPriority w:val="99"/>
    <w:rPr>
      <w:b/>
      <w:bCs/>
    </w:rPr>
  </w:style>
  <w:style w:type="paragraph" w:styleId="42">
    <w:name w:val="Body Text First Indent"/>
    <w:basedOn w:val="19"/>
    <w:link w:val="315"/>
    <w:semiHidden/>
    <w:unhideWhenUsed/>
    <w:qFormat/>
    <w:uiPriority w:val="99"/>
    <w:pPr>
      <w:ind w:firstLine="420" w:firstLineChars="100"/>
    </w:pPr>
    <w:rPr>
      <w:rFonts w:asciiTheme="minorHAnsi" w:hAnsiTheme="minorHAnsi" w:eastAsiaTheme="minorEastAsia" w:cstheme="minorBidi"/>
      <w:kern w:val="2"/>
      <w:sz w:val="21"/>
      <w:szCs w:val="22"/>
    </w:rPr>
  </w:style>
  <w:style w:type="paragraph" w:styleId="43">
    <w:name w:val="Body Text First Indent 2"/>
    <w:basedOn w:val="20"/>
    <w:link w:val="316"/>
    <w:semiHidden/>
    <w:unhideWhenUsed/>
    <w:qFormat/>
    <w:uiPriority w:val="99"/>
    <w:pPr>
      <w:spacing w:after="120" w:line="240" w:lineRule="auto"/>
      <w:ind w:left="420" w:leftChars="200" w:firstLine="420"/>
    </w:pPr>
    <w:rPr>
      <w:rFonts w:asciiTheme="minorHAnsi" w:hAnsiTheme="minorHAnsi" w:eastAsiaTheme="minorEastAsia" w:cstheme="minorBidi"/>
      <w:kern w:val="2"/>
      <w:sz w:val="21"/>
      <w:szCs w:val="22"/>
    </w:rPr>
  </w:style>
  <w:style w:type="table" w:styleId="45">
    <w:name w:val="Table Grid"/>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rFonts w:ascii="Calibri" w:hAnsi="Calibri"/>
      <w:b/>
      <w:i/>
      <w:iCs/>
    </w:rPr>
  </w:style>
  <w:style w:type="character" w:styleId="51">
    <w:name w:val="Hyperlink"/>
    <w:qFormat/>
    <w:uiPriority w:val="99"/>
    <w:rPr>
      <w:color w:val="0000FF"/>
      <w:u w:val="single"/>
    </w:rPr>
  </w:style>
  <w:style w:type="character" w:styleId="52">
    <w:name w:val="annotation reference"/>
    <w:basedOn w:val="46"/>
    <w:unhideWhenUsed/>
    <w:uiPriority w:val="99"/>
    <w:rPr>
      <w:sz w:val="21"/>
      <w:szCs w:val="21"/>
    </w:rPr>
  </w:style>
  <w:style w:type="character" w:customStyle="1" w:styleId="53">
    <w:name w:val="页眉 Char1"/>
    <w:basedOn w:val="46"/>
    <w:link w:val="29"/>
    <w:qFormat/>
    <w:uiPriority w:val="99"/>
    <w:rPr>
      <w:sz w:val="18"/>
      <w:szCs w:val="18"/>
    </w:rPr>
  </w:style>
  <w:style w:type="character" w:customStyle="1" w:styleId="54">
    <w:name w:val="页脚 Char1"/>
    <w:basedOn w:val="46"/>
    <w:link w:val="28"/>
    <w:uiPriority w:val="99"/>
    <w:rPr>
      <w:sz w:val="18"/>
      <w:szCs w:val="18"/>
    </w:rPr>
  </w:style>
  <w:style w:type="paragraph" w:styleId="55">
    <w:name w:val="List Paragraph"/>
    <w:basedOn w:val="1"/>
    <w:qFormat/>
    <w:uiPriority w:val="34"/>
    <w:pPr>
      <w:ind w:firstLine="420" w:firstLineChars="200"/>
    </w:pPr>
  </w:style>
  <w:style w:type="character" w:customStyle="1" w:styleId="56">
    <w:name w:val="标题 2 Char2"/>
    <w:basedOn w:val="46"/>
    <w:link w:val="3"/>
    <w:uiPriority w:val="9"/>
    <w:rPr>
      <w:rFonts w:ascii="Times New Roman" w:hAnsi="Times New Roman" w:eastAsia="仿宋" w:cstheme="majorBidi"/>
      <w:b/>
      <w:bCs/>
      <w:sz w:val="32"/>
      <w:szCs w:val="32"/>
    </w:rPr>
  </w:style>
  <w:style w:type="character" w:customStyle="1" w:styleId="57">
    <w:name w:val="标题 3 Char2"/>
    <w:basedOn w:val="46"/>
    <w:link w:val="4"/>
    <w:qFormat/>
    <w:uiPriority w:val="9"/>
    <w:rPr>
      <w:rFonts w:ascii="Times New Roman" w:hAnsi="Times New Roman" w:eastAsia="仿宋"/>
      <w:b/>
      <w:bCs/>
      <w:sz w:val="30"/>
      <w:szCs w:val="32"/>
    </w:rPr>
  </w:style>
  <w:style w:type="paragraph" w:customStyle="1" w:styleId="58">
    <w:name w:val="Char Char Char"/>
    <w:basedOn w:val="1"/>
    <w:semiHidden/>
    <w:qFormat/>
    <w:uiPriority w:val="0"/>
    <w:rPr>
      <w:rFonts w:ascii="Times New Roman" w:hAnsi="Times New Roman" w:eastAsia="宋体" w:cs="Times New Roman"/>
      <w:szCs w:val="24"/>
    </w:rPr>
  </w:style>
  <w:style w:type="character" w:customStyle="1" w:styleId="59">
    <w:name w:val="15"/>
    <w:basedOn w:val="46"/>
    <w:qFormat/>
    <w:uiPriority w:val="0"/>
    <w:rPr>
      <w:rFonts w:hint="default" w:ascii="Times New Roman" w:hAnsi="Times New Roman" w:cs="Times New Roman"/>
      <w:color w:val="0000FF"/>
      <w:u w:val="single"/>
    </w:rPr>
  </w:style>
  <w:style w:type="character" w:customStyle="1" w:styleId="60">
    <w:name w:val="标题 1 Char2"/>
    <w:basedOn w:val="46"/>
    <w:link w:val="2"/>
    <w:qFormat/>
    <w:uiPriority w:val="9"/>
    <w:rPr>
      <w:rFonts w:ascii="Times New Roman" w:hAnsi="Times New Roman" w:eastAsia="仿宋"/>
      <w:b/>
      <w:bCs/>
      <w:kern w:val="44"/>
      <w:sz w:val="36"/>
      <w:szCs w:val="44"/>
    </w:rPr>
  </w:style>
  <w:style w:type="paragraph" w:customStyle="1" w:styleId="61">
    <w:name w:val="文字"/>
    <w:basedOn w:val="1"/>
    <w:link w:val="97"/>
    <w:qFormat/>
    <w:uiPriority w:val="0"/>
    <w:pPr>
      <w:widowControl/>
      <w:spacing w:after="120" w:afterLines="50" w:line="360" w:lineRule="auto"/>
      <w:ind w:firstLine="420"/>
    </w:pPr>
    <w:rPr>
      <w:rFonts w:ascii="Times New Roman" w:hAnsi="Times New Roman" w:eastAsia="宋体" w:cs="Times New Roman"/>
      <w:kern w:val="0"/>
      <w:sz w:val="24"/>
      <w:szCs w:val="24"/>
    </w:rPr>
  </w:style>
  <w:style w:type="paragraph" w:customStyle="1" w:styleId="62">
    <w:name w:val="Char Char Char2"/>
    <w:basedOn w:val="1"/>
    <w:semiHidden/>
    <w:qFormat/>
    <w:uiPriority w:val="0"/>
    <w:rPr>
      <w:rFonts w:ascii="Times New Roman" w:hAnsi="Times New Roman" w:eastAsia="宋体" w:cs="Times New Roman"/>
      <w:szCs w:val="24"/>
    </w:rPr>
  </w:style>
  <w:style w:type="character" w:customStyle="1" w:styleId="63">
    <w:name w:val="批注框文本 Char2"/>
    <w:basedOn w:val="46"/>
    <w:link w:val="27"/>
    <w:semiHidden/>
    <w:qFormat/>
    <w:uiPriority w:val="99"/>
    <w:rPr>
      <w:sz w:val="18"/>
      <w:szCs w:val="18"/>
    </w:rPr>
  </w:style>
  <w:style w:type="character" w:customStyle="1" w:styleId="64">
    <w:name w:val="日期 Char1"/>
    <w:basedOn w:val="46"/>
    <w:link w:val="25"/>
    <w:uiPriority w:val="0"/>
  </w:style>
  <w:style w:type="paragraph" w:customStyle="1" w:styleId="65">
    <w:name w:val="表格内容"/>
    <w:basedOn w:val="1"/>
    <w:next w:val="1"/>
    <w:qFormat/>
    <w:uiPriority w:val="0"/>
    <w:pPr>
      <w:jc w:val="center"/>
    </w:pPr>
    <w:rPr>
      <w:rFonts w:ascii="Times New Roman" w:hAnsi="Times New Roman" w:eastAsia="仿宋_GB2312" w:cs="Times New Roman"/>
      <w:kern w:val="0"/>
      <w:sz w:val="24"/>
      <w:szCs w:val="24"/>
    </w:rPr>
  </w:style>
  <w:style w:type="character" w:customStyle="1" w:styleId="66">
    <w:name w:val="标题 4 Char1"/>
    <w:basedOn w:val="46"/>
    <w:link w:val="5"/>
    <w:uiPriority w:val="9"/>
    <w:rPr>
      <w:rFonts w:ascii="Times New Roman" w:hAnsi="Times New Roman" w:eastAsia="仿宋" w:cstheme="majorBidi"/>
      <w:b/>
      <w:bCs/>
      <w:sz w:val="24"/>
      <w:szCs w:val="28"/>
    </w:rPr>
  </w:style>
  <w:style w:type="character" w:customStyle="1" w:styleId="67">
    <w:name w:val="批注文字 Char1"/>
    <w:basedOn w:val="46"/>
    <w:link w:val="17"/>
    <w:uiPriority w:val="99"/>
  </w:style>
  <w:style w:type="character" w:customStyle="1" w:styleId="68">
    <w:name w:val="批注主题 Char1"/>
    <w:basedOn w:val="67"/>
    <w:link w:val="41"/>
    <w:semiHidden/>
    <w:uiPriority w:val="99"/>
    <w:rPr>
      <w:b/>
      <w:bCs/>
    </w:rPr>
  </w:style>
  <w:style w:type="character" w:customStyle="1" w:styleId="69">
    <w:name w:val="标题 5 字符"/>
    <w:basedOn w:val="46"/>
    <w:semiHidden/>
    <w:uiPriority w:val="9"/>
    <w:rPr>
      <w:b/>
      <w:bCs/>
      <w:sz w:val="28"/>
      <w:szCs w:val="28"/>
    </w:rPr>
  </w:style>
  <w:style w:type="character" w:customStyle="1" w:styleId="70">
    <w:name w:val="标题 6 字符"/>
    <w:basedOn w:val="46"/>
    <w:semiHidden/>
    <w:qFormat/>
    <w:uiPriority w:val="9"/>
    <w:rPr>
      <w:rFonts w:asciiTheme="majorHAnsi" w:hAnsiTheme="majorHAnsi" w:eastAsiaTheme="majorEastAsia" w:cstheme="majorBidi"/>
      <w:b/>
      <w:bCs/>
      <w:sz w:val="24"/>
      <w:szCs w:val="24"/>
    </w:rPr>
  </w:style>
  <w:style w:type="character" w:customStyle="1" w:styleId="71">
    <w:name w:val="标题 7 字符"/>
    <w:basedOn w:val="46"/>
    <w:semiHidden/>
    <w:uiPriority w:val="9"/>
    <w:rPr>
      <w:b/>
      <w:bCs/>
      <w:sz w:val="24"/>
      <w:szCs w:val="24"/>
    </w:rPr>
  </w:style>
  <w:style w:type="character" w:customStyle="1" w:styleId="72">
    <w:name w:val="标题 8 字符"/>
    <w:basedOn w:val="46"/>
    <w:semiHidden/>
    <w:qFormat/>
    <w:uiPriority w:val="9"/>
    <w:rPr>
      <w:rFonts w:asciiTheme="majorHAnsi" w:hAnsiTheme="majorHAnsi" w:eastAsiaTheme="majorEastAsia" w:cstheme="majorBidi"/>
      <w:sz w:val="24"/>
      <w:szCs w:val="24"/>
    </w:rPr>
  </w:style>
  <w:style w:type="character" w:customStyle="1" w:styleId="73">
    <w:name w:val="标题 9 字符"/>
    <w:basedOn w:val="46"/>
    <w:semiHidden/>
    <w:qFormat/>
    <w:uiPriority w:val="9"/>
    <w:rPr>
      <w:rFonts w:asciiTheme="majorHAnsi" w:hAnsiTheme="majorHAnsi" w:eastAsiaTheme="majorEastAsia" w:cstheme="majorBidi"/>
      <w:szCs w:val="21"/>
    </w:rPr>
  </w:style>
  <w:style w:type="character" w:customStyle="1" w:styleId="74">
    <w:name w:val="页脚 Char"/>
    <w:qFormat/>
    <w:uiPriority w:val="99"/>
    <w:rPr>
      <w:sz w:val="18"/>
      <w:szCs w:val="18"/>
    </w:rPr>
  </w:style>
  <w:style w:type="paragraph" w:customStyle="1" w:styleId="75">
    <w:name w:val="Char Char Char1 Char Char Char Char Char Char2 Char"/>
    <w:basedOn w:val="1"/>
    <w:semiHidden/>
    <w:uiPriority w:val="0"/>
    <w:rPr>
      <w:rFonts w:ascii="黑体" w:hAnsi="Times New Roman" w:eastAsia="黑体" w:cs="Times New Roman"/>
      <w:b/>
      <w:kern w:val="0"/>
      <w:sz w:val="32"/>
      <w:szCs w:val="32"/>
    </w:rPr>
  </w:style>
  <w:style w:type="character" w:customStyle="1" w:styleId="76">
    <w:name w:val="页眉 Char"/>
    <w:uiPriority w:val="99"/>
    <w:rPr>
      <w:sz w:val="18"/>
      <w:szCs w:val="18"/>
    </w:rPr>
  </w:style>
  <w:style w:type="paragraph" w:customStyle="1" w:styleId="77">
    <w:name w:val="Char Char Char1 Char Char Char Char Char Char2 Char1"/>
    <w:basedOn w:val="1"/>
    <w:semiHidden/>
    <w:uiPriority w:val="0"/>
    <w:rPr>
      <w:rFonts w:ascii="黑体" w:hAnsi="Times New Roman" w:eastAsia="黑体" w:cs="Times New Roman"/>
      <w:b/>
      <w:kern w:val="0"/>
      <w:sz w:val="32"/>
      <w:szCs w:val="32"/>
    </w:rPr>
  </w:style>
  <w:style w:type="paragraph" w:customStyle="1" w:styleId="78">
    <w:name w:val="Char"/>
    <w:basedOn w:val="1"/>
    <w:next w:val="1"/>
    <w:link w:val="150"/>
    <w:qFormat/>
    <w:uiPriority w:val="0"/>
    <w:pPr>
      <w:spacing w:line="360" w:lineRule="auto"/>
      <w:ind w:left="240" w:firstLine="200" w:firstLineChars="200"/>
      <w:jc w:val="left"/>
    </w:pPr>
    <w:rPr>
      <w:rFonts w:ascii="Calibri" w:hAnsi="Calibri" w:eastAsia="宋体" w:cs="Times New Roman"/>
      <w:kern w:val="0"/>
      <w:sz w:val="24"/>
      <w:szCs w:val="24"/>
      <w:lang w:bidi="en-US"/>
    </w:rPr>
  </w:style>
  <w:style w:type="character" w:customStyle="1" w:styleId="79">
    <w:name w:val="日期 Char"/>
    <w:basedOn w:val="46"/>
    <w:uiPriority w:val="0"/>
  </w:style>
  <w:style w:type="character" w:customStyle="1" w:styleId="80">
    <w:name w:val="标题 1 Char"/>
    <w:uiPriority w:val="0"/>
    <w:rPr>
      <w:b/>
      <w:bCs/>
      <w:kern w:val="44"/>
      <w:sz w:val="44"/>
      <w:szCs w:val="44"/>
    </w:rPr>
  </w:style>
  <w:style w:type="character" w:customStyle="1" w:styleId="81">
    <w:name w:val="标题 2 Char"/>
    <w:uiPriority w:val="0"/>
    <w:rPr>
      <w:rFonts w:ascii="Calibri Light" w:hAnsi="Calibri Light" w:eastAsia="宋体" w:cs="Times New Roman"/>
      <w:b/>
      <w:bCs/>
      <w:sz w:val="32"/>
      <w:szCs w:val="32"/>
    </w:rPr>
  </w:style>
  <w:style w:type="character" w:customStyle="1" w:styleId="82">
    <w:name w:val="标题 3 Char"/>
    <w:qFormat/>
    <w:uiPriority w:val="0"/>
    <w:rPr>
      <w:b/>
      <w:bCs/>
      <w:sz w:val="32"/>
      <w:szCs w:val="32"/>
    </w:rPr>
  </w:style>
  <w:style w:type="character" w:customStyle="1" w:styleId="83">
    <w:name w:val="标题 4 Char"/>
    <w:uiPriority w:val="0"/>
    <w:rPr>
      <w:rFonts w:ascii="Calibri" w:hAnsi="Calibri" w:eastAsia="宋体" w:cs="Times New Roman"/>
      <w:b/>
      <w:bCs/>
      <w:kern w:val="0"/>
      <w:sz w:val="28"/>
      <w:szCs w:val="28"/>
      <w:lang w:bidi="en-US"/>
    </w:rPr>
  </w:style>
  <w:style w:type="character" w:customStyle="1" w:styleId="84">
    <w:name w:val="标题 5 Char1"/>
    <w:link w:val="6"/>
    <w:qFormat/>
    <w:uiPriority w:val="0"/>
    <w:rPr>
      <w:rFonts w:ascii="Calibri" w:hAnsi="Calibri" w:eastAsia="宋体" w:cs="Times New Roman"/>
      <w:b/>
      <w:bCs/>
      <w:i/>
      <w:iCs/>
      <w:kern w:val="0"/>
      <w:sz w:val="26"/>
      <w:szCs w:val="26"/>
      <w:lang w:bidi="en-US"/>
    </w:rPr>
  </w:style>
  <w:style w:type="character" w:customStyle="1" w:styleId="85">
    <w:name w:val="标题 6 Char1"/>
    <w:link w:val="7"/>
    <w:uiPriority w:val="0"/>
    <w:rPr>
      <w:rFonts w:ascii="Calibri" w:hAnsi="Calibri" w:eastAsia="宋体" w:cs="Times New Roman"/>
      <w:b/>
      <w:bCs/>
      <w:kern w:val="0"/>
      <w:sz w:val="22"/>
      <w:szCs w:val="28"/>
      <w:lang w:bidi="en-US"/>
    </w:rPr>
  </w:style>
  <w:style w:type="character" w:customStyle="1" w:styleId="86">
    <w:name w:val="标题 7 Char1"/>
    <w:link w:val="8"/>
    <w:uiPriority w:val="0"/>
    <w:rPr>
      <w:rFonts w:ascii="Calibri" w:hAnsi="Calibri" w:eastAsia="宋体" w:cs="Times New Roman"/>
      <w:kern w:val="0"/>
      <w:sz w:val="24"/>
      <w:szCs w:val="24"/>
      <w:lang w:bidi="en-US"/>
    </w:rPr>
  </w:style>
  <w:style w:type="character" w:customStyle="1" w:styleId="87">
    <w:name w:val="标题 8 Char1"/>
    <w:link w:val="9"/>
    <w:uiPriority w:val="0"/>
    <w:rPr>
      <w:rFonts w:ascii="Calibri" w:hAnsi="Calibri" w:eastAsia="宋体" w:cs="Times New Roman"/>
      <w:i/>
      <w:iCs/>
      <w:kern w:val="0"/>
      <w:sz w:val="24"/>
      <w:szCs w:val="24"/>
      <w:lang w:bidi="en-US"/>
    </w:rPr>
  </w:style>
  <w:style w:type="character" w:customStyle="1" w:styleId="88">
    <w:name w:val="标题 9 Char1"/>
    <w:link w:val="10"/>
    <w:uiPriority w:val="0"/>
    <w:rPr>
      <w:rFonts w:ascii="Cambria" w:hAnsi="Cambria" w:eastAsia="宋体" w:cs="Times New Roman"/>
      <w:kern w:val="0"/>
      <w:sz w:val="22"/>
      <w:szCs w:val="28"/>
      <w:lang w:bidi="en-US"/>
    </w:rPr>
  </w:style>
  <w:style w:type="character" w:customStyle="1" w:styleId="89">
    <w:name w:val="标题 1 Char1"/>
    <w:uiPriority w:val="0"/>
    <w:rPr>
      <w:rFonts w:ascii="仿宋_GB2312" w:hAnsi="Times New Roman" w:eastAsia="仿宋_GB2312" w:cs="Times New Roman"/>
      <w:b/>
      <w:bCs/>
      <w:kern w:val="44"/>
      <w:sz w:val="32"/>
      <w:szCs w:val="44"/>
    </w:rPr>
  </w:style>
  <w:style w:type="character" w:customStyle="1" w:styleId="90">
    <w:name w:val="标题 2 Char1"/>
    <w:uiPriority w:val="0"/>
    <w:rPr>
      <w:rFonts w:ascii="Arial" w:hAnsi="Arial" w:eastAsia="黑体" w:cs="Times New Roman"/>
      <w:b/>
      <w:bCs/>
      <w:kern w:val="0"/>
      <w:sz w:val="30"/>
      <w:szCs w:val="32"/>
    </w:rPr>
  </w:style>
  <w:style w:type="character" w:customStyle="1" w:styleId="91">
    <w:name w:val="标题 3 Char1"/>
    <w:uiPriority w:val="0"/>
    <w:rPr>
      <w:rFonts w:ascii="仿宋_GB2312" w:hAnsi="Times New Roman" w:eastAsia="仿宋_GB2312" w:cs="Times New Roman"/>
      <w:b/>
      <w:bCs/>
      <w:kern w:val="0"/>
      <w:sz w:val="28"/>
      <w:szCs w:val="32"/>
    </w:rPr>
  </w:style>
  <w:style w:type="character" w:customStyle="1" w:styleId="92">
    <w:name w:val="文档结构图 Char2"/>
    <w:link w:val="16"/>
    <w:semiHidden/>
    <w:uiPriority w:val="0"/>
    <w:rPr>
      <w:rFonts w:ascii="仿宋_GB2312" w:hAnsi="Times New Roman" w:eastAsia="仿宋_GB2312" w:cs="Times New Roman"/>
      <w:kern w:val="0"/>
      <w:sz w:val="24"/>
      <w:szCs w:val="24"/>
      <w:shd w:val="clear" w:color="auto" w:fill="000080"/>
    </w:rPr>
  </w:style>
  <w:style w:type="character" w:customStyle="1" w:styleId="93">
    <w:name w:val="文档结构图 字符"/>
    <w:basedOn w:val="46"/>
    <w:semiHidden/>
    <w:uiPriority w:val="99"/>
    <w:rPr>
      <w:rFonts w:ascii="Microsoft YaHei UI" w:eastAsia="Microsoft YaHei UI"/>
      <w:sz w:val="18"/>
      <w:szCs w:val="18"/>
    </w:rPr>
  </w:style>
  <w:style w:type="character" w:customStyle="1" w:styleId="94">
    <w:name w:val="文档结构图 Char1"/>
    <w:semiHidden/>
    <w:uiPriority w:val="99"/>
    <w:rPr>
      <w:rFonts w:ascii="Microsoft YaHei UI" w:eastAsia="Microsoft YaHei UI"/>
      <w:sz w:val="18"/>
      <w:szCs w:val="18"/>
    </w:rPr>
  </w:style>
  <w:style w:type="paragraph" w:customStyle="1" w:styleId="95">
    <w:name w:val="样式 标题 2 + 首行缩进:  2 字符 段前: 0.5 行 段后: 0.5 行"/>
    <w:basedOn w:val="3"/>
    <w:qFormat/>
    <w:uiPriority w:val="0"/>
    <w:pPr>
      <w:spacing w:before="50" w:beforeLines="50" w:after="50" w:afterLines="50" w:line="360" w:lineRule="auto"/>
    </w:pPr>
    <w:rPr>
      <w:rFonts w:ascii="Arial" w:hAnsi="Arial" w:eastAsia="黑体" w:cs="宋体"/>
      <w:kern w:val="0"/>
      <w:sz w:val="30"/>
      <w:szCs w:val="20"/>
    </w:rPr>
  </w:style>
  <w:style w:type="paragraph" w:customStyle="1" w:styleId="96">
    <w:name w:val="样式 标题 3 + 首行缩进:  2 字符"/>
    <w:basedOn w:val="4"/>
    <w:qFormat/>
    <w:uiPriority w:val="0"/>
    <w:pPr>
      <w:spacing w:before="0" w:after="0" w:line="360" w:lineRule="auto"/>
    </w:pPr>
    <w:rPr>
      <w:rFonts w:ascii="仿宋_GB2312" w:eastAsia="仿宋_GB2312" w:cs="宋体"/>
      <w:kern w:val="0"/>
      <w:sz w:val="28"/>
      <w:szCs w:val="20"/>
    </w:rPr>
  </w:style>
  <w:style w:type="character" w:customStyle="1" w:styleId="97">
    <w:name w:val="文字 Char"/>
    <w:link w:val="61"/>
    <w:qFormat/>
    <w:uiPriority w:val="0"/>
    <w:rPr>
      <w:rFonts w:ascii="Times New Roman" w:hAnsi="Times New Roman" w:eastAsia="宋体" w:cs="Times New Roman"/>
      <w:kern w:val="0"/>
      <w:sz w:val="24"/>
      <w:szCs w:val="24"/>
    </w:rPr>
  </w:style>
  <w:style w:type="character" w:customStyle="1" w:styleId="98">
    <w:name w:val="正文文本缩进 字符"/>
    <w:basedOn w:val="46"/>
    <w:semiHidden/>
    <w:qFormat/>
    <w:uiPriority w:val="99"/>
  </w:style>
  <w:style w:type="character" w:customStyle="1" w:styleId="99">
    <w:name w:val="正文文本缩进 Char"/>
    <w:basedOn w:val="46"/>
    <w:qFormat/>
    <w:uiPriority w:val="0"/>
  </w:style>
  <w:style w:type="character" w:customStyle="1" w:styleId="100">
    <w:name w:val="正文文本缩进 Char2"/>
    <w:link w:val="20"/>
    <w:qFormat/>
    <w:uiPriority w:val="0"/>
    <w:rPr>
      <w:rFonts w:ascii="宋体" w:hAnsi="宋体" w:eastAsia="宋体" w:cs="Times New Roman"/>
      <w:kern w:val="0"/>
      <w:sz w:val="24"/>
      <w:szCs w:val="24"/>
    </w:rPr>
  </w:style>
  <w:style w:type="paragraph" w:customStyle="1" w:styleId="101">
    <w:name w:val="l_text"/>
    <w:basedOn w:val="1"/>
    <w:uiPriority w:val="0"/>
    <w:pPr>
      <w:overflowPunct w:val="0"/>
      <w:autoSpaceDE w:val="0"/>
      <w:autoSpaceDN w:val="0"/>
      <w:adjustRightInd w:val="0"/>
      <w:spacing w:line="360" w:lineRule="auto"/>
      <w:ind w:left="200" w:leftChars="100" w:right="12" w:rightChars="6" w:firstLine="562"/>
      <w:textAlignment w:val="baseline"/>
    </w:pPr>
    <w:rPr>
      <w:rFonts w:ascii="宋体" w:hAnsi="Times New Roman" w:eastAsia="宋体" w:cs="Times New Roman"/>
      <w:kern w:val="0"/>
      <w:sz w:val="28"/>
      <w:szCs w:val="20"/>
      <w:lang w:val="en-GB"/>
    </w:rPr>
  </w:style>
  <w:style w:type="paragraph" w:customStyle="1" w:styleId="102">
    <w:name w:val="其他表格"/>
    <w:basedOn w:val="1"/>
    <w:qFormat/>
    <w:uiPriority w:val="0"/>
    <w:pPr>
      <w:widowControl/>
      <w:spacing w:line="360" w:lineRule="exact"/>
    </w:pPr>
    <w:rPr>
      <w:rFonts w:ascii="宋体" w:hAnsi="宋体" w:eastAsia="宋体" w:cs="Times New Roman"/>
      <w:kern w:val="0"/>
      <w:sz w:val="28"/>
      <w:szCs w:val="21"/>
    </w:rPr>
  </w:style>
  <w:style w:type="paragraph" w:customStyle="1" w:styleId="103">
    <w:name w:val="样式 表中文字 + 行距: 固定值 14 磅"/>
    <w:basedOn w:val="1"/>
    <w:qFormat/>
    <w:uiPriority w:val="0"/>
    <w:pPr>
      <w:widowControl/>
      <w:adjustRightInd w:val="0"/>
      <w:snapToGrid w:val="0"/>
      <w:spacing w:line="280" w:lineRule="exact"/>
      <w:jc w:val="center"/>
    </w:pPr>
    <w:rPr>
      <w:rFonts w:ascii="Times New Roman" w:hAnsi="Times New Roman" w:eastAsia="华文中宋" w:cs="Times New Roman"/>
      <w:kern w:val="0"/>
      <w:sz w:val="28"/>
      <w:szCs w:val="20"/>
    </w:rPr>
  </w:style>
  <w:style w:type="paragraph" w:customStyle="1" w:styleId="104">
    <w:name w:val="样式 首行缩进:  2 字符"/>
    <w:basedOn w:val="1"/>
    <w:next w:val="1"/>
    <w:qFormat/>
    <w:uiPriority w:val="0"/>
    <w:pPr>
      <w:widowControl/>
      <w:spacing w:line="360" w:lineRule="auto"/>
      <w:ind w:firstLine="560" w:firstLineChars="200"/>
      <w:jc w:val="left"/>
    </w:pPr>
    <w:rPr>
      <w:rFonts w:ascii="Calibri" w:hAnsi="Calibri" w:eastAsia="宋体" w:cs="宋体"/>
      <w:kern w:val="0"/>
      <w:sz w:val="24"/>
      <w:szCs w:val="20"/>
      <w:lang w:bidi="en-US"/>
    </w:rPr>
  </w:style>
  <w:style w:type="character" w:customStyle="1" w:styleId="105">
    <w:name w:val="样式 超链接 + (西文) Arial (中文) 黑体 三号 加粗 自动设置 无下划线"/>
    <w:qFormat/>
    <w:uiPriority w:val="0"/>
    <w:rPr>
      <w:rFonts w:ascii="Arial" w:hAnsi="Arial" w:eastAsia="黑体"/>
      <w:b/>
      <w:bCs/>
      <w:color w:val="auto"/>
      <w:sz w:val="32"/>
      <w:u w:val="none"/>
    </w:rPr>
  </w:style>
  <w:style w:type="character" w:customStyle="1" w:styleId="106">
    <w:name w:val="标题 字符"/>
    <w:basedOn w:val="46"/>
    <w:qFormat/>
    <w:uiPriority w:val="10"/>
    <w:rPr>
      <w:rFonts w:asciiTheme="majorHAnsi" w:hAnsiTheme="majorHAnsi" w:eastAsiaTheme="majorEastAsia" w:cstheme="majorBidi"/>
      <w:b/>
      <w:bCs/>
      <w:sz w:val="32"/>
      <w:szCs w:val="32"/>
    </w:rPr>
  </w:style>
  <w:style w:type="character" w:customStyle="1" w:styleId="107">
    <w:name w:val="标题 Char1"/>
    <w:link w:val="40"/>
    <w:qFormat/>
    <w:uiPriority w:val="0"/>
    <w:rPr>
      <w:rFonts w:ascii="Cambria" w:hAnsi="Cambria" w:eastAsia="宋体" w:cs="Times New Roman"/>
      <w:b/>
      <w:bCs/>
      <w:kern w:val="28"/>
      <w:sz w:val="32"/>
      <w:szCs w:val="32"/>
      <w:lang w:bidi="en-US"/>
    </w:rPr>
  </w:style>
  <w:style w:type="character" w:customStyle="1" w:styleId="108">
    <w:name w:val="副标题 字符"/>
    <w:basedOn w:val="46"/>
    <w:qFormat/>
    <w:uiPriority w:val="11"/>
    <w:rPr>
      <w:b/>
      <w:bCs/>
      <w:kern w:val="28"/>
      <w:sz w:val="32"/>
      <w:szCs w:val="32"/>
    </w:rPr>
  </w:style>
  <w:style w:type="character" w:customStyle="1" w:styleId="109">
    <w:name w:val="副标题 Char1"/>
    <w:link w:val="32"/>
    <w:qFormat/>
    <w:uiPriority w:val="0"/>
    <w:rPr>
      <w:rFonts w:ascii="Cambria" w:hAnsi="Cambria" w:eastAsia="宋体" w:cs="Times New Roman"/>
      <w:kern w:val="0"/>
      <w:sz w:val="24"/>
      <w:szCs w:val="24"/>
      <w:lang w:bidi="en-US"/>
    </w:rPr>
  </w:style>
  <w:style w:type="paragraph" w:styleId="110">
    <w:name w:val="No Spacing"/>
    <w:basedOn w:val="1"/>
    <w:link w:val="111"/>
    <w:qFormat/>
    <w:uiPriority w:val="0"/>
    <w:pPr>
      <w:widowControl/>
      <w:jc w:val="center"/>
    </w:pPr>
    <w:rPr>
      <w:rFonts w:ascii="Calibri" w:hAnsi="Calibri" w:eastAsia="宋体" w:cs="Times New Roman"/>
      <w:kern w:val="0"/>
      <w:sz w:val="24"/>
      <w:szCs w:val="24"/>
      <w:lang w:bidi="en-US"/>
    </w:rPr>
  </w:style>
  <w:style w:type="character" w:customStyle="1" w:styleId="111">
    <w:name w:val="无间隔 Char1"/>
    <w:link w:val="110"/>
    <w:qFormat/>
    <w:uiPriority w:val="0"/>
    <w:rPr>
      <w:rFonts w:ascii="Calibri" w:hAnsi="Calibri" w:eastAsia="宋体" w:cs="Times New Roman"/>
      <w:kern w:val="0"/>
      <w:sz w:val="24"/>
      <w:szCs w:val="24"/>
      <w:lang w:bidi="en-US"/>
    </w:rPr>
  </w:style>
  <w:style w:type="paragraph" w:styleId="112">
    <w:name w:val="Quote"/>
    <w:basedOn w:val="1"/>
    <w:next w:val="1"/>
    <w:link w:val="114"/>
    <w:qFormat/>
    <w:uiPriority w:val="0"/>
    <w:pPr>
      <w:widowControl/>
      <w:spacing w:line="360" w:lineRule="auto"/>
      <w:ind w:firstLine="200" w:firstLineChars="200"/>
      <w:jc w:val="left"/>
    </w:pPr>
    <w:rPr>
      <w:rFonts w:ascii="Calibri" w:hAnsi="Calibri" w:eastAsia="宋体" w:cs="Times New Roman"/>
      <w:i/>
      <w:kern w:val="0"/>
      <w:sz w:val="24"/>
      <w:szCs w:val="24"/>
      <w:lang w:bidi="en-US"/>
    </w:rPr>
  </w:style>
  <w:style w:type="character" w:customStyle="1" w:styleId="113">
    <w:name w:val="引用 字符"/>
    <w:basedOn w:val="46"/>
    <w:uiPriority w:val="29"/>
    <w:rPr>
      <w:i/>
      <w:iCs/>
      <w:color w:val="404040" w:themeColor="text1" w:themeTint="BF"/>
      <w14:textFill>
        <w14:solidFill>
          <w14:schemeClr w14:val="tx1">
            <w14:lumMod w14:val="75000"/>
            <w14:lumOff w14:val="25000"/>
          </w14:schemeClr>
        </w14:solidFill>
      </w14:textFill>
    </w:rPr>
  </w:style>
  <w:style w:type="character" w:customStyle="1" w:styleId="114">
    <w:name w:val="引用 Char1"/>
    <w:link w:val="112"/>
    <w:uiPriority w:val="0"/>
    <w:rPr>
      <w:rFonts w:ascii="Calibri" w:hAnsi="Calibri" w:eastAsia="宋体" w:cs="Times New Roman"/>
      <w:i/>
      <w:kern w:val="0"/>
      <w:sz w:val="24"/>
      <w:szCs w:val="24"/>
      <w:lang w:bidi="en-US"/>
    </w:rPr>
  </w:style>
  <w:style w:type="paragraph" w:styleId="115">
    <w:name w:val="Intense Quote"/>
    <w:basedOn w:val="1"/>
    <w:next w:val="1"/>
    <w:link w:val="117"/>
    <w:qFormat/>
    <w:uiPriority w:val="0"/>
    <w:pPr>
      <w:widowControl/>
      <w:spacing w:line="360" w:lineRule="auto"/>
      <w:ind w:left="720" w:right="720" w:firstLine="200" w:firstLineChars="200"/>
      <w:jc w:val="left"/>
    </w:pPr>
    <w:rPr>
      <w:rFonts w:ascii="Calibri" w:hAnsi="Calibri" w:eastAsia="宋体" w:cs="Times New Roman"/>
      <w:b/>
      <w:i/>
      <w:kern w:val="0"/>
      <w:sz w:val="24"/>
      <w:szCs w:val="28"/>
      <w:lang w:bidi="en-US"/>
    </w:rPr>
  </w:style>
  <w:style w:type="character" w:customStyle="1" w:styleId="116">
    <w:name w:val="明显引用 字符"/>
    <w:basedOn w:val="46"/>
    <w:uiPriority w:val="30"/>
    <w:rPr>
      <w:i/>
      <w:iCs/>
      <w:color w:val="4F81BD" w:themeColor="accent1"/>
      <w14:textFill>
        <w14:solidFill>
          <w14:schemeClr w14:val="accent1"/>
        </w14:solidFill>
      </w14:textFill>
    </w:rPr>
  </w:style>
  <w:style w:type="character" w:customStyle="1" w:styleId="117">
    <w:name w:val="明显引用 Char1"/>
    <w:link w:val="115"/>
    <w:uiPriority w:val="0"/>
    <w:rPr>
      <w:rFonts w:ascii="Calibri" w:hAnsi="Calibri" w:eastAsia="宋体" w:cs="Times New Roman"/>
      <w:b/>
      <w:i/>
      <w:kern w:val="0"/>
      <w:sz w:val="24"/>
      <w:szCs w:val="28"/>
      <w:lang w:bidi="en-US"/>
    </w:rPr>
  </w:style>
  <w:style w:type="character" w:customStyle="1" w:styleId="118">
    <w:name w:val="Subtle Emphasis"/>
    <w:qFormat/>
    <w:uiPriority w:val="0"/>
    <w:rPr>
      <w:i/>
      <w:color w:val="5A5A5A"/>
    </w:rPr>
  </w:style>
  <w:style w:type="character" w:customStyle="1" w:styleId="119">
    <w:name w:val="Intense Emphasis"/>
    <w:qFormat/>
    <w:uiPriority w:val="0"/>
    <w:rPr>
      <w:b/>
      <w:i/>
      <w:sz w:val="24"/>
      <w:szCs w:val="24"/>
      <w:u w:val="single"/>
    </w:rPr>
  </w:style>
  <w:style w:type="character" w:customStyle="1" w:styleId="120">
    <w:name w:val="Subtle Reference"/>
    <w:qFormat/>
    <w:uiPriority w:val="0"/>
    <w:rPr>
      <w:sz w:val="24"/>
      <w:szCs w:val="24"/>
      <w:u w:val="single"/>
    </w:rPr>
  </w:style>
  <w:style w:type="character" w:customStyle="1" w:styleId="121">
    <w:name w:val="Intense Reference"/>
    <w:qFormat/>
    <w:uiPriority w:val="0"/>
    <w:rPr>
      <w:b/>
      <w:sz w:val="24"/>
      <w:u w:val="single"/>
    </w:rPr>
  </w:style>
  <w:style w:type="character" w:customStyle="1" w:styleId="122">
    <w:name w:val="Book Title"/>
    <w:qFormat/>
    <w:uiPriority w:val="0"/>
    <w:rPr>
      <w:rFonts w:ascii="Cambria" w:hAnsi="Cambria" w:eastAsia="宋体"/>
      <w:b/>
      <w:i/>
      <w:sz w:val="24"/>
      <w:szCs w:val="24"/>
    </w:rPr>
  </w:style>
  <w:style w:type="paragraph" w:customStyle="1" w:styleId="123">
    <w:name w:val="TOC Heading"/>
    <w:basedOn w:val="2"/>
    <w:next w:val="1"/>
    <w:qFormat/>
    <w:uiPriority w:val="39"/>
    <w:pPr>
      <w:keepLines w:val="0"/>
      <w:widowControl/>
      <w:spacing w:before="240" w:after="60" w:line="360" w:lineRule="auto"/>
      <w:ind w:firstLine="200" w:firstLineChars="200"/>
      <w:jc w:val="left"/>
      <w:outlineLvl w:val="9"/>
    </w:pPr>
    <w:rPr>
      <w:rFonts w:ascii="Cambria" w:hAnsi="Cambria" w:eastAsia="宋体" w:cs="Times New Roman"/>
      <w:kern w:val="32"/>
      <w:sz w:val="32"/>
      <w:szCs w:val="32"/>
      <w:lang w:bidi="en-US"/>
    </w:rPr>
  </w:style>
  <w:style w:type="character" w:customStyle="1" w:styleId="124">
    <w:name w:val="纯文本 字符"/>
    <w:basedOn w:val="46"/>
    <w:semiHidden/>
    <w:uiPriority w:val="99"/>
    <w:rPr>
      <w:rFonts w:hAnsi="Courier New" w:cs="Courier New" w:asciiTheme="minorEastAsia"/>
    </w:rPr>
  </w:style>
  <w:style w:type="character" w:customStyle="1" w:styleId="125">
    <w:name w:val="纯文本 Char1"/>
    <w:link w:val="23"/>
    <w:uiPriority w:val="0"/>
    <w:rPr>
      <w:rFonts w:ascii="宋体" w:hAnsi="Courier New" w:eastAsia="宋体" w:cs="Courier New"/>
      <w:kern w:val="0"/>
      <w:sz w:val="28"/>
      <w:szCs w:val="21"/>
    </w:rPr>
  </w:style>
  <w:style w:type="character" w:customStyle="1" w:styleId="126">
    <w:name w:val="content1"/>
    <w:uiPriority w:val="0"/>
    <w:rPr>
      <w:sz w:val="21"/>
      <w:szCs w:val="21"/>
    </w:rPr>
  </w:style>
  <w:style w:type="character" w:customStyle="1" w:styleId="127">
    <w:name w:val="正文文本 字符"/>
    <w:basedOn w:val="46"/>
    <w:semiHidden/>
    <w:uiPriority w:val="99"/>
  </w:style>
  <w:style w:type="character" w:customStyle="1" w:styleId="128">
    <w:name w:val="正文文本 Char1"/>
    <w:link w:val="19"/>
    <w:uiPriority w:val="0"/>
    <w:rPr>
      <w:rFonts w:ascii="Times New Roman" w:hAnsi="Times New Roman" w:eastAsia="宋体" w:cs="Times New Roman"/>
      <w:kern w:val="0"/>
      <w:sz w:val="24"/>
      <w:szCs w:val="24"/>
    </w:rPr>
  </w:style>
  <w:style w:type="character" w:customStyle="1" w:styleId="129">
    <w:name w:val="正文首行缩进 Char"/>
    <w:uiPriority w:val="0"/>
    <w:rPr>
      <w:rFonts w:ascii="Times New Roman" w:hAnsi="Times New Roman" w:eastAsia="宋体" w:cs="Times New Roman"/>
      <w:sz w:val="24"/>
      <w:szCs w:val="24"/>
    </w:rPr>
  </w:style>
  <w:style w:type="character" w:customStyle="1" w:styleId="130">
    <w:name w:val="正文首行缩进 Char1"/>
    <w:uiPriority w:val="0"/>
    <w:rPr>
      <w:rFonts w:ascii="Times New Roman" w:hAnsi="Times New Roman" w:eastAsia="宋体" w:cs="Times New Roman"/>
      <w:sz w:val="28"/>
      <w:szCs w:val="24"/>
    </w:rPr>
  </w:style>
  <w:style w:type="paragraph" w:customStyle="1" w:styleId="131">
    <w:name w:val="样式 标题 3 + 小四 段前: 0 磅 段后: 0 磅"/>
    <w:basedOn w:val="4"/>
    <w:uiPriority w:val="0"/>
    <w:pPr>
      <w:widowControl/>
      <w:spacing w:before="100" w:beforeAutospacing="1" w:after="100" w:afterAutospacing="1" w:line="360" w:lineRule="auto"/>
      <w:ind w:left="942" w:firstLine="200" w:firstLineChars="200"/>
      <w:jc w:val="left"/>
    </w:pPr>
    <w:rPr>
      <w:rFonts w:ascii="宋体" w:hAnsi="宋体" w:eastAsia="宋体" w:cs="宋体"/>
      <w:kern w:val="0"/>
      <w:sz w:val="28"/>
      <w:szCs w:val="28"/>
      <w:lang w:bidi="en-US"/>
    </w:rPr>
  </w:style>
  <w:style w:type="character" w:customStyle="1" w:styleId="132">
    <w:name w:val="正文文本 3 Char2"/>
    <w:link w:val="18"/>
    <w:semiHidden/>
    <w:uiPriority w:val="0"/>
    <w:rPr>
      <w:rFonts w:ascii="Calibri" w:hAnsi="Calibri" w:eastAsia="宋体" w:cs="Times New Roman"/>
      <w:kern w:val="0"/>
      <w:sz w:val="16"/>
      <w:szCs w:val="16"/>
      <w:lang w:bidi="en-US"/>
    </w:rPr>
  </w:style>
  <w:style w:type="character" w:customStyle="1" w:styleId="133">
    <w:name w:val="正文文本 3 字符"/>
    <w:basedOn w:val="46"/>
    <w:semiHidden/>
    <w:uiPriority w:val="99"/>
    <w:rPr>
      <w:sz w:val="16"/>
      <w:szCs w:val="16"/>
    </w:rPr>
  </w:style>
  <w:style w:type="character" w:customStyle="1" w:styleId="134">
    <w:name w:val="正文文本 3 Char1"/>
    <w:semiHidden/>
    <w:uiPriority w:val="99"/>
    <w:rPr>
      <w:sz w:val="16"/>
      <w:szCs w:val="16"/>
    </w:rPr>
  </w:style>
  <w:style w:type="character" w:customStyle="1" w:styleId="135">
    <w:name w:val="正文文本缩进 3 Char2"/>
    <w:link w:val="35"/>
    <w:semiHidden/>
    <w:uiPriority w:val="0"/>
    <w:rPr>
      <w:rFonts w:ascii="Calibri" w:hAnsi="Calibri" w:eastAsia="宋体" w:cs="Times New Roman"/>
      <w:kern w:val="0"/>
      <w:sz w:val="16"/>
      <w:szCs w:val="16"/>
      <w:lang w:bidi="en-US"/>
    </w:rPr>
  </w:style>
  <w:style w:type="character" w:customStyle="1" w:styleId="136">
    <w:name w:val="正文文本缩进 3 字符"/>
    <w:basedOn w:val="46"/>
    <w:semiHidden/>
    <w:uiPriority w:val="99"/>
    <w:rPr>
      <w:sz w:val="16"/>
      <w:szCs w:val="16"/>
    </w:rPr>
  </w:style>
  <w:style w:type="character" w:customStyle="1" w:styleId="137">
    <w:name w:val="正文文本缩进 3 Char1"/>
    <w:semiHidden/>
    <w:uiPriority w:val="99"/>
    <w:rPr>
      <w:sz w:val="16"/>
      <w:szCs w:val="16"/>
    </w:rPr>
  </w:style>
  <w:style w:type="character" w:customStyle="1" w:styleId="138">
    <w:name w:val="正文文本缩进 2 Char2"/>
    <w:link w:val="26"/>
    <w:semiHidden/>
    <w:uiPriority w:val="0"/>
    <w:rPr>
      <w:rFonts w:ascii="Times New Roman" w:hAnsi="Times New Roman" w:eastAsia="宋体" w:cs="Times New Roman"/>
      <w:sz w:val="28"/>
      <w:szCs w:val="24"/>
    </w:rPr>
  </w:style>
  <w:style w:type="character" w:customStyle="1" w:styleId="139">
    <w:name w:val="正文文本缩进 2 字符"/>
    <w:basedOn w:val="46"/>
    <w:semiHidden/>
    <w:uiPriority w:val="99"/>
  </w:style>
  <w:style w:type="character" w:customStyle="1" w:styleId="140">
    <w:name w:val="正文文本缩进 2 Char1"/>
    <w:basedOn w:val="46"/>
    <w:semiHidden/>
    <w:uiPriority w:val="99"/>
  </w:style>
  <w:style w:type="character" w:customStyle="1" w:styleId="141">
    <w:name w:val="正文文本 2 Char2"/>
    <w:link w:val="38"/>
    <w:semiHidden/>
    <w:uiPriority w:val="0"/>
    <w:rPr>
      <w:rFonts w:ascii="Calibri" w:hAnsi="Calibri" w:eastAsia="宋体" w:cs="Times New Roman"/>
      <w:kern w:val="0"/>
      <w:sz w:val="24"/>
      <w:szCs w:val="24"/>
      <w:lang w:bidi="en-US"/>
    </w:rPr>
  </w:style>
  <w:style w:type="character" w:customStyle="1" w:styleId="142">
    <w:name w:val="正文文本 2 字符"/>
    <w:basedOn w:val="46"/>
    <w:semiHidden/>
    <w:uiPriority w:val="99"/>
  </w:style>
  <w:style w:type="character" w:customStyle="1" w:styleId="143">
    <w:name w:val="正文文本 2 Char1"/>
    <w:basedOn w:val="46"/>
    <w:semiHidden/>
    <w:uiPriority w:val="99"/>
  </w:style>
  <w:style w:type="paragraph" w:customStyle="1" w:styleId="144">
    <w:name w:val="样式1"/>
    <w:basedOn w:val="2"/>
    <w:next w:val="12"/>
    <w:uiPriority w:val="0"/>
    <w:pPr>
      <w:widowControl/>
      <w:tabs>
        <w:tab w:val="left" w:pos="432"/>
      </w:tabs>
      <w:spacing w:before="240" w:after="240" w:line="360" w:lineRule="auto"/>
      <w:ind w:left="432" w:hanging="432" w:firstLineChars="200"/>
      <w:jc w:val="left"/>
    </w:pPr>
    <w:rPr>
      <w:rFonts w:ascii="Calibri" w:hAnsi="Calibri" w:eastAsia="黑体" w:cs="Times New Roman"/>
      <w:bCs w:val="0"/>
      <w:sz w:val="32"/>
      <w:lang w:bidi="en-US"/>
    </w:rPr>
  </w:style>
  <w:style w:type="character" w:customStyle="1" w:styleId="145">
    <w:name w:val="注释标题 字符"/>
    <w:basedOn w:val="46"/>
    <w:semiHidden/>
    <w:uiPriority w:val="99"/>
  </w:style>
  <w:style w:type="character" w:customStyle="1" w:styleId="146">
    <w:name w:val="注释标题 Char1"/>
    <w:link w:val="12"/>
    <w:semiHidden/>
    <w:uiPriority w:val="0"/>
    <w:rPr>
      <w:rFonts w:ascii="Times New Roman" w:hAnsi="Times New Roman" w:eastAsia="宋体" w:cs="Times New Roman"/>
      <w:kern w:val="0"/>
      <w:sz w:val="28"/>
      <w:szCs w:val="24"/>
    </w:rPr>
  </w:style>
  <w:style w:type="paragraph" w:customStyle="1" w:styleId="147">
    <w:name w:val="样式2"/>
    <w:basedOn w:val="28"/>
    <w:next w:val="144"/>
    <w:uiPriority w:val="0"/>
    <w:rPr>
      <w:rFonts w:ascii="Times New Roman" w:hAnsi="Times New Roman" w:eastAsia="宋体" w:cs="Times New Roman"/>
      <w:kern w:val="0"/>
    </w:rPr>
  </w:style>
  <w:style w:type="character" w:customStyle="1" w:styleId="148">
    <w:name w:val="批注框文本 Char"/>
    <w:semiHidden/>
    <w:uiPriority w:val="99"/>
    <w:rPr>
      <w:rFonts w:ascii="Calibri" w:hAnsi="Calibri" w:eastAsia="宋体" w:cs="Times New Roman"/>
      <w:kern w:val="0"/>
      <w:sz w:val="18"/>
      <w:szCs w:val="18"/>
      <w:lang w:bidi="en-US"/>
    </w:rPr>
  </w:style>
  <w:style w:type="character" w:customStyle="1" w:styleId="149">
    <w:name w:val="批注框文本 Char1"/>
    <w:semiHidden/>
    <w:uiPriority w:val="99"/>
    <w:rPr>
      <w:sz w:val="18"/>
      <w:szCs w:val="18"/>
    </w:rPr>
  </w:style>
  <w:style w:type="character" w:customStyle="1" w:styleId="150">
    <w:name w:val="正文首行缩进 2 Char"/>
    <w:link w:val="78"/>
    <w:uiPriority w:val="0"/>
    <w:rPr>
      <w:rFonts w:ascii="Calibri" w:hAnsi="Calibri" w:eastAsia="宋体" w:cs="Times New Roman"/>
      <w:kern w:val="0"/>
      <w:sz w:val="24"/>
      <w:szCs w:val="24"/>
      <w:lang w:bidi="en-US"/>
    </w:rPr>
  </w:style>
  <w:style w:type="character" w:customStyle="1" w:styleId="151">
    <w:name w:val="nine2"/>
    <w:basedOn w:val="46"/>
    <w:uiPriority w:val="0"/>
  </w:style>
  <w:style w:type="paragraph" w:customStyle="1" w:styleId="152">
    <w:name w:val="表格1"/>
    <w:basedOn w:val="1"/>
    <w:uiPriority w:val="0"/>
    <w:pPr>
      <w:wordWrap w:val="0"/>
      <w:spacing w:before="24" w:after="24"/>
      <w:jc w:val="center"/>
    </w:pPr>
    <w:rPr>
      <w:rFonts w:ascii="Times New Roman" w:hAnsi="Times New Roman" w:eastAsia="宋体" w:cs="Times New Roman"/>
      <w:kern w:val="0"/>
      <w:sz w:val="24"/>
      <w:szCs w:val="21"/>
    </w:rPr>
  </w:style>
  <w:style w:type="paragraph" w:customStyle="1" w:styleId="153">
    <w:name w:val="表格2"/>
    <w:basedOn w:val="20"/>
    <w:qFormat/>
    <w:uiPriority w:val="0"/>
    <w:pPr>
      <w:spacing w:before="20" w:after="20" w:line="240" w:lineRule="auto"/>
      <w:ind w:firstLine="0" w:firstLineChars="0"/>
      <w:jc w:val="center"/>
      <w:outlineLvl w:val="0"/>
    </w:pPr>
    <w:rPr>
      <w:rFonts w:ascii="Times New Roman" w:hAnsi="Times New Roman"/>
    </w:rPr>
  </w:style>
  <w:style w:type="paragraph" w:customStyle="1" w:styleId="154">
    <w:name w:val="表头"/>
    <w:basedOn w:val="1"/>
    <w:qFormat/>
    <w:uiPriority w:val="0"/>
    <w:pPr>
      <w:adjustRightInd w:val="0"/>
      <w:snapToGrid w:val="0"/>
      <w:spacing w:before="120" w:after="60"/>
      <w:jc w:val="center"/>
    </w:pPr>
    <w:rPr>
      <w:rFonts w:ascii="Times New Roman" w:hAnsi="Times New Roman" w:eastAsia="宋体" w:cs="Times New Roman"/>
      <w:b/>
      <w:kern w:val="0"/>
      <w:sz w:val="24"/>
      <w:szCs w:val="24"/>
    </w:rPr>
  </w:style>
  <w:style w:type="paragraph" w:customStyle="1" w:styleId="155">
    <w:name w:val="样式 正文首行缩进 + 首行缩进:  2 字符2"/>
    <w:basedOn w:val="42"/>
    <w:qFormat/>
    <w:uiPriority w:val="0"/>
    <w:pPr>
      <w:spacing w:after="0" w:line="460" w:lineRule="exact"/>
      <w:ind w:firstLine="480" w:firstLineChars="200"/>
      <w:jc w:val="left"/>
    </w:pPr>
    <w:rPr>
      <w:rFonts w:ascii="Times New Roman" w:hAnsi="Times New Roman" w:eastAsia="宋体" w:cs="宋体"/>
      <w:kern w:val="0"/>
      <w:sz w:val="24"/>
      <w:szCs w:val="24"/>
    </w:rPr>
  </w:style>
  <w:style w:type="paragraph" w:customStyle="1" w:styleId="156">
    <w:name w:val="xl3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character" w:customStyle="1" w:styleId="157">
    <w:name w:val="样式"/>
    <w:qFormat/>
    <w:uiPriority w:val="0"/>
    <w:rPr>
      <w:rFonts w:eastAsia="宋体"/>
    </w:rPr>
  </w:style>
  <w:style w:type="paragraph" w:customStyle="1" w:styleId="158">
    <w:name w:val="正文文字缩进"/>
    <w:basedOn w:val="1"/>
    <w:qFormat/>
    <w:uiPriority w:val="0"/>
    <w:pPr>
      <w:spacing w:after="120"/>
      <w:ind w:left="420" w:leftChars="200"/>
    </w:pPr>
    <w:rPr>
      <w:rFonts w:ascii="Times New Roman" w:hAnsi="Times New Roman" w:eastAsia="宋体" w:cs="Times New Roman"/>
      <w:kern w:val="0"/>
      <w:sz w:val="28"/>
      <w:szCs w:val="21"/>
    </w:rPr>
  </w:style>
  <w:style w:type="paragraph" w:customStyle="1" w:styleId="159">
    <w:name w:val="样式 正文首行缩进 + 首行缩进:  2 字符1"/>
    <w:basedOn w:val="42"/>
    <w:qFormat/>
    <w:uiPriority w:val="0"/>
    <w:pPr>
      <w:spacing w:after="0" w:line="440" w:lineRule="exact"/>
      <w:ind w:firstLine="480" w:firstLineChars="200"/>
    </w:pPr>
    <w:rPr>
      <w:rFonts w:ascii="宋体" w:hAnsi="宋体" w:eastAsia="宋体" w:cs="Times New Roman"/>
      <w:kern w:val="0"/>
      <w:sz w:val="24"/>
      <w:szCs w:val="20"/>
    </w:rPr>
  </w:style>
  <w:style w:type="paragraph" w:customStyle="1" w:styleId="160">
    <w:name w:val="正文文字 3"/>
    <w:basedOn w:val="1"/>
    <w:qFormat/>
    <w:uiPriority w:val="0"/>
    <w:pPr>
      <w:widowControl/>
      <w:spacing w:after="120" w:line="360" w:lineRule="auto"/>
      <w:ind w:firstLine="200" w:firstLineChars="200"/>
      <w:jc w:val="left"/>
    </w:pPr>
    <w:rPr>
      <w:rFonts w:ascii="Times New Roman" w:hAnsi="Times New Roman" w:eastAsia="宋体" w:cs="Times New Roman"/>
      <w:kern w:val="0"/>
      <w:sz w:val="16"/>
      <w:szCs w:val="16"/>
      <w:lang w:eastAsia="en-US"/>
    </w:rPr>
  </w:style>
  <w:style w:type="paragraph" w:customStyle="1" w:styleId="161">
    <w:name w:val="样式 首行缩进:  0.99 厘米"/>
    <w:basedOn w:val="1"/>
    <w:qFormat/>
    <w:uiPriority w:val="0"/>
    <w:pPr>
      <w:spacing w:line="420" w:lineRule="exact"/>
      <w:ind w:firstLine="567"/>
    </w:pPr>
    <w:rPr>
      <w:rFonts w:ascii="Times New Roman" w:hAnsi="Times New Roman" w:eastAsia="宋体" w:cs="宋体"/>
      <w:kern w:val="0"/>
      <w:sz w:val="24"/>
      <w:szCs w:val="20"/>
    </w:rPr>
  </w:style>
  <w:style w:type="paragraph" w:customStyle="1" w:styleId="162">
    <w:name w:val="图框"/>
    <w:basedOn w:val="3"/>
    <w:qFormat/>
    <w:uiPriority w:val="0"/>
    <w:pPr>
      <w:autoSpaceDE w:val="0"/>
      <w:autoSpaceDN w:val="0"/>
      <w:adjustRightInd w:val="0"/>
      <w:spacing w:before="20" w:after="20" w:line="240" w:lineRule="auto"/>
      <w:jc w:val="center"/>
    </w:pPr>
    <w:rPr>
      <w:rFonts w:eastAsia="宋体" w:cs="Times New Roman"/>
      <w:b w:val="0"/>
      <w:bCs w:val="0"/>
      <w:color w:val="000000"/>
      <w:kern w:val="0"/>
      <w:sz w:val="24"/>
      <w:szCs w:val="20"/>
    </w:rPr>
  </w:style>
  <w:style w:type="paragraph" w:customStyle="1" w:styleId="163">
    <w:name w:val="文本框"/>
    <w:basedOn w:val="1"/>
    <w:qFormat/>
    <w:uiPriority w:val="0"/>
    <w:pPr>
      <w:adjustRightInd w:val="0"/>
      <w:spacing w:before="20" w:after="20"/>
      <w:jc w:val="center"/>
    </w:pPr>
    <w:rPr>
      <w:rFonts w:ascii="Times New Roman" w:hAnsi="Times New Roman" w:eastAsia="宋体" w:cs="Times New Roman"/>
      <w:spacing w:val="20"/>
      <w:kern w:val="0"/>
      <w:sz w:val="24"/>
      <w:szCs w:val="24"/>
    </w:rPr>
  </w:style>
  <w:style w:type="character" w:customStyle="1" w:styleId="164">
    <w:name w:val="样式 标题 3 + 宋体 小四 非加粗 蓝色 Char"/>
    <w:qFormat/>
    <w:uiPriority w:val="0"/>
    <w:rPr>
      <w:rFonts w:ascii="宋体" w:hAnsi="宋体" w:eastAsia="宋体"/>
      <w:b/>
      <w:color w:val="0000FF"/>
      <w:kern w:val="2"/>
      <w:sz w:val="28"/>
      <w:szCs w:val="28"/>
      <w:lang w:val="en-US" w:eastAsia="zh-CN" w:bidi="ar-SA"/>
    </w:rPr>
  </w:style>
  <w:style w:type="paragraph" w:customStyle="1" w:styleId="165">
    <w:name w:val="样式 标题 1 + (符号) 宋体"/>
    <w:basedOn w:val="2"/>
    <w:qFormat/>
    <w:uiPriority w:val="0"/>
    <w:pPr>
      <w:spacing w:before="50" w:beforeLines="50" w:after="50" w:afterLines="50" w:line="240" w:lineRule="auto"/>
    </w:pPr>
    <w:rPr>
      <w:rFonts w:ascii="黑体" w:hAnsi="Arial" w:eastAsia="黑体" w:cs="Times New Roman"/>
      <w:sz w:val="30"/>
      <w:szCs w:val="32"/>
    </w:rPr>
  </w:style>
  <w:style w:type="character" w:customStyle="1" w:styleId="166">
    <w:name w:val="样式 样式 宋体 四号 黑色 + Times New Roman 小四 加粗 自动设置"/>
    <w:qFormat/>
    <w:uiPriority w:val="0"/>
    <w:rPr>
      <w:rFonts w:ascii="Times New Roman" w:hAnsi="Times New Roman"/>
      <w:b/>
      <w:bCs/>
      <w:color w:val="auto"/>
      <w:sz w:val="28"/>
    </w:rPr>
  </w:style>
  <w:style w:type="paragraph" w:customStyle="1" w:styleId="167">
    <w:name w:val="列表-4"/>
    <w:basedOn w:val="1"/>
    <w:qFormat/>
    <w:uiPriority w:val="0"/>
    <w:pPr>
      <w:spacing w:line="400" w:lineRule="atLeast"/>
    </w:pPr>
    <w:rPr>
      <w:rFonts w:ascii="Times New Roman" w:hAnsi="Times New Roman" w:eastAsia="宋体" w:cs="Times New Roman"/>
      <w:kern w:val="0"/>
      <w:sz w:val="24"/>
      <w:szCs w:val="20"/>
    </w:rPr>
  </w:style>
  <w:style w:type="paragraph" w:customStyle="1" w:styleId="168">
    <w:name w:val="1"/>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69">
    <w:name w:val="样式 正文首行缩进 + 首行缩进:  2 字符"/>
    <w:basedOn w:val="42"/>
    <w:qFormat/>
    <w:uiPriority w:val="0"/>
    <w:pPr>
      <w:spacing w:after="0" w:line="420" w:lineRule="exact"/>
      <w:ind w:firstLine="200" w:firstLineChars="200"/>
      <w:jc w:val="left"/>
    </w:pPr>
    <w:rPr>
      <w:rFonts w:ascii="Times New Roman" w:hAnsi="Times New Roman" w:eastAsia="宋体" w:cs="宋体"/>
      <w:kern w:val="0"/>
      <w:sz w:val="24"/>
      <w:szCs w:val="20"/>
    </w:rPr>
  </w:style>
  <w:style w:type="paragraph" w:customStyle="1" w:styleId="170">
    <w:name w:val="样式 正文首行缩进 + 黑色"/>
    <w:basedOn w:val="42"/>
    <w:qFormat/>
    <w:uiPriority w:val="0"/>
    <w:pPr>
      <w:spacing w:after="0" w:line="420" w:lineRule="exact"/>
      <w:ind w:firstLine="200" w:firstLineChars="200"/>
      <w:jc w:val="left"/>
    </w:pPr>
    <w:rPr>
      <w:rFonts w:ascii="Times New Roman" w:hAnsi="Times New Roman" w:eastAsia="宋体" w:cs="Times New Roman"/>
      <w:color w:val="000000"/>
      <w:kern w:val="0"/>
      <w:sz w:val="24"/>
      <w:szCs w:val="28"/>
    </w:rPr>
  </w:style>
  <w:style w:type="character" w:customStyle="1" w:styleId="171">
    <w:name w:val="样式 正文首行缩进 + 黑色 Char"/>
    <w:qFormat/>
    <w:uiPriority w:val="0"/>
    <w:rPr>
      <w:rFonts w:ascii="Times New Roman" w:hAnsi="Times New Roman" w:eastAsia="宋体" w:cs="Times New Roman"/>
      <w:color w:val="000000"/>
      <w:kern w:val="2"/>
      <w:sz w:val="24"/>
      <w:szCs w:val="28"/>
      <w:lang w:val="en-US" w:eastAsia="zh-CN" w:bidi="ar-SA"/>
    </w:rPr>
  </w:style>
  <w:style w:type="paragraph" w:customStyle="1" w:styleId="172">
    <w:name w:val="样式 样式 标题 3 + 段前: 1 行 段后: 6 磅 + 段前: 0.1 行 段后: 0.1 行"/>
    <w:basedOn w:val="1"/>
    <w:qFormat/>
    <w:uiPriority w:val="0"/>
    <w:pPr>
      <w:keepNext/>
      <w:keepLines/>
      <w:adjustRightInd w:val="0"/>
      <w:spacing w:before="80" w:beforeLines="80" w:line="360" w:lineRule="auto"/>
      <w:textAlignment w:val="baseline"/>
      <w:outlineLvl w:val="2"/>
    </w:pPr>
    <w:rPr>
      <w:rFonts w:ascii="Times New Roman" w:hAnsi="Times New Roman" w:eastAsia="宋体" w:cs="Times New Roman"/>
      <w:b/>
      <w:bCs/>
      <w:kern w:val="0"/>
      <w:sz w:val="24"/>
      <w:szCs w:val="20"/>
    </w:rPr>
  </w:style>
  <w:style w:type="paragraph" w:customStyle="1" w:styleId="173">
    <w:name w:val="样式 标题 2 + (中文) 宋体 蓝色"/>
    <w:basedOn w:val="3"/>
    <w:qFormat/>
    <w:uiPriority w:val="0"/>
    <w:pPr>
      <w:adjustRightInd w:val="0"/>
      <w:spacing w:before="100" w:beforeAutospacing="1" w:after="0" w:line="360" w:lineRule="auto"/>
      <w:textAlignment w:val="baseline"/>
    </w:pPr>
    <w:rPr>
      <w:rFonts w:ascii="黑体" w:eastAsia="黑体" w:cs="Times New Roman"/>
      <w:sz w:val="30"/>
      <w:szCs w:val="30"/>
    </w:rPr>
  </w:style>
  <w:style w:type="paragraph" w:customStyle="1" w:styleId="174">
    <w:name w:val="表格-01"/>
    <w:basedOn w:val="1"/>
    <w:qFormat/>
    <w:uiPriority w:val="0"/>
    <w:pPr>
      <w:adjustRightInd w:val="0"/>
      <w:spacing w:line="280" w:lineRule="exact"/>
      <w:jc w:val="center"/>
      <w:textAlignment w:val="baseline"/>
    </w:pPr>
    <w:rPr>
      <w:rFonts w:ascii="宋体" w:hAnsi="Times New Roman" w:eastAsia="宋体" w:cs="Times New Roman"/>
      <w:kern w:val="0"/>
      <w:sz w:val="18"/>
      <w:szCs w:val="18"/>
    </w:rPr>
  </w:style>
  <w:style w:type="character" w:customStyle="1" w:styleId="175">
    <w:name w:val="ourfont21"/>
    <w:qFormat/>
    <w:uiPriority w:val="0"/>
    <w:rPr>
      <w:sz w:val="18"/>
      <w:szCs w:val="18"/>
    </w:rPr>
  </w:style>
  <w:style w:type="paragraph" w:customStyle="1" w:styleId="176">
    <w:name w:val="样式 标题 2 + 段后: 3 行"/>
    <w:basedOn w:val="3"/>
    <w:qFormat/>
    <w:uiPriority w:val="0"/>
    <w:pPr>
      <w:spacing w:before="100" w:beforeLines="100" w:after="60" w:afterLines="100" w:line="400" w:lineRule="exact"/>
    </w:pPr>
    <w:rPr>
      <w:rFonts w:eastAsia="宋体" w:cs="宋体"/>
      <w:sz w:val="30"/>
      <w:szCs w:val="20"/>
    </w:rPr>
  </w:style>
  <w:style w:type="paragraph" w:customStyle="1" w:styleId="177">
    <w:name w:val="3"/>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78">
    <w:name w:val="2"/>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character" w:customStyle="1" w:styleId="179">
    <w:name w:val="样式 宋体 四号 黑色"/>
    <w:qFormat/>
    <w:uiPriority w:val="0"/>
    <w:rPr>
      <w:rFonts w:ascii="宋体" w:hAnsi="宋体"/>
      <w:color w:val="000000"/>
      <w:sz w:val="28"/>
    </w:rPr>
  </w:style>
  <w:style w:type="paragraph" w:customStyle="1" w:styleId="180">
    <w:name w:val="样式1 Char Char"/>
    <w:basedOn w:val="2"/>
    <w:qFormat/>
    <w:uiPriority w:val="0"/>
    <w:pPr>
      <w:tabs>
        <w:tab w:val="left" w:pos="720"/>
      </w:tabs>
      <w:spacing w:before="240" w:after="120" w:line="240" w:lineRule="auto"/>
    </w:pPr>
    <w:rPr>
      <w:rFonts w:eastAsia="黑体" w:cs="Times New Roman"/>
      <w:sz w:val="32"/>
    </w:rPr>
  </w:style>
  <w:style w:type="character" w:customStyle="1" w:styleId="181">
    <w:name w:val="标题 1 Char Char"/>
    <w:qFormat/>
    <w:uiPriority w:val="0"/>
    <w:rPr>
      <w:rFonts w:eastAsia="黑体"/>
      <w:b/>
      <w:bCs/>
      <w:kern w:val="44"/>
      <w:sz w:val="32"/>
      <w:szCs w:val="44"/>
      <w:lang w:val="en-US" w:eastAsia="zh-CN" w:bidi="ar-SA"/>
    </w:rPr>
  </w:style>
  <w:style w:type="character" w:customStyle="1" w:styleId="182">
    <w:name w:val="样式1 Char Char Char"/>
    <w:qFormat/>
    <w:uiPriority w:val="0"/>
    <w:rPr>
      <w:rFonts w:eastAsia="黑体"/>
      <w:b/>
      <w:bCs/>
      <w:kern w:val="44"/>
      <w:sz w:val="32"/>
      <w:szCs w:val="44"/>
      <w:lang w:val="en-US" w:eastAsia="zh-CN" w:bidi="ar-SA"/>
    </w:rPr>
  </w:style>
  <w:style w:type="paragraph" w:customStyle="1" w:styleId="183">
    <w:name w:val="样式 标题 1 + 小三 黑色 Char"/>
    <w:basedOn w:val="2"/>
    <w:qFormat/>
    <w:uiPriority w:val="0"/>
    <w:pPr>
      <w:tabs>
        <w:tab w:val="left" w:pos="720"/>
      </w:tabs>
      <w:spacing w:before="240" w:after="120" w:line="240" w:lineRule="auto"/>
    </w:pPr>
    <w:rPr>
      <w:rFonts w:eastAsia="黑体" w:cs="Times New Roman"/>
      <w:color w:val="000000"/>
      <w:sz w:val="30"/>
    </w:rPr>
  </w:style>
  <w:style w:type="character" w:customStyle="1" w:styleId="184">
    <w:name w:val="样式 标题 1 + 小三 黑色 Char Char"/>
    <w:qFormat/>
    <w:uiPriority w:val="0"/>
    <w:rPr>
      <w:rFonts w:eastAsia="黑体"/>
      <w:b/>
      <w:bCs/>
      <w:color w:val="000000"/>
      <w:kern w:val="44"/>
      <w:sz w:val="30"/>
      <w:szCs w:val="44"/>
      <w:lang w:val="en-US" w:eastAsia="zh-CN" w:bidi="ar-SA"/>
    </w:rPr>
  </w:style>
  <w:style w:type="paragraph" w:customStyle="1" w:styleId="185">
    <w:name w:val="正文文字-01"/>
    <w:basedOn w:val="1"/>
    <w:qFormat/>
    <w:uiPriority w:val="0"/>
    <w:pPr>
      <w:adjustRightInd w:val="0"/>
      <w:spacing w:line="500" w:lineRule="exact"/>
      <w:ind w:firstLine="454" w:firstLineChars="200"/>
      <w:textAlignment w:val="baseline"/>
    </w:pPr>
    <w:rPr>
      <w:rFonts w:ascii="Times New Roman" w:hAnsi="Times New Roman" w:eastAsia="宋体" w:cs="Times New Roman"/>
      <w:kern w:val="0"/>
      <w:sz w:val="24"/>
      <w:szCs w:val="20"/>
    </w:rPr>
  </w:style>
  <w:style w:type="paragraph" w:customStyle="1" w:styleId="186">
    <w:name w:val="正文2"/>
    <w:basedOn w:val="1"/>
    <w:qFormat/>
    <w:uiPriority w:val="0"/>
    <w:pPr>
      <w:tabs>
        <w:tab w:val="left" w:pos="720"/>
      </w:tabs>
      <w:adjustRightInd w:val="0"/>
      <w:spacing w:line="360" w:lineRule="auto"/>
      <w:ind w:left="720" w:hanging="720" w:firstLineChars="200"/>
      <w:textAlignment w:val="baseline"/>
    </w:pPr>
    <w:rPr>
      <w:rFonts w:ascii="Times New Roman" w:hAnsi="Times New Roman" w:eastAsia="仿宋_GB2312" w:cs="Times New Roman"/>
      <w:kern w:val="0"/>
      <w:sz w:val="28"/>
      <w:szCs w:val="20"/>
    </w:rPr>
  </w:style>
  <w:style w:type="paragraph" w:customStyle="1" w:styleId="187">
    <w:name w:val="样式3 Char Char"/>
    <w:basedOn w:val="180"/>
    <w:qFormat/>
    <w:uiPriority w:val="0"/>
    <w:pPr>
      <w:keepNext w:val="0"/>
      <w:keepLines w:val="0"/>
      <w:tabs>
        <w:tab w:val="clear" w:pos="720"/>
      </w:tabs>
      <w:adjustRightInd w:val="0"/>
      <w:snapToGrid w:val="0"/>
      <w:spacing w:before="0" w:after="0"/>
      <w:jc w:val="center"/>
      <w:outlineLvl w:val="9"/>
    </w:pPr>
    <w:rPr>
      <w:sz w:val="18"/>
    </w:rPr>
  </w:style>
  <w:style w:type="character" w:customStyle="1" w:styleId="188">
    <w:name w:val="样式3 Char Char Char"/>
    <w:qFormat/>
    <w:uiPriority w:val="0"/>
    <w:rPr>
      <w:rFonts w:eastAsia="黑体"/>
      <w:b/>
      <w:bCs/>
      <w:kern w:val="44"/>
      <w:sz w:val="18"/>
      <w:szCs w:val="44"/>
      <w:lang w:val="en-US" w:eastAsia="zh-CN" w:bidi="ar-SA"/>
    </w:rPr>
  </w:style>
  <w:style w:type="paragraph" w:customStyle="1" w:styleId="189">
    <w:name w:val="样式3"/>
    <w:basedOn w:val="144"/>
    <w:qFormat/>
    <w:uiPriority w:val="0"/>
    <w:pPr>
      <w:keepNext w:val="0"/>
      <w:keepLines w:val="0"/>
      <w:widowControl w:val="0"/>
      <w:tabs>
        <w:tab w:val="clear" w:pos="432"/>
      </w:tabs>
      <w:adjustRightInd w:val="0"/>
      <w:snapToGrid w:val="0"/>
      <w:spacing w:before="0" w:after="0" w:line="240" w:lineRule="auto"/>
      <w:ind w:left="0" w:firstLine="0" w:firstLineChars="0"/>
      <w:jc w:val="center"/>
      <w:outlineLvl w:val="9"/>
    </w:pPr>
    <w:rPr>
      <w:rFonts w:ascii="Times New Roman" w:hAnsi="Times New Roman"/>
      <w:bCs/>
      <w:sz w:val="18"/>
      <w:lang w:bidi="ar-SA"/>
    </w:rPr>
  </w:style>
  <w:style w:type="character" w:customStyle="1" w:styleId="190">
    <w:name w:val="表头 Char"/>
    <w:qFormat/>
    <w:uiPriority w:val="0"/>
    <w:rPr>
      <w:rFonts w:eastAsia="宋体"/>
      <w:b/>
      <w:kern w:val="2"/>
      <w:sz w:val="24"/>
      <w:szCs w:val="24"/>
      <w:lang w:val="en-US" w:eastAsia="zh-CN" w:bidi="ar-SA"/>
    </w:rPr>
  </w:style>
  <w:style w:type="paragraph" w:customStyle="1" w:styleId="191">
    <w:name w:val="样式 表格2 + 宋体 五号"/>
    <w:basedOn w:val="153"/>
    <w:qFormat/>
    <w:uiPriority w:val="0"/>
    <w:rPr>
      <w:spacing w:val="1"/>
      <w:sz w:val="21"/>
      <w:szCs w:val="21"/>
    </w:rPr>
  </w:style>
  <w:style w:type="character" w:customStyle="1" w:styleId="192">
    <w:name w:val="表格2 Char"/>
    <w:qFormat/>
    <w:uiPriority w:val="0"/>
    <w:rPr>
      <w:rFonts w:ascii="仿宋_GB2312" w:hAnsi="Times New Roman" w:eastAsia="宋体" w:cs="Times New Roman"/>
      <w:kern w:val="2"/>
      <w:sz w:val="24"/>
      <w:szCs w:val="24"/>
      <w:lang w:val="en-US" w:eastAsia="zh-CN" w:bidi="ar-SA"/>
    </w:rPr>
  </w:style>
  <w:style w:type="character" w:customStyle="1" w:styleId="193">
    <w:name w:val="样式 表格2 + 宋体 五号 Char"/>
    <w:qFormat/>
    <w:uiPriority w:val="0"/>
    <w:rPr>
      <w:rFonts w:ascii="仿宋_GB2312" w:hAnsi="Times New Roman" w:eastAsia="宋体" w:cs="Times New Roman"/>
      <w:spacing w:val="1"/>
      <w:kern w:val="2"/>
      <w:sz w:val="21"/>
      <w:szCs w:val="21"/>
      <w:lang w:val="en-US" w:eastAsia="zh-CN" w:bidi="ar-SA"/>
    </w:rPr>
  </w:style>
  <w:style w:type="paragraph" w:customStyle="1" w:styleId="194">
    <w:name w:val="报告正文"/>
    <w:basedOn w:val="1"/>
    <w:link w:val="195"/>
    <w:qFormat/>
    <w:uiPriority w:val="0"/>
    <w:pPr>
      <w:spacing w:line="360" w:lineRule="auto"/>
      <w:ind w:firstLine="200" w:firstLineChars="200"/>
    </w:pPr>
    <w:rPr>
      <w:rFonts w:ascii="宋体" w:hAnsi="宋体" w:eastAsia="宋体" w:cs="仿宋_GB2312"/>
      <w:kern w:val="0"/>
      <w:sz w:val="24"/>
      <w:szCs w:val="24"/>
    </w:rPr>
  </w:style>
  <w:style w:type="character" w:customStyle="1" w:styleId="195">
    <w:name w:val="报告正文 Char"/>
    <w:link w:val="194"/>
    <w:qFormat/>
    <w:uiPriority w:val="0"/>
    <w:rPr>
      <w:rFonts w:ascii="宋体" w:hAnsi="宋体" w:eastAsia="宋体" w:cs="仿宋_GB2312"/>
      <w:kern w:val="0"/>
      <w:sz w:val="24"/>
      <w:szCs w:val="24"/>
    </w:rPr>
  </w:style>
  <w:style w:type="paragraph" w:customStyle="1" w:styleId="196">
    <w:name w:val="PLOT"/>
    <w:basedOn w:val="1"/>
    <w:link w:val="197"/>
    <w:qFormat/>
    <w:uiPriority w:val="0"/>
    <w:pPr>
      <w:spacing w:line="360" w:lineRule="auto"/>
      <w:jc w:val="center"/>
    </w:pPr>
    <w:rPr>
      <w:rFonts w:ascii="宋体" w:hAnsi="宋体" w:eastAsia="宋体" w:cs="仿宋_GB2312"/>
      <w:b/>
      <w:kern w:val="0"/>
      <w:sz w:val="28"/>
      <w:szCs w:val="24"/>
    </w:rPr>
  </w:style>
  <w:style w:type="character" w:customStyle="1" w:styleId="197">
    <w:name w:val="PLOT Char"/>
    <w:link w:val="196"/>
    <w:qFormat/>
    <w:uiPriority w:val="0"/>
    <w:rPr>
      <w:rFonts w:ascii="宋体" w:hAnsi="宋体" w:eastAsia="宋体" w:cs="仿宋_GB2312"/>
      <w:b/>
      <w:kern w:val="0"/>
      <w:sz w:val="28"/>
      <w:szCs w:val="24"/>
    </w:rPr>
  </w:style>
  <w:style w:type="paragraph" w:customStyle="1" w:styleId="198">
    <w:name w:val="节1.2"/>
    <w:basedOn w:val="1"/>
    <w:qFormat/>
    <w:uiPriority w:val="0"/>
    <w:pPr>
      <w:autoSpaceDE w:val="0"/>
      <w:autoSpaceDN w:val="0"/>
      <w:adjustRightInd w:val="0"/>
      <w:spacing w:line="360" w:lineRule="auto"/>
      <w:outlineLvl w:val="1"/>
    </w:pPr>
    <w:rPr>
      <w:rFonts w:ascii="宋体" w:hAnsi="宋体" w:eastAsia="宋体" w:cs="仿宋_GB2312"/>
      <w:b/>
      <w:kern w:val="0"/>
      <w:sz w:val="24"/>
      <w:szCs w:val="24"/>
    </w:rPr>
  </w:style>
  <w:style w:type="paragraph" w:customStyle="1" w:styleId="199">
    <w:name w:val="TableHead"/>
    <w:basedOn w:val="19"/>
    <w:link w:val="200"/>
    <w:qFormat/>
    <w:uiPriority w:val="0"/>
    <w:pPr>
      <w:spacing w:after="0"/>
      <w:jc w:val="center"/>
    </w:pPr>
    <w:rPr>
      <w:rFonts w:ascii="宋体" w:hAnsi="宋体" w:cs="楷体_GB2312"/>
      <w:b/>
      <w:bCs/>
      <w:sz w:val="21"/>
    </w:rPr>
  </w:style>
  <w:style w:type="character" w:customStyle="1" w:styleId="200">
    <w:name w:val="TableHead Char"/>
    <w:link w:val="199"/>
    <w:qFormat/>
    <w:uiPriority w:val="0"/>
    <w:rPr>
      <w:rFonts w:ascii="宋体" w:hAnsi="宋体" w:eastAsia="宋体" w:cs="楷体_GB2312"/>
      <w:b/>
      <w:bCs/>
      <w:kern w:val="0"/>
      <w:szCs w:val="24"/>
    </w:rPr>
  </w:style>
  <w:style w:type="paragraph" w:customStyle="1" w:styleId="201">
    <w:name w:val="节1.2.3"/>
    <w:basedOn w:val="1"/>
    <w:qFormat/>
    <w:uiPriority w:val="0"/>
    <w:pPr>
      <w:autoSpaceDE w:val="0"/>
      <w:autoSpaceDN w:val="0"/>
      <w:adjustRightInd w:val="0"/>
      <w:spacing w:line="360" w:lineRule="auto"/>
      <w:outlineLvl w:val="2"/>
    </w:pPr>
    <w:rPr>
      <w:rFonts w:ascii="宋体" w:hAnsi="宋体" w:eastAsia="宋体" w:cs="仿宋_GB2312"/>
      <w:b/>
      <w:kern w:val="0"/>
      <w:sz w:val="24"/>
      <w:szCs w:val="24"/>
    </w:rPr>
  </w:style>
  <w:style w:type="paragraph" w:customStyle="1" w:styleId="202">
    <w:name w:val="Decimal Aligned"/>
    <w:basedOn w:val="1"/>
    <w:qFormat/>
    <w:uiPriority w:val="0"/>
    <w:pPr>
      <w:widowControl/>
      <w:tabs>
        <w:tab w:val="decimal" w:pos="360"/>
      </w:tabs>
      <w:spacing w:after="200" w:line="276" w:lineRule="auto"/>
      <w:jc w:val="left"/>
    </w:pPr>
    <w:rPr>
      <w:rFonts w:ascii="Calibri" w:hAnsi="Calibri" w:eastAsia="宋体" w:cs="Times New Roman"/>
      <w:kern w:val="0"/>
      <w:sz w:val="22"/>
      <w:szCs w:val="28"/>
    </w:rPr>
  </w:style>
  <w:style w:type="character" w:customStyle="1" w:styleId="203">
    <w:name w:val="脚注文本 字符"/>
    <w:basedOn w:val="46"/>
    <w:semiHidden/>
    <w:qFormat/>
    <w:uiPriority w:val="99"/>
    <w:rPr>
      <w:sz w:val="18"/>
      <w:szCs w:val="18"/>
    </w:rPr>
  </w:style>
  <w:style w:type="character" w:customStyle="1" w:styleId="204">
    <w:name w:val="脚注文本 Char1"/>
    <w:link w:val="33"/>
    <w:qFormat/>
    <w:uiPriority w:val="0"/>
    <w:rPr>
      <w:rFonts w:ascii="Calibri" w:hAnsi="Calibri" w:eastAsia="宋体" w:cs="Times New Roman"/>
      <w:kern w:val="0"/>
      <w:sz w:val="20"/>
      <w:szCs w:val="20"/>
    </w:rPr>
  </w:style>
  <w:style w:type="paragraph" w:customStyle="1" w:styleId="205">
    <w:name w:val="普通文字"/>
    <w:basedOn w:val="1"/>
    <w:qFormat/>
    <w:uiPriority w:val="0"/>
    <w:rPr>
      <w:rFonts w:ascii="宋体" w:hAnsi="Courier New" w:eastAsia="宋体" w:cs="宋体"/>
      <w:kern w:val="0"/>
      <w:sz w:val="28"/>
      <w:szCs w:val="28"/>
    </w:rPr>
  </w:style>
  <w:style w:type="paragraph" w:customStyle="1" w:styleId="206">
    <w:name w:val="copyright"/>
    <w:basedOn w:val="1"/>
    <w:qFormat/>
    <w:uiPriority w:val="0"/>
    <w:pPr>
      <w:widowControl/>
      <w:spacing w:before="100" w:beforeAutospacing="1" w:after="100" w:afterAutospacing="1" w:line="360" w:lineRule="auto"/>
      <w:jc w:val="left"/>
    </w:pPr>
    <w:rPr>
      <w:rFonts w:ascii="仿宋_GB2312" w:hAnsi="Times New Roman" w:eastAsia="宋体" w:cs="Times New Roman"/>
      <w:color w:val="000000"/>
      <w:kern w:val="0"/>
      <w:sz w:val="24"/>
      <w:szCs w:val="24"/>
    </w:rPr>
  </w:style>
  <w:style w:type="character" w:customStyle="1" w:styleId="207">
    <w:name w:val="copyright1"/>
    <w:qFormat/>
    <w:uiPriority w:val="0"/>
    <w:rPr>
      <w:rFonts w:hint="default"/>
      <w:color w:val="000000"/>
    </w:rPr>
  </w:style>
  <w:style w:type="paragraph" w:customStyle="1" w:styleId="208">
    <w:name w:val="表"/>
    <w:basedOn w:val="1"/>
    <w:link w:val="209"/>
    <w:qFormat/>
    <w:uiPriority w:val="0"/>
    <w:pPr>
      <w:adjustRightInd w:val="0"/>
      <w:spacing w:before="50" w:after="50" w:line="240" w:lineRule="atLeast"/>
      <w:jc w:val="left"/>
      <w:textAlignment w:val="baseline"/>
    </w:pPr>
    <w:rPr>
      <w:rFonts w:ascii="Times New Roman" w:hAnsi="Times New Roman" w:eastAsia="宋体" w:cs="Times New Roman"/>
      <w:kern w:val="0"/>
      <w:sz w:val="15"/>
      <w:szCs w:val="24"/>
    </w:rPr>
  </w:style>
  <w:style w:type="character" w:customStyle="1" w:styleId="209">
    <w:name w:val="表 Char"/>
    <w:link w:val="208"/>
    <w:qFormat/>
    <w:uiPriority w:val="0"/>
    <w:rPr>
      <w:rFonts w:ascii="Times New Roman" w:hAnsi="Times New Roman" w:eastAsia="宋体" w:cs="Times New Roman"/>
      <w:kern w:val="0"/>
      <w:sz w:val="15"/>
      <w:szCs w:val="24"/>
    </w:rPr>
  </w:style>
  <w:style w:type="paragraph" w:customStyle="1" w:styleId="210">
    <w:name w:val="表中文字（小四）"/>
    <w:basedOn w:val="1"/>
    <w:qFormat/>
    <w:uiPriority w:val="0"/>
    <w:pPr>
      <w:jc w:val="center"/>
    </w:pPr>
    <w:rPr>
      <w:rFonts w:ascii="Times New Roman" w:hAnsi="Times New Roman" w:eastAsia="宋体" w:cs="Times New Roman"/>
      <w:kern w:val="0"/>
      <w:sz w:val="24"/>
      <w:szCs w:val="18"/>
    </w:rPr>
  </w:style>
  <w:style w:type="paragraph" w:customStyle="1" w:styleId="211">
    <w:name w:val="表中文字（左对齐）"/>
    <w:basedOn w:val="1"/>
    <w:qFormat/>
    <w:uiPriority w:val="0"/>
    <w:pPr>
      <w:jc w:val="left"/>
    </w:pPr>
    <w:rPr>
      <w:rFonts w:ascii="Times New Roman" w:hAnsi="Times New Roman" w:eastAsia="宋体" w:cs="Times New Roman"/>
      <w:kern w:val="0"/>
      <w:sz w:val="18"/>
      <w:szCs w:val="18"/>
    </w:rPr>
  </w:style>
  <w:style w:type="character" w:customStyle="1" w:styleId="212">
    <w:name w:val="apple-style-span"/>
    <w:basedOn w:val="46"/>
    <w:qFormat/>
    <w:uiPriority w:val="0"/>
  </w:style>
  <w:style w:type="paragraph" w:customStyle="1" w:styleId="213">
    <w:name w:val="Char Char Char Char Char Char Char Char Char Char Char Char Char Char Char Char Char Char Char Char Char Char Char Char Char"/>
    <w:basedOn w:val="1"/>
    <w:semiHidden/>
    <w:uiPriority w:val="0"/>
    <w:rPr>
      <w:rFonts w:ascii="Times New Roman" w:hAnsi="Times New Roman" w:eastAsia="宋体" w:cs="Times New Roman"/>
      <w:kern w:val="0"/>
      <w:sz w:val="28"/>
      <w:szCs w:val="24"/>
    </w:rPr>
  </w:style>
  <w:style w:type="character" w:customStyle="1" w:styleId="214">
    <w:name w:val="批注文字 字符1"/>
    <w:uiPriority w:val="99"/>
    <w:rPr>
      <w:rFonts w:ascii="仿宋_GB2312" w:hAnsi="Times New Roman" w:eastAsia="仿宋_GB2312" w:cs="Times New Roman"/>
      <w:kern w:val="0"/>
      <w:sz w:val="24"/>
      <w:szCs w:val="24"/>
    </w:rPr>
  </w:style>
  <w:style w:type="character" w:customStyle="1" w:styleId="215">
    <w:name w:val="批注主题 字符1"/>
    <w:semiHidden/>
    <w:qFormat/>
    <w:uiPriority w:val="99"/>
    <w:rPr>
      <w:rFonts w:ascii="仿宋_GB2312" w:hAnsi="Times New Roman" w:eastAsia="仿宋_GB2312" w:cs="Times New Roman"/>
      <w:b/>
      <w:bCs/>
      <w:kern w:val="0"/>
      <w:sz w:val="24"/>
      <w:szCs w:val="24"/>
    </w:rPr>
  </w:style>
  <w:style w:type="character" w:styleId="216">
    <w:name w:val="Placeholder Text"/>
    <w:semiHidden/>
    <w:qFormat/>
    <w:uiPriority w:val="99"/>
    <w:rPr>
      <w:color w:val="808080"/>
    </w:rPr>
  </w:style>
  <w:style w:type="table" w:customStyle="1" w:styleId="217">
    <w:name w:val="网格型2"/>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18">
    <w:name w:val="font5"/>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9">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0">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1">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2">
    <w:name w:val="fon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3">
    <w:name w:val="font10"/>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4">
    <w:name w:val="font11"/>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25">
    <w:name w:val="font12"/>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26">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8">
    <w:name w:val="xl6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0">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1">
    <w:name w:val="xl7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2">
    <w:name w:val="xl7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3">
    <w:name w:val="xl7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4">
    <w:name w:val="xl73"/>
    <w:basedOn w:val="1"/>
    <w:uiPriority w:val="0"/>
    <w:pPr>
      <w:widowControl/>
      <w:shd w:val="clear" w:color="000000" w:fill="FFFFFF"/>
      <w:spacing w:before="100" w:beforeAutospacing="1" w:after="100" w:afterAutospacing="1"/>
      <w:jc w:val="center"/>
    </w:pPr>
    <w:rPr>
      <w:rFonts w:ascii="Times New Roman" w:hAnsi="Times New Roman" w:eastAsia="宋体" w:cs="Times New Roman"/>
      <w:kern w:val="0"/>
      <w:sz w:val="24"/>
      <w:szCs w:val="24"/>
    </w:rPr>
  </w:style>
  <w:style w:type="paragraph" w:customStyle="1" w:styleId="23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6">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7">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8">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9">
    <w:name w:val="xl78"/>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40">
    <w:name w:val="xl7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241">
    <w:name w:val="xl8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color w:val="FF0000"/>
      <w:kern w:val="0"/>
      <w:sz w:val="20"/>
      <w:szCs w:val="20"/>
    </w:rPr>
  </w:style>
  <w:style w:type="table" w:customStyle="1" w:styleId="242">
    <w:name w:val="网格型1"/>
    <w:basedOn w:val="44"/>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43">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5">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6">
    <w:name w:val="xl1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7">
    <w:name w:val="xl111"/>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48">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4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0">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3">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4">
    <w:name w:val="xl11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
    <w:name w:val="xl12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8">
    <w:name w:val="xl12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5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0">
    <w:name w:val="xl1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6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3">
    <w:name w:val="xl12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6">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6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6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70">
    <w:name w:val="xl13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1">
    <w:name w:val="xl135"/>
    <w:basedOn w:val="1"/>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75">
    <w:name w:val="HTML Top of Form"/>
    <w:basedOn w:val="1"/>
    <w:next w:val="1"/>
    <w:link w:val="277"/>
    <w:semiHidden/>
    <w:unhideWhenUsed/>
    <w:uiPriority w:val="99"/>
    <w:pPr>
      <w:widowControl/>
      <w:pBdr>
        <w:bottom w:val="single" w:color="auto" w:sz="6" w:space="1"/>
      </w:pBdr>
      <w:jc w:val="center"/>
    </w:pPr>
    <w:rPr>
      <w:rFonts w:ascii="Arial" w:hAnsi="Arial" w:eastAsia="宋体" w:cs="Arial"/>
      <w:vanish/>
      <w:kern w:val="0"/>
      <w:sz w:val="16"/>
      <w:szCs w:val="16"/>
    </w:rPr>
  </w:style>
  <w:style w:type="character" w:customStyle="1" w:styleId="276">
    <w:name w:val="z-窗体顶端 字符"/>
    <w:basedOn w:val="46"/>
    <w:semiHidden/>
    <w:uiPriority w:val="99"/>
    <w:rPr>
      <w:rFonts w:ascii="Arial" w:hAnsi="Arial" w:cs="Arial"/>
      <w:vanish/>
      <w:sz w:val="16"/>
      <w:szCs w:val="16"/>
    </w:rPr>
  </w:style>
  <w:style w:type="character" w:customStyle="1" w:styleId="277">
    <w:name w:val="z-窗体顶端 Char1"/>
    <w:link w:val="275"/>
    <w:semiHidden/>
    <w:qFormat/>
    <w:uiPriority w:val="99"/>
    <w:rPr>
      <w:rFonts w:ascii="Arial" w:hAnsi="Arial" w:eastAsia="宋体" w:cs="Arial"/>
      <w:vanish/>
      <w:kern w:val="0"/>
      <w:sz w:val="16"/>
      <w:szCs w:val="16"/>
    </w:rPr>
  </w:style>
  <w:style w:type="paragraph" w:customStyle="1" w:styleId="278">
    <w:name w:val="HTML Bottom of Form"/>
    <w:basedOn w:val="1"/>
    <w:next w:val="1"/>
    <w:link w:val="280"/>
    <w:unhideWhenUsed/>
    <w:uiPriority w:val="99"/>
    <w:pPr>
      <w:widowControl/>
      <w:pBdr>
        <w:top w:val="single" w:color="auto" w:sz="6" w:space="1"/>
      </w:pBdr>
      <w:jc w:val="center"/>
    </w:pPr>
    <w:rPr>
      <w:rFonts w:ascii="Arial" w:hAnsi="Arial" w:eastAsia="宋体" w:cs="Arial"/>
      <w:vanish/>
      <w:kern w:val="0"/>
      <w:sz w:val="16"/>
      <w:szCs w:val="16"/>
    </w:rPr>
  </w:style>
  <w:style w:type="character" w:customStyle="1" w:styleId="279">
    <w:name w:val="z-窗体底端 字符"/>
    <w:basedOn w:val="46"/>
    <w:semiHidden/>
    <w:qFormat/>
    <w:uiPriority w:val="99"/>
    <w:rPr>
      <w:rFonts w:ascii="Arial" w:hAnsi="Arial" w:cs="Arial"/>
      <w:vanish/>
      <w:sz w:val="16"/>
      <w:szCs w:val="16"/>
    </w:rPr>
  </w:style>
  <w:style w:type="character" w:customStyle="1" w:styleId="280">
    <w:name w:val="z-窗体底端 Char1"/>
    <w:link w:val="278"/>
    <w:qFormat/>
    <w:uiPriority w:val="99"/>
    <w:rPr>
      <w:rFonts w:ascii="Arial" w:hAnsi="Arial" w:eastAsia="宋体" w:cs="Arial"/>
      <w:vanish/>
      <w:kern w:val="0"/>
      <w:sz w:val="16"/>
      <w:szCs w:val="16"/>
    </w:rPr>
  </w:style>
  <w:style w:type="paragraph" w:customStyle="1" w:styleId="281">
    <w:name w:val="xl81"/>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2">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3">
    <w:name w:val="xl83"/>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4">
    <w:name w:val="xl8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7">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8">
    <w:name w:val="xl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9">
    <w:name w:val="xl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91">
    <w:name w:val="xl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3">
    <w:name w:val="xl93"/>
    <w:basedOn w:val="1"/>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94">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5">
    <w:name w:val="xl9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9">
    <w:name w:val="xl9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1">
    <w:name w:val="xl10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2">
    <w:name w:val="xl102"/>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3">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4">
    <w:name w:val="xl104"/>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5">
    <w:name w:val="xl105"/>
    <w:basedOn w:val="1"/>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7">
    <w:name w:val="xl137"/>
    <w:basedOn w:val="1"/>
    <w:qFormat/>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308">
    <w:name w:val="xl138"/>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09">
    <w:name w:val="xl13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10">
    <w:name w:val="xl140"/>
    <w:basedOn w:val="1"/>
    <w:qFormat/>
    <w:uiPriority w:val="0"/>
    <w:pPr>
      <w:widowControl/>
      <w:pBdr>
        <w:top w:val="double" w:color="auto" w:sz="6"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1">
    <w:name w:val="xl141"/>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2">
    <w:name w:val="xl142"/>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8000"/>
      <w:kern w:val="0"/>
      <w:sz w:val="24"/>
      <w:szCs w:val="24"/>
    </w:rPr>
  </w:style>
  <w:style w:type="paragraph" w:customStyle="1" w:styleId="313">
    <w:name w:val="font13"/>
    <w:basedOn w:val="1"/>
    <w:uiPriority w:val="0"/>
    <w:pPr>
      <w:widowControl/>
      <w:spacing w:before="100" w:beforeAutospacing="1" w:after="100" w:afterAutospacing="1"/>
      <w:jc w:val="left"/>
    </w:pPr>
    <w:rPr>
      <w:rFonts w:ascii="宋体" w:hAnsi="宋体" w:eastAsia="宋体" w:cs="宋体"/>
      <w:b/>
      <w:bCs/>
      <w:kern w:val="0"/>
      <w:sz w:val="22"/>
      <w:szCs w:val="28"/>
    </w:rPr>
  </w:style>
  <w:style w:type="paragraph" w:customStyle="1" w:styleId="314">
    <w:name w:val="font14"/>
    <w:basedOn w:val="1"/>
    <w:qFormat/>
    <w:uiPriority w:val="0"/>
    <w:pPr>
      <w:widowControl/>
      <w:spacing w:before="100" w:beforeAutospacing="1" w:after="100" w:afterAutospacing="1"/>
      <w:jc w:val="left"/>
    </w:pPr>
    <w:rPr>
      <w:rFonts w:ascii="宋体" w:hAnsi="宋体" w:eastAsia="宋体" w:cs="宋体"/>
      <w:kern w:val="0"/>
      <w:sz w:val="22"/>
      <w:szCs w:val="28"/>
    </w:rPr>
  </w:style>
  <w:style w:type="character" w:customStyle="1" w:styleId="315">
    <w:name w:val="正文首行缩进 Char2"/>
    <w:basedOn w:val="127"/>
    <w:link w:val="42"/>
    <w:semiHidden/>
    <w:qFormat/>
    <w:uiPriority w:val="99"/>
  </w:style>
  <w:style w:type="character" w:customStyle="1" w:styleId="316">
    <w:name w:val="正文首行缩进 2 Char1"/>
    <w:basedOn w:val="98"/>
    <w:link w:val="43"/>
    <w:semiHidden/>
    <w:qFormat/>
    <w:uiPriority w:val="99"/>
  </w:style>
  <w:style w:type="character" w:customStyle="1" w:styleId="317">
    <w:name w:val="标题 5 Char"/>
    <w:qFormat/>
    <w:uiPriority w:val="0"/>
    <w:rPr>
      <w:rFonts w:ascii="Calibri" w:hAnsi="Calibri" w:eastAsia="宋体" w:cs="Times New Roman"/>
      <w:b/>
      <w:bCs/>
      <w:i/>
      <w:iCs/>
      <w:kern w:val="0"/>
      <w:sz w:val="26"/>
      <w:szCs w:val="26"/>
      <w:lang w:bidi="en-US"/>
    </w:rPr>
  </w:style>
  <w:style w:type="character" w:customStyle="1" w:styleId="318">
    <w:name w:val="标题 6 Char"/>
    <w:uiPriority w:val="0"/>
    <w:rPr>
      <w:rFonts w:ascii="Calibri" w:hAnsi="Calibri" w:eastAsia="宋体" w:cs="Times New Roman"/>
      <w:b/>
      <w:bCs/>
      <w:kern w:val="0"/>
      <w:sz w:val="22"/>
      <w:lang w:bidi="en-US"/>
    </w:rPr>
  </w:style>
  <w:style w:type="character" w:customStyle="1" w:styleId="319">
    <w:name w:val="标题 7 Char"/>
    <w:uiPriority w:val="0"/>
    <w:rPr>
      <w:rFonts w:ascii="Calibri" w:hAnsi="Calibri" w:eastAsia="宋体" w:cs="Times New Roman"/>
      <w:kern w:val="0"/>
      <w:sz w:val="24"/>
      <w:szCs w:val="24"/>
      <w:lang w:bidi="en-US"/>
    </w:rPr>
  </w:style>
  <w:style w:type="character" w:customStyle="1" w:styleId="320">
    <w:name w:val="标题 8 Char"/>
    <w:qFormat/>
    <w:uiPriority w:val="0"/>
    <w:rPr>
      <w:rFonts w:ascii="Calibri" w:hAnsi="Calibri" w:eastAsia="宋体" w:cs="Times New Roman"/>
      <w:i/>
      <w:iCs/>
      <w:kern w:val="0"/>
      <w:sz w:val="24"/>
      <w:szCs w:val="24"/>
      <w:lang w:bidi="en-US"/>
    </w:rPr>
  </w:style>
  <w:style w:type="character" w:customStyle="1" w:styleId="321">
    <w:name w:val="标题 9 Char"/>
    <w:uiPriority w:val="0"/>
    <w:rPr>
      <w:rFonts w:ascii="Cambria" w:hAnsi="Cambria" w:eastAsia="宋体" w:cs="Times New Roman"/>
      <w:kern w:val="0"/>
      <w:sz w:val="22"/>
      <w:lang w:bidi="en-US"/>
    </w:rPr>
  </w:style>
  <w:style w:type="character" w:customStyle="1" w:styleId="322">
    <w:name w:val="文档结构图 Char"/>
    <w:semiHidden/>
    <w:qFormat/>
    <w:uiPriority w:val="0"/>
    <w:rPr>
      <w:rFonts w:ascii="仿宋_GB2312" w:hAnsi="Times New Roman" w:eastAsia="仿宋_GB2312" w:cs="Times New Roman"/>
      <w:kern w:val="0"/>
      <w:sz w:val="24"/>
      <w:szCs w:val="24"/>
      <w:shd w:val="clear" w:color="auto" w:fill="000080"/>
    </w:rPr>
  </w:style>
  <w:style w:type="character" w:customStyle="1" w:styleId="323">
    <w:name w:val="正文文本缩进 Char1"/>
    <w:qFormat/>
    <w:uiPriority w:val="0"/>
    <w:rPr>
      <w:rFonts w:ascii="宋体" w:hAnsi="宋体" w:eastAsia="宋体" w:cs="Times New Roman"/>
      <w:sz w:val="24"/>
      <w:szCs w:val="24"/>
    </w:rPr>
  </w:style>
  <w:style w:type="character" w:customStyle="1" w:styleId="324">
    <w:name w:val="标题 Char"/>
    <w:uiPriority w:val="0"/>
    <w:rPr>
      <w:rFonts w:ascii="Cambria" w:hAnsi="Cambria" w:eastAsia="宋体" w:cs="Times New Roman"/>
      <w:b/>
      <w:bCs/>
      <w:kern w:val="28"/>
      <w:sz w:val="32"/>
      <w:szCs w:val="32"/>
      <w:lang w:bidi="en-US"/>
    </w:rPr>
  </w:style>
  <w:style w:type="character" w:customStyle="1" w:styleId="325">
    <w:name w:val="副标题 Char"/>
    <w:qFormat/>
    <w:uiPriority w:val="0"/>
    <w:rPr>
      <w:rFonts w:ascii="Cambria" w:hAnsi="Cambria" w:eastAsia="宋体" w:cs="Times New Roman"/>
      <w:kern w:val="0"/>
      <w:sz w:val="24"/>
      <w:szCs w:val="24"/>
      <w:lang w:bidi="en-US"/>
    </w:rPr>
  </w:style>
  <w:style w:type="character" w:customStyle="1" w:styleId="326">
    <w:name w:val="无间隔 Char"/>
    <w:qFormat/>
    <w:uiPriority w:val="0"/>
    <w:rPr>
      <w:rFonts w:ascii="Calibri" w:hAnsi="Calibri" w:eastAsia="宋体" w:cs="Times New Roman"/>
      <w:kern w:val="0"/>
      <w:sz w:val="24"/>
      <w:szCs w:val="24"/>
      <w:lang w:bidi="en-US"/>
    </w:rPr>
  </w:style>
  <w:style w:type="character" w:customStyle="1" w:styleId="327">
    <w:name w:val="引用 Char"/>
    <w:qFormat/>
    <w:uiPriority w:val="0"/>
    <w:rPr>
      <w:rFonts w:ascii="Calibri" w:hAnsi="Calibri" w:eastAsia="宋体" w:cs="Times New Roman"/>
      <w:i/>
      <w:kern w:val="0"/>
      <w:sz w:val="24"/>
      <w:szCs w:val="24"/>
      <w:lang w:bidi="en-US"/>
    </w:rPr>
  </w:style>
  <w:style w:type="character" w:customStyle="1" w:styleId="328">
    <w:name w:val="明显引用 Char"/>
    <w:qFormat/>
    <w:uiPriority w:val="0"/>
    <w:rPr>
      <w:rFonts w:ascii="Calibri" w:hAnsi="Calibri" w:eastAsia="宋体" w:cs="Times New Roman"/>
      <w:b/>
      <w:i/>
      <w:kern w:val="0"/>
      <w:sz w:val="24"/>
      <w:lang w:bidi="en-US"/>
    </w:rPr>
  </w:style>
  <w:style w:type="character" w:customStyle="1" w:styleId="329">
    <w:name w:val="纯文本 Char"/>
    <w:qFormat/>
    <w:uiPriority w:val="0"/>
    <w:rPr>
      <w:rFonts w:ascii="宋体" w:hAnsi="Courier New" w:eastAsia="宋体" w:cs="Courier New"/>
      <w:sz w:val="28"/>
      <w:szCs w:val="21"/>
    </w:rPr>
  </w:style>
  <w:style w:type="character" w:customStyle="1" w:styleId="330">
    <w:name w:val="正文文本 Char"/>
    <w:qFormat/>
    <w:uiPriority w:val="0"/>
    <w:rPr>
      <w:rFonts w:ascii="Times New Roman" w:hAnsi="Times New Roman" w:eastAsia="宋体" w:cs="Times New Roman"/>
      <w:sz w:val="24"/>
      <w:szCs w:val="24"/>
    </w:rPr>
  </w:style>
  <w:style w:type="character" w:customStyle="1" w:styleId="331">
    <w:name w:val="正文文本 3 Char"/>
    <w:semiHidden/>
    <w:uiPriority w:val="0"/>
    <w:rPr>
      <w:rFonts w:ascii="Calibri" w:hAnsi="Calibri" w:eastAsia="宋体" w:cs="Times New Roman"/>
      <w:kern w:val="0"/>
      <w:sz w:val="16"/>
      <w:szCs w:val="16"/>
      <w:lang w:bidi="en-US"/>
    </w:rPr>
  </w:style>
  <w:style w:type="character" w:customStyle="1" w:styleId="332">
    <w:name w:val="正文文本缩进 3 Char"/>
    <w:semiHidden/>
    <w:uiPriority w:val="0"/>
    <w:rPr>
      <w:rFonts w:ascii="Calibri" w:hAnsi="Calibri" w:eastAsia="宋体" w:cs="Times New Roman"/>
      <w:kern w:val="0"/>
      <w:sz w:val="16"/>
      <w:szCs w:val="16"/>
      <w:lang w:bidi="en-US"/>
    </w:rPr>
  </w:style>
  <w:style w:type="character" w:customStyle="1" w:styleId="333">
    <w:name w:val="正文文本缩进 2 Char"/>
    <w:semiHidden/>
    <w:qFormat/>
    <w:uiPriority w:val="0"/>
    <w:rPr>
      <w:rFonts w:ascii="Times New Roman" w:hAnsi="Times New Roman" w:eastAsia="宋体" w:cs="Times New Roman"/>
      <w:sz w:val="28"/>
      <w:szCs w:val="24"/>
    </w:rPr>
  </w:style>
  <w:style w:type="character" w:customStyle="1" w:styleId="334">
    <w:name w:val="正文文本 2 Char"/>
    <w:semiHidden/>
    <w:qFormat/>
    <w:uiPriority w:val="0"/>
    <w:rPr>
      <w:rFonts w:ascii="Calibri" w:hAnsi="Calibri" w:eastAsia="宋体" w:cs="Times New Roman"/>
      <w:kern w:val="0"/>
      <w:sz w:val="24"/>
      <w:szCs w:val="24"/>
      <w:lang w:bidi="en-US"/>
    </w:rPr>
  </w:style>
  <w:style w:type="character" w:customStyle="1" w:styleId="335">
    <w:name w:val="注释标题 Char"/>
    <w:semiHidden/>
    <w:qFormat/>
    <w:uiPriority w:val="0"/>
    <w:rPr>
      <w:rFonts w:ascii="Times New Roman" w:hAnsi="Times New Roman" w:eastAsia="宋体" w:cs="Times New Roman"/>
      <w:sz w:val="28"/>
      <w:szCs w:val="24"/>
    </w:rPr>
  </w:style>
  <w:style w:type="character" w:customStyle="1" w:styleId="336">
    <w:name w:val="脚注文本 Char"/>
    <w:uiPriority w:val="0"/>
    <w:rPr>
      <w:rFonts w:ascii="Calibri" w:hAnsi="Calibri" w:eastAsia="宋体" w:cs="Times New Roman"/>
      <w:kern w:val="0"/>
      <w:sz w:val="20"/>
      <w:szCs w:val="20"/>
    </w:rPr>
  </w:style>
  <w:style w:type="character" w:customStyle="1" w:styleId="337">
    <w:name w:val="批注文字 Char"/>
    <w:semiHidden/>
    <w:uiPriority w:val="99"/>
    <w:rPr>
      <w:rFonts w:ascii="仿宋_GB2312" w:hAnsi="Times New Roman" w:eastAsia="仿宋_GB2312" w:cs="Times New Roman"/>
      <w:kern w:val="0"/>
      <w:sz w:val="24"/>
      <w:szCs w:val="24"/>
    </w:rPr>
  </w:style>
  <w:style w:type="character" w:customStyle="1" w:styleId="338">
    <w:name w:val="批注主题 Char"/>
    <w:semiHidden/>
    <w:qFormat/>
    <w:uiPriority w:val="99"/>
    <w:rPr>
      <w:rFonts w:ascii="仿宋_GB2312" w:hAnsi="Times New Roman" w:eastAsia="仿宋_GB2312" w:cs="Times New Roman"/>
      <w:b/>
      <w:bCs/>
      <w:kern w:val="0"/>
      <w:sz w:val="24"/>
      <w:szCs w:val="24"/>
    </w:rPr>
  </w:style>
  <w:style w:type="character" w:customStyle="1" w:styleId="339">
    <w:name w:val="z-窗体顶端 Char"/>
    <w:semiHidden/>
    <w:uiPriority w:val="99"/>
    <w:rPr>
      <w:rFonts w:ascii="Arial" w:hAnsi="Arial" w:eastAsia="宋体" w:cs="Arial"/>
      <w:vanish/>
      <w:kern w:val="0"/>
      <w:sz w:val="16"/>
      <w:szCs w:val="16"/>
    </w:rPr>
  </w:style>
  <w:style w:type="character" w:customStyle="1" w:styleId="340">
    <w:name w:val="z-窗体底端 Char"/>
    <w:qFormat/>
    <w:uiPriority w:val="99"/>
    <w:rPr>
      <w:rFonts w:ascii="Arial" w:hAnsi="Arial" w:eastAsia="宋体" w:cs="Arial"/>
      <w:vanish/>
      <w:kern w:val="0"/>
      <w:sz w:val="16"/>
      <w:szCs w:val="16"/>
    </w:rPr>
  </w:style>
  <w:style w:type="character" w:customStyle="1" w:styleId="341">
    <w:name w:val="未处理的提及1"/>
    <w:basedOn w:val="46"/>
    <w:semiHidden/>
    <w:unhideWhenUsed/>
    <w:qFormat/>
    <w:uiPriority w:val="99"/>
    <w:rPr>
      <w:color w:val="605E5C"/>
      <w:shd w:val="clear" w:color="auto" w:fill="E1DFDD"/>
    </w:rPr>
  </w:style>
  <w:style w:type="character" w:customStyle="1" w:styleId="342">
    <w:name w:val="未处理的提及2"/>
    <w:basedOn w:val="46"/>
    <w:semiHidden/>
    <w:unhideWhenUsed/>
    <w:qFormat/>
    <w:uiPriority w:val="99"/>
    <w:rPr>
      <w:color w:val="605E5C"/>
      <w:shd w:val="clear" w:color="auto" w:fill="E1DFDD"/>
    </w:rPr>
  </w:style>
  <w:style w:type="paragraph" w:customStyle="1" w:styleId="343">
    <w:name w:val="Char Char Char1"/>
    <w:basedOn w:val="1"/>
    <w:semiHidden/>
    <w:qFormat/>
    <w:uiPriority w:val="0"/>
    <w:rPr>
      <w:rFonts w:ascii="Times New Roman" w:hAnsi="Times New Roman" w:eastAsia="宋体" w:cs="Times New Roman"/>
      <w:szCs w:val="24"/>
    </w:rPr>
  </w:style>
  <w:style w:type="character" w:customStyle="1" w:styleId="344">
    <w:name w:val="批注文字 字符"/>
    <w:basedOn w:val="46"/>
    <w:qFormat/>
    <w:uiPriority w:val="99"/>
  </w:style>
  <w:style w:type="character" w:customStyle="1" w:styleId="345">
    <w:name w:val="批注主题 字符"/>
    <w:basedOn w:val="344"/>
    <w:semiHidden/>
    <w:qFormat/>
    <w:uiPriority w:val="99"/>
    <w:rPr>
      <w:b/>
      <w:bCs/>
    </w:rPr>
  </w:style>
  <w:style w:type="paragraph" w:customStyle="1" w:styleId="346">
    <w:name w:val="4"/>
    <w:basedOn w:val="1"/>
    <w:next w:val="1"/>
    <w:qFormat/>
    <w:uiPriority w:val="39"/>
    <w:pPr>
      <w:spacing w:line="360" w:lineRule="auto"/>
      <w:ind w:left="240" w:firstLine="200" w:firstLineChars="200"/>
      <w:jc w:val="left"/>
    </w:pPr>
    <w:rPr>
      <w:rFonts w:ascii="Times New Roman" w:hAnsi="Times New Roman" w:eastAsia="仿宋_GB2312" w:cs="Times New Roman"/>
      <w:smallCaps/>
      <w:kern w:val="0"/>
      <w:sz w:val="20"/>
      <w:szCs w:val="20"/>
    </w:rPr>
  </w:style>
  <w:style w:type="character" w:customStyle="1" w:styleId="347">
    <w:name w:val="未处理的提及3"/>
    <w:basedOn w:val="46"/>
    <w:semiHidden/>
    <w:unhideWhenUsed/>
    <w:qFormat/>
    <w:uiPriority w:val="99"/>
    <w:rPr>
      <w:color w:val="605E5C"/>
      <w:shd w:val="clear" w:color="auto" w:fill="E1DFDD"/>
    </w:rPr>
  </w:style>
  <w:style w:type="character" w:customStyle="1" w:styleId="348">
    <w:name w:val="未处理的提及4"/>
    <w:basedOn w:val="46"/>
    <w:semiHidden/>
    <w:unhideWhenUsed/>
    <w:uiPriority w:val="99"/>
    <w:rPr>
      <w:color w:val="605E5C"/>
      <w:shd w:val="clear" w:color="auto" w:fill="E1DFDD"/>
    </w:rPr>
  </w:style>
  <w:style w:type="paragraph" w:customStyle="1" w:styleId="349">
    <w:name w:val="段"/>
    <w:basedOn w:val="1"/>
    <w:link w:val="351"/>
    <w:qFormat/>
    <w:uiPriority w:val="0"/>
    <w:pPr>
      <w:adjustRightInd w:val="0"/>
      <w:spacing w:line="440" w:lineRule="exact"/>
      <w:ind w:firstLine="560" w:firstLineChars="200"/>
      <w:textAlignment w:val="baseline"/>
    </w:pPr>
    <w:rPr>
      <w:rFonts w:ascii="Times New Roman" w:hAnsi="Times New Roman" w:eastAsia="宋体" w:cs="Times New Roman"/>
      <w:kern w:val="0"/>
      <w:sz w:val="28"/>
      <w:szCs w:val="28"/>
    </w:rPr>
  </w:style>
  <w:style w:type="paragraph" w:customStyle="1" w:styleId="350">
    <w:name w:val="Char Char Char Char Char Char Char"/>
    <w:basedOn w:val="1"/>
    <w:semiHidden/>
    <w:qFormat/>
    <w:uiPriority w:val="0"/>
    <w:pPr>
      <w:jc w:val="left"/>
    </w:pPr>
    <w:rPr>
      <w:rFonts w:ascii="宋体" w:hAnsi="宋体" w:eastAsia="宋体" w:cs="宋体"/>
      <w:kern w:val="0"/>
      <w:sz w:val="24"/>
      <w:szCs w:val="24"/>
    </w:rPr>
  </w:style>
  <w:style w:type="character" w:customStyle="1" w:styleId="351">
    <w:name w:val="段 Char1"/>
    <w:basedOn w:val="46"/>
    <w:link w:val="349"/>
    <w:qFormat/>
    <w:uiPriority w:val="0"/>
    <w:rPr>
      <w:rFonts w:ascii="Times New Roman" w:hAnsi="Times New Roman" w:eastAsia="宋体" w:cs="Times New Roman"/>
      <w:kern w:val="0"/>
      <w:sz w:val="28"/>
      <w:szCs w:val="28"/>
    </w:rPr>
  </w:style>
  <w:style w:type="character" w:customStyle="1" w:styleId="352">
    <w:name w:val="未处理的提及5"/>
    <w:basedOn w:val="46"/>
    <w:semiHidden/>
    <w:unhideWhenUsed/>
    <w:uiPriority w:val="99"/>
    <w:rPr>
      <w:color w:val="605E5C"/>
      <w:shd w:val="clear" w:color="auto" w:fill="E1DFDD"/>
    </w:rPr>
  </w:style>
  <w:style w:type="character" w:customStyle="1" w:styleId="353">
    <w:name w:val="Unresolved Mention"/>
    <w:basedOn w:val="4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image" Target="media/image8.emf"/><Relationship Id="rId17" Type="http://schemas.openxmlformats.org/officeDocument/2006/relationships/image" Target="media/image7.emf"/><Relationship Id="rId16" Type="http://schemas.openxmlformats.org/officeDocument/2006/relationships/image" Target="media/image6.emf"/><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04D5E2-2FDD-4228-BB4D-7585242F95D0}">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65</Pages>
  <Words>6215</Words>
  <Characters>35426</Characters>
  <Lines>295</Lines>
  <Paragraphs>83</Paragraphs>
  <TotalTime>465</TotalTime>
  <ScaleCrop>false</ScaleCrop>
  <LinksUpToDate>false</LinksUpToDate>
  <CharactersWithSpaces>41558</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2019-12-17T01:27:00Z</dcterms:created>
  <dc:creator>Administrator</dc:creator>
  <cp:lastModifiedBy>ynfyzfb</cp:lastModifiedBy>
  <cp:lastPrinted>2019-09-29T02:51:00Z</cp:lastPrinted>
  <dcterms:modified xsi:type="dcterms:W3CDTF">2020-11-05T09:26:06Z</dcterms:modified>
  <cp:revision>139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