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曲靖市富源县墨红镇迤黑</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 w:val="center" w:pos="4331"/>
        </w:tabs>
        <w:spacing w:line="360" w:lineRule="auto"/>
        <w:ind w:left="357" w:firstLine="0" w:firstLineChars="0"/>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委托单位：墨红镇人民政府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"_Toc27493732"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_Toc27493732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"_Toc27493733"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_Toc27493733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"_Toc27493734"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_Toc27493734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"_Toc27493735"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_Toc27493735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"_Toc27493736"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_Toc27493736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"_Toc27493737"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_Toc27493737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"_Toc27493738"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_Toc27493738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"_Toc27493739"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_Toc27493739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"_Toc27493749"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_Toc27493749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"_Toc27493759"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_Toc27493759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"_Toc27493764"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第三章 保护区划分与定界</w:t>
      </w:r>
      <w:r>
        <w:rPr>
          <w:rStyle w:val="51"/>
          <w:b/>
          <w:color w:val="0D0D0D" w:themeColor="text1" w:themeTint="F2"/>
          <w14:textFill>
            <w14:solidFill>
              <w14:schemeClr w14:val="tx1">
                <w14:lumMod w14:val="95000"/>
                <w14:lumOff w14:val="5000"/>
              </w14:schemeClr>
            </w14:solidFill>
          </w14:textFill>
        </w:rPr>
        <w:tab/>
      </w:r>
      <w:r>
        <w:rPr>
          <w:rStyle w:val="51"/>
          <w:b/>
          <w:color w:val="0D0D0D" w:themeColor="text1" w:themeTint="F2"/>
          <w14:textFill>
            <w14:solidFill>
              <w14:schemeClr w14:val="tx1">
                <w14:lumMod w14:val="95000"/>
                <w14:lumOff w14:val="5000"/>
              </w14:schemeClr>
            </w14:solidFill>
          </w14:textFill>
        </w:rPr>
        <w:fldChar w:fldCharType="begin"/>
      </w:r>
      <w:r>
        <w:rPr>
          <w:rStyle w:val="51"/>
          <w:b/>
          <w:color w:val="0D0D0D" w:themeColor="text1" w:themeTint="F2"/>
          <w14:textFill>
            <w14:solidFill>
              <w14:schemeClr w14:val="tx1">
                <w14:lumMod w14:val="95000"/>
                <w14:lumOff w14:val="5000"/>
              </w14:schemeClr>
            </w14:solidFill>
          </w14:textFill>
        </w:rPr>
        <w:instrText xml:space="preserve"> PAGEREF _Toc27493764 \h </w:instrText>
      </w:r>
      <w:r>
        <w:rPr>
          <w:rStyle w:val="51"/>
          <w:b/>
          <w:color w:val="0D0D0D" w:themeColor="text1" w:themeTint="F2"/>
          <w14:textFill>
            <w14:solidFill>
              <w14:schemeClr w14:val="tx1">
                <w14:lumMod w14:val="95000"/>
                <w14:lumOff w14:val="5000"/>
              </w14:schemeClr>
            </w14:solidFill>
          </w14:textFill>
        </w:rPr>
        <w:fldChar w:fldCharType="separate"/>
      </w:r>
      <w:r>
        <w:rPr>
          <w:rStyle w:val="51"/>
          <w:b/>
          <w:color w:val="0D0D0D" w:themeColor="text1" w:themeTint="F2"/>
          <w14:textFill>
            <w14:solidFill>
              <w14:schemeClr w14:val="tx1">
                <w14:lumMod w14:val="95000"/>
                <w14:lumOff w14:val="5000"/>
              </w14:schemeClr>
            </w14:solidFill>
          </w14:textFill>
        </w:rPr>
        <w:t>- 33 -</w:t>
      </w:r>
      <w:r>
        <w:rPr>
          <w:rStyle w:val="51"/>
          <w:b/>
          <w:color w:val="0D0D0D" w:themeColor="text1" w:themeTint="F2"/>
          <w14:textFill>
            <w14:solidFill>
              <w14:schemeClr w14:val="tx1">
                <w14:lumMod w14:val="95000"/>
                <w14:lumOff w14:val="5000"/>
              </w14:schemeClr>
            </w14:solidFill>
          </w14:textFill>
        </w:rPr>
        <w:fldChar w:fldCharType="end"/>
      </w:r>
      <w:r>
        <w:rPr>
          <w:rStyle w:val="51"/>
          <w:b/>
          <w:color w:val="0D0D0D" w:themeColor="text1" w:themeTint="F2"/>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"_Toc27493769"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_Toc27493769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Style w:val="51"/>
          <w:b/>
          <w:color w:val="0D0D0D" w:themeColor="text1" w:themeTint="F2"/>
          <w14:textFill>
            <w14:solidFill>
              <w14:schemeClr w14:val="tx1">
                <w14:lumMod w14:val="95000"/>
                <w14:lumOff w14:val="5000"/>
              </w14:schemeClr>
            </w14:solidFill>
          </w14:textFill>
        </w:rPr>
      </w:pPr>
      <w:r>
        <w:fldChar w:fldCharType="begin"/>
      </w:r>
      <w:r>
        <w:instrText xml:space="preserve"> HYPERLINK \l "_Toc27493772"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Style w:val="51"/>
          <w:b/>
          <w:color w:val="0D0D0D" w:themeColor="text1" w:themeTint="F2"/>
          <w14:textFill>
            <w14:solidFill>
              <w14:schemeClr w14:val="tx1">
                <w14:lumMod w14:val="95000"/>
                <w14:lumOff w14:val="5000"/>
              </w14:schemeClr>
            </w14:solidFill>
          </w14:textFill>
        </w:rPr>
        <w:tab/>
      </w:r>
      <w:r>
        <w:rPr>
          <w:rStyle w:val="51"/>
          <w:b/>
          <w:color w:val="0D0D0D" w:themeColor="text1" w:themeTint="F2"/>
          <w14:textFill>
            <w14:solidFill>
              <w14:schemeClr w14:val="tx1">
                <w14:lumMod w14:val="95000"/>
                <w14:lumOff w14:val="5000"/>
              </w14:schemeClr>
            </w14:solidFill>
          </w14:textFill>
        </w:rPr>
        <w:fldChar w:fldCharType="begin"/>
      </w:r>
      <w:r>
        <w:rPr>
          <w:rStyle w:val="51"/>
          <w:b/>
          <w:color w:val="0D0D0D" w:themeColor="text1" w:themeTint="F2"/>
          <w14:textFill>
            <w14:solidFill>
              <w14:schemeClr w14:val="tx1">
                <w14:lumMod w14:val="95000"/>
                <w14:lumOff w14:val="5000"/>
              </w14:schemeClr>
            </w14:solidFill>
          </w14:textFill>
        </w:rPr>
        <w:instrText xml:space="preserve"> PAGEREF _Toc27493772 \h </w:instrText>
      </w:r>
      <w:r>
        <w:rPr>
          <w:rStyle w:val="51"/>
          <w:b/>
          <w:color w:val="0D0D0D" w:themeColor="text1" w:themeTint="F2"/>
          <w14:textFill>
            <w14:solidFill>
              <w14:schemeClr w14:val="tx1">
                <w14:lumMod w14:val="95000"/>
                <w14:lumOff w14:val="5000"/>
              </w14:schemeClr>
            </w14:solidFill>
          </w14:textFill>
        </w:rPr>
        <w:fldChar w:fldCharType="separate"/>
      </w:r>
      <w:r>
        <w:rPr>
          <w:rStyle w:val="51"/>
          <w:b/>
          <w:color w:val="0D0D0D" w:themeColor="text1" w:themeTint="F2"/>
          <w14:textFill>
            <w14:solidFill>
              <w14:schemeClr w14:val="tx1">
                <w14:lumMod w14:val="95000"/>
                <w14:lumOff w14:val="5000"/>
              </w14:schemeClr>
            </w14:solidFill>
          </w14:textFill>
        </w:rPr>
        <w:t>- 37 -</w:t>
      </w:r>
      <w:r>
        <w:rPr>
          <w:rStyle w:val="51"/>
          <w:b/>
          <w:color w:val="0D0D0D" w:themeColor="text1" w:themeTint="F2"/>
          <w14:textFill>
            <w14:solidFill>
              <w14:schemeClr w14:val="tx1">
                <w14:lumMod w14:val="95000"/>
                <w14:lumOff w14:val="5000"/>
              </w14:schemeClr>
            </w14:solidFill>
          </w14:textFill>
        </w:rPr>
        <w:fldChar w:fldCharType="end"/>
      </w:r>
      <w:r>
        <w:rPr>
          <w:rStyle w:val="51"/>
          <w:b/>
          <w:color w:val="0D0D0D" w:themeColor="text1" w:themeTint="F2"/>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"_Toc27493779"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"_Toc27493780"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"_Toc27493781"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Style w:val="51"/>
          <w:b/>
          <w:color w:val="0D0D0D" w:themeColor="text1" w:themeTint="F2"/>
          <w14:textFill>
            <w14:solidFill>
              <w14:schemeClr w14:val="tx1">
                <w14:lumMod w14:val="95000"/>
                <w14:lumOff w14:val="5000"/>
              </w14:schemeClr>
            </w14:solidFill>
          </w14:textFill>
        </w:rPr>
      </w:pPr>
      <w:r>
        <w:fldChar w:fldCharType="begin"/>
      </w:r>
      <w:r>
        <w:instrText xml:space="preserve"> HYPERLINK \l "_Toc27493782"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第五章饮用水水源保护区划分方案、图件及有关说明</w:t>
      </w:r>
      <w:r>
        <w:rPr>
          <w:rStyle w:val="51"/>
          <w:b/>
          <w:color w:val="0D0D0D" w:themeColor="text1" w:themeTint="F2"/>
          <w14:textFill>
            <w14:solidFill>
              <w14:schemeClr w14:val="tx1">
                <w14:lumMod w14:val="95000"/>
                <w14:lumOff w14:val="5000"/>
              </w14:schemeClr>
            </w14:solidFill>
          </w14:textFill>
        </w:rPr>
        <w:tab/>
      </w:r>
      <w:r>
        <w:rPr>
          <w:rStyle w:val="51"/>
          <w:b/>
          <w:color w:val="0D0D0D" w:themeColor="text1" w:themeTint="F2"/>
          <w14:textFill>
            <w14:solidFill>
              <w14:schemeClr w14:val="tx1">
                <w14:lumMod w14:val="95000"/>
                <w14:lumOff w14:val="5000"/>
              </w14:schemeClr>
            </w14:solidFill>
          </w14:textFill>
        </w:rPr>
        <w:fldChar w:fldCharType="begin"/>
      </w:r>
      <w:r>
        <w:rPr>
          <w:rStyle w:val="51"/>
          <w:b/>
          <w:color w:val="0D0D0D" w:themeColor="text1" w:themeTint="F2"/>
          <w14:textFill>
            <w14:solidFill>
              <w14:schemeClr w14:val="tx1">
                <w14:lumMod w14:val="95000"/>
                <w14:lumOff w14:val="5000"/>
              </w14:schemeClr>
            </w14:solidFill>
          </w14:textFill>
        </w:rPr>
        <w:instrText xml:space="preserve"> PAGEREF _Toc27493782 \h </w:instrText>
      </w:r>
      <w:r>
        <w:rPr>
          <w:rStyle w:val="51"/>
          <w:b/>
          <w:color w:val="0D0D0D" w:themeColor="text1" w:themeTint="F2"/>
          <w14:textFill>
            <w14:solidFill>
              <w14:schemeClr w14:val="tx1">
                <w14:lumMod w14:val="95000"/>
                <w14:lumOff w14:val="5000"/>
              </w14:schemeClr>
            </w14:solidFill>
          </w14:textFill>
        </w:rPr>
        <w:fldChar w:fldCharType="separate"/>
      </w:r>
      <w:r>
        <w:rPr>
          <w:rStyle w:val="51"/>
          <w:b/>
          <w:color w:val="0D0D0D" w:themeColor="text1" w:themeTint="F2"/>
          <w14:textFill>
            <w14:solidFill>
              <w14:schemeClr w14:val="tx1">
                <w14:lumMod w14:val="95000"/>
                <w14:lumOff w14:val="5000"/>
              </w14:schemeClr>
            </w14:solidFill>
          </w14:textFill>
        </w:rPr>
        <w:t>- 48 -</w:t>
      </w:r>
      <w:r>
        <w:rPr>
          <w:rStyle w:val="51"/>
          <w:b/>
          <w:color w:val="0D0D0D" w:themeColor="text1" w:themeTint="F2"/>
          <w14:textFill>
            <w14:solidFill>
              <w14:schemeClr w14:val="tx1">
                <w14:lumMod w14:val="95000"/>
                <w14:lumOff w14:val="5000"/>
              </w14:schemeClr>
            </w14:solidFill>
          </w14:textFill>
        </w:rPr>
        <w:fldChar w:fldCharType="end"/>
      </w:r>
      <w:r>
        <w:rPr>
          <w:rStyle w:val="51"/>
          <w:b/>
          <w:color w:val="0D0D0D" w:themeColor="text1" w:themeTint="F2"/>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"_Toc27493783"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"_Toc27493784"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"_Toc27493785"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"_Toc27493786"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富源县迤黑水库饮用水水源地基础信息表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"_Toc27493787"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富源县迤黑水库集中式饮用水水源保护区划分结果表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"_Toc27493788"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富源县迤黑水库饮用水水源地保护区污染源调查表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_Toc27493788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迤黑水库饮用水源地区位图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迤黑水库饮用水源地水系图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迤黑水库饮用水源地保护区区划图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迤黑水库饮用水源地保护区划污染源分布图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迤黑水库饮用水源地保护区划拐点图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493732"/>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493733"/>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493734"/>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00905490"/>
      <w:bookmarkStart w:id="9" w:name="_Toc272332582"/>
      <w:bookmarkStart w:id="10" w:name="_Toc478744140"/>
      <w:bookmarkStart w:id="11" w:name="_Toc27493735"/>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200905491"/>
      <w:bookmarkStart w:id="15" w:name="_Toc272332583"/>
      <w:bookmarkStart w:id="16" w:name="_Toc478744141"/>
      <w:bookmarkStart w:id="17" w:name="_Toc27493736"/>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493737"/>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493738"/>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富源县墨红镇迤黑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493739"/>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0729966"/>
      <w:bookmarkStart w:id="28" w:name="_Toc12456051"/>
      <w:bookmarkStart w:id="29" w:name="_Toc27493740"/>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0729967"/>
      <w:bookmarkStart w:id="31" w:name="_Toc12456052"/>
      <w:bookmarkStart w:id="32" w:name="_Toc27493741"/>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迤黑水库位于富源县墨红镇，地理位置为东经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104°14'21"，北纬25°25'58"。</w:t>
      </w:r>
    </w:p>
    <w:p>
      <w:pPr>
        <w:pStyle w:val="4"/>
        <w:rPr>
          <w:color w:val="0D0D0D" w:themeColor="text1" w:themeTint="F2"/>
          <w14:textFill>
            <w14:solidFill>
              <w14:schemeClr w14:val="tx1">
                <w14:lumMod w14:val="95000"/>
                <w14:lumOff w14:val="5000"/>
              </w14:schemeClr>
            </w14:solidFill>
          </w14:textFill>
        </w:rPr>
      </w:pPr>
      <w:bookmarkStart w:id="33" w:name="_Toc10729968"/>
      <w:bookmarkStart w:id="34" w:name="_Toc27493742"/>
      <w:bookmarkStart w:id="35" w:name="_Toc12456053"/>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w:t>
      </w:r>
      <w:bookmarkStart w:id="232" w:name="_GoBack"/>
      <w:bookmarkEnd w:id="23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2456054"/>
      <w:bookmarkStart w:id="37" w:name="_Toc10729969"/>
      <w:bookmarkStart w:id="38" w:name="_Toc27493743"/>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27493744"/>
      <w:bookmarkStart w:id="40" w:name="_Toc12456055"/>
      <w:bookmarkStart w:id="41" w:name="_Toc10729970"/>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27493745"/>
      <w:bookmarkStart w:id="43" w:name="_Toc10729972"/>
      <w:bookmarkStart w:id="44" w:name="_Toc12456056"/>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迤黑水库位于富源县营上镇、墨红镇、竹园镇交界处的迤黑村，属营上镇管辖，涉及乡镇及村委会社会经济概况统计如下。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（1）营上镇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营上镇位于富源县东南部，距县城32km，北邻大河镇、南抵竹园镇、西接墨红镇、东与贵州盘县金竹坪接壤。国土面积152.3km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耕地总面积3.44万亩，其中：水田5370亩，旱地2.91万亩。全镇16个行政村144个村民小组7663人。2018年实现农村经济总收入19.85亿元、增长5%，种植粮食0.61万亩、产量0.25万吨；发展25个养殖小区，出栏肉猪22.74万头、肉牛1.319万头、肉羊2.504万只、家禽36万羽，农林牧渔业总产值5.225亿元。</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（2）墨红镇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墨红镇位于富源县西南，县内与中安镇、大河镇、竹园镇、营上镇接壤，县外与麒麟区珠街乡、茨营乡、东山镇和沾益县白水镇接壤。全镇国土面积495.5km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辖1个社区、15个村委会、139个村民小组，有1.78万户，6.43万人，其中农业人口6.23万人。全镇有耕地4.29万亩，人均耕地0.7亩，粮食播种面积10.09万亩，粮食产量3.95万吨。全年出栏肉猪17万头、肉羊4万只、肉牛1万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（3）迤黑水库保护区范围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迤黑水库保护区内无农村居民居住，但水库库尾存在吉克水库休闲山庄，处于迤黑水库一级保护区内，休闲山庄规模在50个餐位左右。保护区内涉及耕地面积19.82hm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，其中旱地2.53hm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水田17.29hm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迤黑水库所在自然村社会经济概况如下：</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迤黑村，属于山区，国土面积4.15km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2080.00m，年平均气温15.00℃，适宜种植玉米、烟叶等农作物。有耕地306.00亩，其中人均耕地0.54亩；有林地5000.00亩。全村辖1个村民小组，有农户161户，有乡村人口561人，其中农业人口561人，劳动力332人，其中从事第一产业人数228人。该村2015年农村经济总收入327.30万元，其中：种植业收入70.00万元，畜牧业收入95.00万元（其中，年内出栏肉猪990头，肉牛45头，肉羊145头）；林业收入6.00万元，第二、三产业收入126.00万元，工资性收入18.30万元。农民人均纯收入3427.00元，农民收入以二、三产业等为主。该村全部使用自来水。</w:t>
      </w:r>
    </w:p>
    <w:p>
      <w:pPr>
        <w:pStyle w:val="3"/>
        <w:rPr>
          <w:color w:val="0D0D0D" w:themeColor="text1" w:themeTint="F2"/>
          <w14:textFill>
            <w14:solidFill>
              <w14:schemeClr w14:val="tx1">
                <w14:lumMod w14:val="95000"/>
                <w14:lumOff w14:val="5000"/>
              </w14:schemeClr>
            </w14:solidFill>
          </w14:textFill>
        </w:rPr>
      </w:pPr>
      <w:bookmarkStart w:id="45" w:name="_Toc12621568"/>
      <w:bookmarkStart w:id="46" w:name="_Toc25679051"/>
      <w:bookmarkStart w:id="47" w:name="_Toc27493746"/>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对迤黑水库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保护区内土地利用方式主要为有林地，占保护区面积的78.16%；其次是耕地，占保护区面积的15.79%，主要为水田；水域占保护区面积的5.32%；建设用地面积较小。迤黑水库保护区土地利用现状见表2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迤黑水库保护区土地利用现状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528"/>
        <w:gridCol w:w="1081"/>
        <w:gridCol w:w="1081"/>
        <w:gridCol w:w="1081"/>
        <w:gridCol w:w="1081"/>
        <w:gridCol w:w="108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68" w:type="dxa"/>
            <w:gridSpan w:val="2"/>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482"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迤黑水库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68"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2158"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68"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7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51.66</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83.34</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46.43</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73.10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98.08</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Merge w:val="restart"/>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耕地</w:t>
            </w:r>
          </w:p>
        </w:tc>
        <w:tc>
          <w:tcPr>
            <w:tcW w:w="1528"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2.73</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4.41</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17.08</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26.90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19.82</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528"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0.39</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0.63</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2.14</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3.38</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2.53</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528"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2.35</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3.79</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14.94</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23.52</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17.29</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水域</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6.67</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10.77</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6.67</w:t>
            </w:r>
          </w:p>
        </w:tc>
        <w:tc>
          <w:tcPr>
            <w:tcW w:w="107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建设用地</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0.92</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1.48</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0.92</w:t>
            </w:r>
          </w:p>
        </w:tc>
        <w:tc>
          <w:tcPr>
            <w:tcW w:w="1077"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61.98</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63.51</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125.49</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迤黑水库保护区内土地利用状况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27493747"/>
      <w:bookmarkStart w:id="49" w:name="_Toc1245605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迤黑水库属于珠江流域南盘江水系，根据《云南省地表水环境功能区划（2010-2020年）》，迤黑水库所在水环境功能区划为：黄泥河富源境内段，为工业用水、农业用水、饮用二级，水质类别为III类。</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迤黑水库属于地表水水，现状功能为饮用水，水质功能类别为III类。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迤黑水库饮用水水源地位于曲靖市富源县墨红镇，根据《云南省主体功能区规划》，富源县属于省级重点开发区域。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根据《云南省生态功能区划》，迤黑水库水源地位于富源县墨红镇，所在生态功能分区为：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27493748"/>
      <w:bookmarkStart w:id="52"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迤黑水库水源地基本信息表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迤黑水库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104°14'19"</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25°25'57"</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3" w:name="_Toc12456061"/>
      <w:bookmarkStart w:id="54" w:name="_Toc10729974"/>
      <w:bookmarkStart w:id="55" w:name="_Toc2749374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迤黑水库是块择河上游支流深箐小河上梯级水库的一座小（一）型水库，河源高程2345</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，从源头流经4.19km到达水库坝址，坝址高程2030</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，河道平均坡降30.2‰，径流面积4.86km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，流域平均高程2206</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其上游有上吉克小（二）型水库和吉克小（一）型水库，其下游有青松小（二）型水库和田边小（一）型水库。迤黑水库处于高寒山区，其径流区内植被保持完好，整个流域尚处于原始无扰动状态，水土保持良好。迤黑水库规模为小（一）型水库，按水利部，能源部水规</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〔1990〕</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35号文颁布的标准SDJ12-78规定，本工程为小(1)型水利工程，工程等别为</w:t>
      </w:r>
      <w:r>
        <w:rPr>
          <w:rFonts w:hint="eastAsia" w:ascii="宋体" w:hAnsi="宋体" w:eastAsia="宋体" w:cs="宋体"/>
          <w:color w:val="0D0D0D" w:themeColor="text1" w:themeTint="F2"/>
          <w:sz w:val="28"/>
          <w:szCs w:val="28"/>
          <w:lang w:val="en-IE"/>
          <w14:textFill>
            <w14:solidFill>
              <w14:schemeClr w14:val="tx1">
                <w14:lumMod w14:val="95000"/>
                <w14:lumOff w14:val="5000"/>
              </w14:schemeClr>
            </w14:solidFill>
          </w14:textFill>
        </w:rPr>
        <w:t>Ⅳ</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等，枢纽工程主要建筑物级别为4级，次要建筑物级别为5级，正常运行洪水按30年一遇洪水（P=3.3%）设计，非常运行按300年一遇洪水（P=0.33%）校核。迤黑水库始建于1966年6月，经多年续建到1968年建成，现有坝高35m，坝顶高程2064.5</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，坝顶长度84</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，平均内坝坡比1：2.5，外坝坡比1：2.0，总库容134.59万m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。输水隧洞位于大坝左岸，总长119m，进口高程2040m，进口段32</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为宽1.0m、高1.7</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的半圆圬工拱涵；后段87m宽1.3m、高1.8m的人工开凿无压隧洞。在59m后设闸门井，安装800×800-2500mm平板定轮闸门控制放水，最大放水流量11.35m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/s。溢洪道为开敞式实用堰溢洪道，堰顶高程为2062.0m，与正常蓄水位同高，溢洪道堰顶宽3.2m，水库设计洪水标准为P=3.33%时，设计洪水位为2063.53m，相应库容为129.12万m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下泄流量11.05m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/s；水库校核洪水标准P=0.33%，校核洪水位为2064.06m，相应库容为134.59万m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，最大下泄流量17.20m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总库容134.59万m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110.85万m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，正常蓄水位2062.0m，死水位2037.0m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2063.53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m，校核洪水位为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2064.06</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891"/>
        <w:gridCol w:w="208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891"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208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310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迤黑水库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2063.53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2064.06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w:t>
            </w:r>
            <w:r>
              <w:rPr>
                <w:rFonts w:eastAsia="仿宋"/>
                <w:color w:val="0D0D0D" w:themeColor="text1" w:themeTint="F2"/>
                <w:sz w:val="24"/>
                <w:szCs w:val="24"/>
                <w14:textFill>
                  <w14:solidFill>
                    <w14:schemeClr w14:val="tx1">
                      <w14:lumMod w14:val="95000"/>
                      <w14:lumOff w14:val="5000"/>
                    </w14:schemeClr>
                  </w14:solidFill>
                </w14:textFill>
              </w:rPr>
              <w:t>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2.65</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478742807"/>
      <w:bookmarkStart w:id="57" w:name="_Toc524596427"/>
      <w:bookmarkStart w:id="58" w:name="_Toc12456062"/>
      <w:bookmarkStart w:id="59" w:name="_Toc10729975"/>
      <w:bookmarkStart w:id="60" w:name="_Toc27493750"/>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供</w:t>
      </w:r>
      <w:r>
        <w:rPr>
          <w:color w:val="0D0D0D" w:themeColor="text1" w:themeTint="F2"/>
          <w:sz w:val="28"/>
          <w:szCs w:val="28"/>
          <w14:textFill>
            <w14:solidFill>
              <w14:schemeClr w14:val="tx1">
                <w14:lumMod w14:val="95000"/>
                <w14:lumOff w14:val="5000"/>
              </w14:schemeClr>
            </w14:solidFill>
          </w14:textFill>
        </w:rPr>
        <w:t>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迤黑水库为富源县营上镇自来水厂水源点，年供水量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59.86</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-3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迤黑水库供水情况统计表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迤黑水库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59.86</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493751"/>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监测数据对迤黑水库水环境质量进行评估。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493752"/>
      <w:bookmarkStart w:id="65" w:name="_Toc27063944"/>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水源地现状水质监测点为迤黑水库。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493753"/>
      <w:bookmarkStart w:id="67" w:name="_Toc27063945"/>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值</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9"/>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3289"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3071"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493754"/>
      <w:bookmarkStart w:id="69" w:name="_Toc27063946"/>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）表1中的标准限值，迤黑水库所有监测项目均能满足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597"/>
        <w:gridCol w:w="196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97"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17"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97"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194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16</w:t>
            </w:r>
          </w:p>
        </w:tc>
        <w:tc>
          <w:tcPr>
            <w:tcW w:w="1949" w:type="dxa"/>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8.05</w:t>
            </w:r>
          </w:p>
        </w:tc>
        <w:tc>
          <w:tcPr>
            <w:tcW w:w="1949" w:type="dxa"/>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7.2</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Ⅱ</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1.9</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0.027</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Ⅲ</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0.878</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Ⅲ</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Ⅰ</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317</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2"/>
                <w14:textFill>
                  <w14:solidFill>
                    <w14:schemeClr w14:val="tx1">
                      <w14:lumMod w14:val="95000"/>
                      <w14:lumOff w14:val="5000"/>
                    </w14:schemeClr>
                  </w14:solidFill>
                </w14:textFill>
              </w:rPr>
              <w:t>Ⅱ</w:t>
            </w:r>
            <w:r>
              <w:rPr>
                <w:rFonts w:ascii="Times New Roman" w:hAnsi="Times New Roman" w:cs="Times New Roman"/>
                <w:color w:val="0D0D0D" w:themeColor="text1" w:themeTint="F2"/>
                <w:sz w:val="22"/>
                <w14:textFill>
                  <w14:solidFill>
                    <w14:schemeClr w14:val="tx1">
                      <w14:lumMod w14:val="95000"/>
                      <w14:lumOff w14:val="5000"/>
                    </w14:schemeClr>
                  </w14:solidFill>
                </w14:textFill>
              </w:rPr>
              <w:t>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根据迤黑水库2019年1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迤黑水库2019年常规监测补充项目达标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6"/>
        <w:gridCol w:w="2772"/>
        <w:gridCol w:w="1531"/>
        <w:gridCol w:w="2911"/>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blHeader/>
        </w:trPr>
        <w:tc>
          <w:tcPr>
            <w:tcW w:w="906"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77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531"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4441"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blHeader/>
        </w:trPr>
        <w:tc>
          <w:tcPr>
            <w:tcW w:w="906"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7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531"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91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值（mg/L）</w:t>
            </w:r>
          </w:p>
        </w:tc>
        <w:tc>
          <w:tcPr>
            <w:tcW w:w="1530"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772"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根据迤黑水库常规监测水质功能类别评价结果，结合迤黑水库流域现状主要污染源，选取选取pH、溶解氧、高锰酸盐指数、化学需氧量（COD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项指标进行单因子指数法水质评价。迤黑水库水质按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所有指标单因子评价指数均小于1，即达到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0.878mg/L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评价指数为0.88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37.36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，处于中营养状态，从营养状态评价水库水质良好。迤黑水库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spacing w:line="360" w:lineRule="auto"/>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6"/>
        <w:gridCol w:w="3586"/>
        <w:gridCol w:w="358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5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588"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130</w:t>
            </w:r>
          </w:p>
        </w:tc>
        <w:tc>
          <w:tcPr>
            <w:tcW w:w="3588"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0.878</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5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0.027</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47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5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37.36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062"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58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650"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标准、集中式饮用水地表水源地补充项目标准限值要求。所有指标单因子评价指数均小于1，即达到III类水质标准。总氮的监测值为0.878mg/L，其单因子评价指数为0.88，大于0.8，为主要污染物因子。指标分析如下。</w:t>
      </w:r>
    </w:p>
    <w:p>
      <w:pPr>
        <w:widowControl/>
        <w:adjustRightInd w:val="0"/>
        <w:snapToGrid w:val="0"/>
        <w:spacing w:line="360" w:lineRule="auto"/>
        <w:ind w:firstLine="562"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根据迤黑水库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0.878mg/L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单因子评价指数为0.88，大于0.8，为主要污染物因子。水环境中，总氮主要包括硝酸盐氮、亚硝酸盐氮、氨氮等，其中氨氮主要来源于生活污水、畜禽粪便和水土流失，硝酸盐氮主要来源于种植面源（化肥）和水土流失。</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综上分析，总氮为迤黑水库的主要污染物。</w:t>
      </w:r>
    </w:p>
    <w:p>
      <w:pPr>
        <w:pStyle w:val="3"/>
        <w:rPr>
          <w:color w:val="0D0D0D" w:themeColor="text1" w:themeTint="F2"/>
          <w14:textFill>
            <w14:solidFill>
              <w14:schemeClr w14:val="tx1">
                <w14:lumMod w14:val="95000"/>
                <w14:lumOff w14:val="5000"/>
              </w14:schemeClr>
            </w14:solidFill>
          </w14:textFill>
        </w:rPr>
      </w:pPr>
      <w:bookmarkStart w:id="70" w:name="_Toc27493755"/>
      <w:bookmarkStart w:id="71" w:name="_Toc12456067"/>
      <w:bookmarkStart w:id="72" w:name="_Toc1072998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通过现场踏勘及资料收集，对迤黑水库水源地周边及上游范围内的污染源进行调查，从点源、面源、流动源进行分析。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4" w:name="_Toc18506526"/>
      <w:bookmarkStart w:id="75" w:name="_Toc25679061"/>
      <w:bookmarkStart w:id="76" w:name="_Toc2749375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4"/>
      <w:bookmarkEnd w:id="75"/>
      <w:bookmarkEnd w:id="7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7"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迤黑水库水源地保护区范围内未发现工业企业建设项目存在，无城镇生活污水排放口，也无规模化畜禽养殖场（小区）等点源存在。根据调查，目前迤黑水库一级保护区内存在吉克水库休闲山庄，山庄规模在50个餐位。</w:t>
      </w:r>
    </w:p>
    <w:p>
      <w:pPr>
        <w:widowControl/>
        <w:jc w:val="cente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drawing>
          <wp:inline distT="0" distB="0" distL="0" distR="0">
            <wp:extent cx="5162550" cy="2989580"/>
            <wp:effectExtent l="0" t="0" r="0" b="1270"/>
            <wp:docPr id="4" name="图片 4" descr="C:\Users\Administrator\AppData\Roaming\Tencent\Users\925377262\QQ\WinTemp\RichOle\C]SMSJJ_9(IS81LF02}D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925377262\QQ\WinTemp\RichOle\C]SMSJJ_9(IS81LF02}D10B.png"/>
                    <pic:cNvPicPr>
                      <a:picLocks noChangeAspect="1" noChangeArrowheads="1"/>
                    </pic:cNvPicPr>
                  </pic:nvPicPr>
                  <pic:blipFill>
                    <a:blip r:embed="rId16">
                      <a:extLst>
                        <a:ext uri="{28A0092B-C50C-407E-A947-70E740481C1C}">
                          <a14:useLocalDpi xmlns:a14="http://schemas.microsoft.com/office/drawing/2010/main" val="0"/>
                        </a:ext>
                      </a:extLst>
                    </a:blip>
                    <a:srcRect t="10797"/>
                    <a:stretch>
                      <a:fillRect/>
                    </a:stretch>
                  </pic:blipFill>
                  <pic:spPr>
                    <a:xfrm>
                      <a:off x="0" y="0"/>
                      <a:ext cx="5162550" cy="2990172"/>
                    </a:xfrm>
                    <a:prstGeom prst="rect">
                      <a:avLst/>
                    </a:prstGeom>
                    <a:noFill/>
                    <a:ln>
                      <a:noFill/>
                    </a:ln>
                  </pic:spPr>
                </pic:pic>
              </a:graphicData>
            </a:graphic>
          </wp:inline>
        </w:drawing>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图2.7-1  迤黑水库一级保护区内吉克水库休闲山庄</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采用餐饮业排污系数法核算迤黑水库一级保护区内1个农家乐污水、垃圾及污染物排放量。参考第一次全国污染源普查中云南区域（划分为第五区）的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污染物排放系数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，并根据迤黑水库保护区内农家乐餐位规模、污水处理方式选择排放系数，具体系数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餐饮业</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污水排污系数</w:t>
      </w:r>
    </w:p>
    <w:tbl>
      <w:tblPr>
        <w:tblStyle w:val="44"/>
        <w:tblW w:w="1062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3"/>
        <w:gridCol w:w="1420"/>
        <w:gridCol w:w="1701"/>
        <w:gridCol w:w="1559"/>
        <w:gridCol w:w="1634"/>
        <w:gridCol w:w="1557"/>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193"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42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70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量</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kg/餐位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55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63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55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c>
          <w:tcPr>
            <w:tcW w:w="155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g/餐位</w:t>
            </w:r>
            <w:r>
              <w:rPr>
                <w:rFonts w:ascii="Times New Roman" w:hAnsi="Times New Roman" w:eastAsia="仿宋" w:cs="Times New Roman"/>
                <w:b/>
                <w:color w:val="0D0D0D" w:themeColor="text1" w:themeTint="F2"/>
                <w:kern w:val="0"/>
                <w:sz w:val="13"/>
                <w:szCs w:val="24"/>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19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420"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0.09</w:t>
            </w:r>
          </w:p>
        </w:tc>
        <w:tc>
          <w:tcPr>
            <w:tcW w:w="170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0.46</w:t>
            </w:r>
          </w:p>
        </w:tc>
        <w:tc>
          <w:tcPr>
            <w:tcW w:w="155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144</w:t>
            </w:r>
          </w:p>
        </w:tc>
        <w:tc>
          <w:tcPr>
            <w:tcW w:w="1634"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1.43</w:t>
            </w:r>
          </w:p>
        </w:tc>
        <w:tc>
          <w:tcPr>
            <w:tcW w:w="155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3.04</w:t>
            </w:r>
          </w:p>
        </w:tc>
        <w:tc>
          <w:tcPr>
            <w:tcW w:w="155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0.69</w:t>
            </w:r>
          </w:p>
        </w:tc>
      </w:tr>
    </w:tbl>
    <w:p>
      <w:pPr>
        <w:widowControl/>
        <w:adjustRightInd w:val="0"/>
        <w:snapToGrid w:val="0"/>
        <w:spacing w:line="360" w:lineRule="auto"/>
        <w:ind w:firstLine="480" w:firstLineChars="200"/>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注：餐位数≤100个为小型，餐饮类型为正餐，排放系数选择预处理条件下。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根据保护区范围内1个农家乐餐饮规模及排污系数计算，迤黑水库保护区范围内的农家乐污水、垃圾、化学需氧量、氨氮、总氮、总磷排放量分别为1642.50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8.40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2.628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0.026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、0.055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农家乐</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污水</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、垃圾及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污染物排放量</w:t>
      </w:r>
    </w:p>
    <w:tbl>
      <w:tblPr>
        <w:tblStyle w:val="44"/>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281"/>
        <w:gridCol w:w="932"/>
        <w:gridCol w:w="1104"/>
        <w:gridCol w:w="1104"/>
        <w:gridCol w:w="1104"/>
        <w:gridCol w:w="1104"/>
        <w:gridCol w:w="1104"/>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28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农家乐</w:t>
            </w:r>
          </w:p>
        </w:tc>
        <w:tc>
          <w:tcPr>
            <w:tcW w:w="932"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餐位</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个</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4"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0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5"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128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吉克水库休闲山庄</w:t>
            </w:r>
          </w:p>
        </w:tc>
        <w:tc>
          <w:tcPr>
            <w:tcW w:w="932"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50</w:t>
            </w:r>
          </w:p>
        </w:tc>
        <w:tc>
          <w:tcPr>
            <w:tcW w:w="1104"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1642.50</w:t>
            </w:r>
          </w:p>
        </w:tc>
        <w:tc>
          <w:tcPr>
            <w:tcW w:w="1104"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8.40</w:t>
            </w:r>
          </w:p>
        </w:tc>
        <w:tc>
          <w:tcPr>
            <w:tcW w:w="1104"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2.628</w:t>
            </w:r>
          </w:p>
        </w:tc>
        <w:tc>
          <w:tcPr>
            <w:tcW w:w="1104"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0.026</w:t>
            </w:r>
          </w:p>
        </w:tc>
        <w:tc>
          <w:tcPr>
            <w:tcW w:w="1104"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0.055</w:t>
            </w:r>
          </w:p>
        </w:tc>
        <w:tc>
          <w:tcPr>
            <w:tcW w:w="1100"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0.013</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8" w:name="_Toc27493757"/>
      <w:bookmarkStart w:id="79" w:name="_Toc25679062"/>
      <w:bookmarkStart w:id="80" w:name="_Toc18506527"/>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78"/>
      <w:bookmarkEnd w:id="79"/>
      <w:bookmarkEnd w:id="8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1"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根据调查可知，迤黑水库水源地保护区范围内主要为面源污染，由农田种植、水土流失等污染组成。</w:t>
      </w:r>
    </w:p>
    <w:bookmarkEnd w:id="81"/>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19.82hm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2.53hm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17.29hm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。耕地种植施用大量的化肥农药，污染物流失对水源地造成污染。迤黑水库保护区范围内耕地面积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范围内耕地面积</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2567"/>
        <w:gridCol w:w="2565"/>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保护区</w:t>
            </w:r>
          </w:p>
        </w:tc>
        <w:tc>
          <w:tcPr>
            <w:tcW w:w="2567"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565"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水田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559"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2567"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0.39</w:t>
            </w:r>
          </w:p>
        </w:tc>
        <w:tc>
          <w:tcPr>
            <w:tcW w:w="2565"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2.35</w:t>
            </w:r>
          </w:p>
        </w:tc>
        <w:tc>
          <w:tcPr>
            <w:tcW w:w="2559"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2567"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2.14</w:t>
            </w:r>
          </w:p>
        </w:tc>
        <w:tc>
          <w:tcPr>
            <w:tcW w:w="2565"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14.94</w:t>
            </w:r>
          </w:p>
        </w:tc>
        <w:tc>
          <w:tcPr>
            <w:tcW w:w="2559"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2567"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2.53</w:t>
            </w:r>
          </w:p>
        </w:tc>
        <w:tc>
          <w:tcPr>
            <w:tcW w:w="2565"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17.29</w:t>
            </w:r>
          </w:p>
        </w:tc>
        <w:tc>
          <w:tcPr>
            <w:tcW w:w="2559" w:type="dxa"/>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19.82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946"/>
        <w:gridCol w:w="1947"/>
        <w:gridCol w:w="1947"/>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8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94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94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94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92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9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946"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0.051</w:t>
            </w:r>
          </w:p>
        </w:tc>
        <w:tc>
          <w:tcPr>
            <w:tcW w:w="19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9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946"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0.295</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0.321</w:t>
            </w:r>
          </w:p>
        </w:tc>
        <w:tc>
          <w:tcPr>
            <w:tcW w:w="19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9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946"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0.342</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0.054</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0.373</w:t>
            </w:r>
          </w:p>
        </w:tc>
        <w:tc>
          <w:tcPr>
            <w:tcW w:w="19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0.033</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.7-5。</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2"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2"/>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迤黑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.7-6。</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（2）迤黑水库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3"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125.49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29.96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23.87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95.53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76.13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81.63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85.45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12.74h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13.34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1.16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1.21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无极强烈侵蚀</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709.27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890.07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迤黑水库保护区范围内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1276"/>
        <w:gridCol w:w="1843"/>
        <w:gridCol w:w="1558"/>
        <w:gridCol w:w="156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864"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迤黑水库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56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7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61.29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63.51</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12.42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17.54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27.62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12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49.56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45.97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12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79.96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73.38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39.83</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41.80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80.37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90.93</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19.36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6.85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749.47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670.03</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709.27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464.52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425.55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890.07</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迤黑水库保护区内水土流失现状，对保护区范围内的土壤氮磷含量进行综合分析，流失土壤中总氮含量取1.32g/kg，总磷含量取19.30mg/kg，化学需氧量含量取2.13%，按照20%的淋溶率计算水土流失污染物入库量。迤黑水库保护区范围内水土流失污染物入库量，如下表2.7-8。</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迤黑水库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749.47</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464.52</w:t>
            </w:r>
          </w:p>
        </w:tc>
        <w:tc>
          <w:tcPr>
            <w:tcW w:w="1343" w:type="dxa"/>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1.979</w:t>
            </w:r>
          </w:p>
        </w:tc>
        <w:tc>
          <w:tcPr>
            <w:tcW w:w="1343" w:type="dxa"/>
            <w:shd w:val="clear" w:color="auto" w:fill="auto"/>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0.123</w:t>
            </w:r>
          </w:p>
        </w:tc>
        <w:tc>
          <w:tcPr>
            <w:tcW w:w="1208" w:type="dxa"/>
            <w:shd w:val="clear" w:color="auto" w:fill="auto"/>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670.03</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425.55</w:t>
            </w:r>
          </w:p>
        </w:tc>
        <w:tc>
          <w:tcPr>
            <w:tcW w:w="1343" w:type="dxa"/>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1.813</w:t>
            </w:r>
          </w:p>
        </w:tc>
        <w:tc>
          <w:tcPr>
            <w:tcW w:w="1343" w:type="dxa"/>
            <w:shd w:val="clear" w:color="auto" w:fill="auto"/>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0.112</w:t>
            </w:r>
          </w:p>
        </w:tc>
        <w:tc>
          <w:tcPr>
            <w:tcW w:w="1208" w:type="dxa"/>
            <w:shd w:val="clear" w:color="auto" w:fill="auto"/>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709.27</w:t>
            </w:r>
          </w:p>
        </w:tc>
        <w:tc>
          <w:tcPr>
            <w:tcW w:w="1922" w:type="dxa"/>
            <w:shd w:val="clear" w:color="auto" w:fill="auto"/>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890.07</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3.792</w:t>
            </w:r>
          </w:p>
        </w:tc>
        <w:tc>
          <w:tcPr>
            <w:tcW w:w="1343" w:type="dxa"/>
            <w:shd w:val="clear" w:color="auto" w:fill="auto"/>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0.235</w:t>
            </w:r>
          </w:p>
        </w:tc>
        <w:tc>
          <w:tcPr>
            <w:tcW w:w="1208" w:type="dxa"/>
            <w:shd w:val="clear" w:color="auto" w:fill="auto"/>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4" w:name="_Toc18506528"/>
      <w:bookmarkStart w:id="85" w:name="_Toc27493758"/>
      <w:bookmarkStart w:id="86"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4"/>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5"/>
      <w:bookmarkEnd w:id="8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乡道Y204及其它道路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。其中，一级保护内乡村道路主要在水库坝址边界，路段长约0.097km；二级保护区内乡道Y204路段长约1.307km，连接迤黑水库上游的吉克水库，道路主要经过林地。</w:t>
      </w:r>
    </w:p>
    <w:bookmarkEnd w:id="77"/>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7" w:name="_Toc18506529"/>
      <w:bookmarkStart w:id="88" w:name="_Toc27493759"/>
      <w:bookmarkStart w:id="89" w:name="_Toc25679064"/>
      <w:bookmarkStart w:id="90"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87"/>
      <w:bookmarkEnd w:id="88"/>
      <w:bookmarkEnd w:id="8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，迤黑水库各级保护区内各类污染源情况见表2.7-9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类型污染源分析，迤黑水库存在点源和面源，其中化学需氧量、氨氮、总氮、总磷主要污染源均为面源，贡献率分别为61.14%、67.54%、91.63%、74.13%；各污染物点源的贡献率在8.37%~38.86%。迤黑水库保护区内主要污染源类型为面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从各级保护区分析，二级保护区内氨氮、总氮、总磷排放量占比较大，贡献率分别为58.28%、65.43%、61.21%；一级保护区内化学需氧量排放量占比较大，贡献率为68.83%。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从各污染源分析，在一级保护区主要为点源、农业种植和水土流失污染，化学需氧量主要污染源是点源、水土流失，贡献率分别达到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56.46%、42.52%；氨氮主要污染源是点源，贡献率为77.82%；总氮主要污染源是水土流失、点源，贡献率分别达到53.50%、24.20%；总磷主要污染源是点源、农业种植，贡献率分别达到66.69%/23.81%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主要为农业种植、水土流失，化学需氧量主要污染源是水土流失，贡献率为86.01%；氨氮主要污染源是农业种植，贡献率为100%；总氮主要污染源是农业种植、水土流失，贡献率分别达到74.10%、25.90%；总磷主要污染源是农业种植，贡献率为94.49%。</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综上分析，迤黑水库保护区范围内水污染防治重点为点源、农业种植及水土流失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迤黑水库保护区范围内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851"/>
        <w:gridCol w:w="1656"/>
        <w:gridCol w:w="1498"/>
        <w:gridCol w:w="1658"/>
        <w:gridCol w:w="1299"/>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1416"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85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类型</w:t>
            </w:r>
          </w:p>
        </w:tc>
        <w:tc>
          <w:tcPr>
            <w:tcW w:w="1656"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49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6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299"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272"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restart"/>
            <w:shd w:val="clear" w:color="auto" w:fill="auto"/>
            <w:noWrap/>
            <w:vAlign w:val="center"/>
          </w:tcPr>
          <w:p>
            <w:pPr>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851" w:type="dxa"/>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点源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农家乐</w:t>
            </w:r>
          </w:p>
        </w:tc>
        <w:tc>
          <w:tcPr>
            <w:tcW w:w="149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2.628</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0.026</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0.055</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restart"/>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面源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9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0.051</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9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1.979</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0.123</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2507" w:type="dxa"/>
            <w:gridSpan w:val="2"/>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9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4.654</w:t>
            </w:r>
          </w:p>
        </w:tc>
        <w:tc>
          <w:tcPr>
            <w:tcW w:w="16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0.034</w:t>
            </w:r>
          </w:p>
        </w:tc>
        <w:tc>
          <w:tcPr>
            <w:tcW w:w="1299"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0.229</w:t>
            </w:r>
          </w:p>
        </w:tc>
        <w:tc>
          <w:tcPr>
            <w:tcW w:w="127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851" w:type="dxa"/>
            <w:vMerge w:val="restart"/>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面源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9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0.295</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0.321</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9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1.813</w:t>
            </w:r>
          </w:p>
        </w:tc>
        <w:tc>
          <w:tcPr>
            <w:tcW w:w="165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299"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0.112</w:t>
            </w:r>
          </w:p>
        </w:tc>
        <w:tc>
          <w:tcPr>
            <w:tcW w:w="1272"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9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2.108</w:t>
            </w:r>
          </w:p>
        </w:tc>
        <w:tc>
          <w:tcPr>
            <w:tcW w:w="16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0.047</w:t>
            </w:r>
          </w:p>
        </w:tc>
        <w:tc>
          <w:tcPr>
            <w:tcW w:w="1299"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0.434</w:t>
            </w:r>
          </w:p>
        </w:tc>
        <w:tc>
          <w:tcPr>
            <w:tcW w:w="127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restart"/>
            <w:shd w:val="clear" w:color="auto" w:fill="auto"/>
            <w:noWrap/>
            <w:vAlign w:val="center"/>
          </w:tcPr>
          <w:p>
            <w:pPr>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851" w:type="dxa"/>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点源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农家乐</w:t>
            </w:r>
          </w:p>
        </w:tc>
        <w:tc>
          <w:tcPr>
            <w:tcW w:w="149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2.628</w:t>
            </w:r>
          </w:p>
        </w:tc>
        <w:tc>
          <w:tcPr>
            <w:tcW w:w="165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0.026</w:t>
            </w:r>
          </w:p>
        </w:tc>
        <w:tc>
          <w:tcPr>
            <w:tcW w:w="1299"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0.055</w:t>
            </w:r>
          </w:p>
        </w:tc>
        <w:tc>
          <w:tcPr>
            <w:tcW w:w="1272"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restart"/>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面源</w:t>
            </w: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9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0.342</w:t>
            </w:r>
          </w:p>
        </w:tc>
        <w:tc>
          <w:tcPr>
            <w:tcW w:w="1658"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0.054</w:t>
            </w:r>
          </w:p>
        </w:tc>
        <w:tc>
          <w:tcPr>
            <w:tcW w:w="1299"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0.373</w:t>
            </w:r>
          </w:p>
        </w:tc>
        <w:tc>
          <w:tcPr>
            <w:tcW w:w="1272"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656"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98"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3.792</w:t>
            </w:r>
          </w:p>
        </w:tc>
        <w:tc>
          <w:tcPr>
            <w:tcW w:w="165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299"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0.235</w:t>
            </w:r>
          </w:p>
        </w:tc>
        <w:tc>
          <w:tcPr>
            <w:tcW w:w="1272"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6"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2507" w:type="dxa"/>
            <w:gridSpan w:val="2"/>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9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6.762</w:t>
            </w:r>
          </w:p>
        </w:tc>
        <w:tc>
          <w:tcPr>
            <w:tcW w:w="16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0.080</w:t>
            </w:r>
          </w:p>
        </w:tc>
        <w:tc>
          <w:tcPr>
            <w:tcW w:w="1299"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0.663</w:t>
            </w:r>
          </w:p>
        </w:tc>
        <w:tc>
          <w:tcPr>
            <w:tcW w:w="127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0.049</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drawing>
          <wp:inline distT="0" distB="0" distL="0" distR="0">
            <wp:extent cx="4310380" cy="26993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10847" cy="2700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迤黑水库保护区内不同类型污染源污染物贡献率分布图</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50385" cy="26993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51013" cy="2700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迤黑水库各级保护区污染物贡献率分布图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99280" cy="2735580"/>
            <wp:effectExtent l="0" t="0" r="127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399784"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99280" cy="2735580"/>
            <wp:effectExtent l="0" t="0" r="127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99784"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99280" cy="2735580"/>
            <wp:effectExtent l="0" t="0" r="12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99784" cy="2736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迤黑水库各级保护区内各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1" w:name="_Toc25679065"/>
      <w:bookmarkStart w:id="92" w:name="_Toc2749376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91"/>
      <w:bookmarkEnd w:id="92"/>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迤黑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迤黑水库饮用水水源地环境风险评价结果</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80"/>
        <w:gridCol w:w="2253"/>
        <w:gridCol w:w="1316"/>
        <w:gridCol w:w="1193"/>
        <w:gridCol w:w="1436"/>
        <w:gridCol w:w="1199"/>
        <w:gridCol w:w="10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180"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2253"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509"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635"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073"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180"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1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193"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199"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073"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L&lt;r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193"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1073"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（4.41%）</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20%~30%</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（26.90%）</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根据《集中式饮用水水源环境保护指南（试行）》计算，迤黑水库饮用水水源地固定源环境风险低，</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根据现场调查了解，迤黑水库一级保护区内存在1个农家乐，农家乐餐位规模均在50位，农家乐运营期间产生的餐饮污水及垃圾对迤黑水库存在一定程度的污染。</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乡道Y204及其它道路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。其中，一级保护内乡村道路主要在水库坝址边界，路段长约0.097km；二级保护区内乡道Y204路段长约1.307km，连接迤黑水库上游的吉克水库，道路主要经过林地。</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迤黑水库保护区范围内流动源总分值为16，</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根据调查，迤黑水库保护区范围内现状非点源主要有农村生活、农业种植、畜禽养殖及水土流失面源污染等，具体源强详见2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迤黑水库保护区范围内耕地面积占比为15.79%，一级保护区、二级保护区均有分布。根据非点源风险值计算，非点源风险值为15，</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迤黑水库保护区范围内还存在水土流失污染。通过识别环境风险因素，应重点对非点源风险采取应急措施，加快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3" w:name="_Toc27493761"/>
      <w:bookmarkStart w:id="94" w:name="_Toc25679066"/>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93"/>
      <w:bookmarkEnd w:id="94"/>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5" w:name="_Toc12621595"/>
      <w:bookmarkStart w:id="96" w:name="_Toc27493762"/>
      <w:bookmarkStart w:id="97" w:name="_Toc2567906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5"/>
      <w:bookmarkEnd w:id="96"/>
      <w:bookmarkEnd w:id="9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迤黑水库主管部门为富源县水利水电工程管理站，管理单位为营上镇水务所。</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迤黑水库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8" w:name="_Toc12621596"/>
      <w:bookmarkStart w:id="99" w:name="_Toc25679068"/>
      <w:bookmarkStart w:id="100" w:name="_Toc27493763"/>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9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99"/>
      <w:bookmarkEnd w:id="100"/>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1"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1"/>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（1）点源污染问题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有1个农家乐，分布在水库库尾，处于一级保护区。农家乐在运营期间产生的餐饮污水及垃圾未及时有效处理，对水库水质造成污染。</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（2）面源污染问题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02" w:name="_Hlk20349201"/>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无农村居民居住及畜禽养殖，但存在农业种植、</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水土流失面源污染。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bookmarkStart w:id="103"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耕地面积占水库保护区面积的15.79%，</w:t>
      </w:r>
      <w:bookmarkEnd w:id="10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76.13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中度及以上侵蚀面积占水土流失面积的14.55%，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2"/>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4"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）保护区分级划界问题</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根据水环境风险源分析，迤黑水库流动源及非点源环境风险较大，但迤黑水库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（6）存在煤矿采矿权问题</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在迤黑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水库上游径流区范围内、保护区范围外存在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煤矿矿权，煤矿矿权与径流区重叠面积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3.76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，重叠面积较小，且位于采矿区边缘，重叠区域不进行实际开采作业。</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经富源县人民政府会同相关单位和部门协商确定，鉴于</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现无可替代水源，</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煤矿也未</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在径流区内进行实际开采作业，迤黑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边界</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吉克煤矿采矿权范围边界线</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划定，保护区范围不与采矿权重叠。但是考虑到部分采矿权与</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水库径流区重叠，应加强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煤矿与</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水库径流区重叠区域监管，该区域地表参照水源保护区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保护区管理，禁止设置煤矿工业场站，禁止向</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水库径流区排放废水，并加强地表塌陷监测。</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drawing>
          <wp:inline distT="0" distB="0" distL="0" distR="0">
            <wp:extent cx="5648325" cy="5991225"/>
            <wp:effectExtent l="0" t="0" r="9525" b="9525"/>
            <wp:docPr id="10" name="图片 10" descr="D:\Documents\Tencent Files\925377262\FileRecv\迤黑水库矿权重叠示意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ocuments\Tencent Files\925377262\FileRecv\迤黑水库矿权重叠示意图(1).jpg"/>
                    <pic:cNvPicPr>
                      <a:picLocks noChangeAspect="1" noChangeArrowheads="1"/>
                    </pic:cNvPicPr>
                  </pic:nvPicPr>
                  <pic:blipFill>
                    <a:blip r:embed="rId22" cstate="print">
                      <a:extLst>
                        <a:ext uri="{28A0092B-C50C-407E-A947-70E740481C1C}">
                          <a14:useLocalDpi xmlns:a14="http://schemas.microsoft.com/office/drawing/2010/main" val="0"/>
                        </a:ext>
                      </a:extLst>
                    </a:blip>
                    <a:srcRect l="2862" t="8993" r="2862" b="20304"/>
                    <a:stretch>
                      <a:fillRect/>
                    </a:stretch>
                  </pic:blipFill>
                  <pic:spPr>
                    <a:xfrm>
                      <a:off x="0" y="0"/>
                      <a:ext cx="5647726" cy="599059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2.9</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迤黑水库保护区范围与吉克煤矿采矿权范围重叠示意图</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bookmarkEnd w:id="104"/>
    <w:p>
      <w:pPr>
        <w:adjustRightInd w:val="0"/>
        <w:snapToGrid w:val="0"/>
        <w:spacing w:line="360" w:lineRule="auto"/>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bookmarkStart w:id="105" w:name="_Toc10723878"/>
      <w:bookmarkStart w:id="106" w:name="_Toc326180110"/>
      <w:bookmarkStart w:id="107" w:name="_Toc12456077"/>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08" w:name="_Toc20409149"/>
      <w:bookmarkStart w:id="109" w:name="_Toc27493764"/>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08"/>
      <w:bookmarkEnd w:id="109"/>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0" w:name="_Toc10723880"/>
      <w:bookmarkStart w:id="111" w:name="_Toc12621586"/>
      <w:bookmarkStart w:id="112" w:name="_Toc20409150"/>
      <w:bookmarkStart w:id="113" w:name="_Toc27493765"/>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0"/>
      <w:bookmarkEnd w:id="111"/>
      <w:bookmarkEnd w:id="112"/>
      <w:bookmarkEnd w:id="113"/>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迤黑水库水源地的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4" w:name="_Toc530362551"/>
      <w:bookmarkStart w:id="115" w:name="_Toc20409151"/>
      <w:bookmarkStart w:id="116" w:name="_Toc2749376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4"/>
      <w:bookmarkEnd w:id="115"/>
      <w:bookmarkEnd w:id="116"/>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7" w:name="_Toc530362552"/>
      <w:bookmarkStart w:id="118" w:name="_Toc20409152"/>
      <w:bookmarkStart w:id="119" w:name="_Toc27493767"/>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7"/>
      <w:bookmarkEnd w:id="118"/>
      <w:bookmarkEnd w:id="119"/>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0" w:name="_Toc10723885"/>
      <w:bookmarkStart w:id="121" w:name="_Toc12621589"/>
      <w:bookmarkStart w:id="122" w:name="_Toc20409153"/>
      <w:bookmarkStart w:id="123" w:name="_Toc27493768"/>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1"/>
      <w:bookmarkEnd w:id="122"/>
      <w:bookmarkEnd w:id="123"/>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4" w:name="_Toc20409154"/>
      <w:bookmarkStart w:id="125" w:name="_Toc27493769"/>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4"/>
      <w:bookmarkEnd w:id="125"/>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迤黑</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2062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134.59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迤黑</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2062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0.0667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正常蓄水位外延200m范围，面积为0.5531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0.6198</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6" w:name="_Toc20409155"/>
      <w:bookmarkStart w:id="127" w:name="_Toc27493770"/>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6"/>
      <w:bookmarkEnd w:id="12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迤黑</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迤黑水库流域范围内除一级保护区的其他区域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0.6351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0.6351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5469"/>
        <w:gridCol w:w="2086"/>
        <w:gridCol w:w="11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5469"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086"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183"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6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08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迤黑</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2062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8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0.0667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6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08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迤黑</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w:t>
            </w:r>
          </w:p>
        </w:tc>
        <w:tc>
          <w:tcPr>
            <w:tcW w:w="118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0.5531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6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8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0.6198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6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08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迤黑</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8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6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08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18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0.6351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6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8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0.6351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6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83"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1.2549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650"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8" w:name="_Toc20409156"/>
      <w:bookmarkStart w:id="129" w:name="_Toc12621593"/>
      <w:bookmarkStart w:id="130" w:name="_Toc27493771"/>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28"/>
      <w:bookmarkEnd w:id="12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30"/>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1" w:name="_Toc27493772"/>
      <w:bookmarkStart w:id="132" w:name="_Toc25844364"/>
      <w:bookmarkStart w:id="133" w:name="_Toc12621597"/>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1"/>
      <w:bookmarkEnd w:id="132"/>
      <w:bookmarkEnd w:id="133"/>
    </w:p>
    <w:p>
      <w:pPr>
        <w:pStyle w:val="3"/>
        <w:rPr>
          <w:color w:val="0D0D0D" w:themeColor="text1" w:themeTint="F2"/>
          <w14:textFill>
            <w14:solidFill>
              <w14:schemeClr w14:val="tx1">
                <w14:lumMod w14:val="95000"/>
                <w14:lumOff w14:val="5000"/>
              </w14:schemeClr>
            </w14:solidFill>
          </w14:textFill>
        </w:rPr>
      </w:pPr>
      <w:bookmarkStart w:id="134" w:name="_Toc27493773"/>
      <w:bookmarkStart w:id="135" w:name="_Toc25844365"/>
      <w:bookmarkStart w:id="136" w:name="_Toc12621598"/>
      <w:bookmarkStart w:id="137"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4"/>
      <w:bookmarkEnd w:id="135"/>
      <w:bookmarkEnd w:id="13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），结合迤黑水库水源保护区规范化建设及管理现状、存在问题分析，针对迤黑水库水源地保护区提出规范化建设项目。</w:t>
      </w:r>
      <w:bookmarkStart w:id="138" w:name="_Toc524596456"/>
    </w:p>
    <w:bookmarkEnd w:id="138"/>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9" w:name="_Toc17982536"/>
      <w:bookmarkStart w:id="140" w:name="_Toc25844366"/>
      <w:bookmarkStart w:id="141" w:name="_Toc27493774"/>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9"/>
      <w:bookmarkEnd w:id="140"/>
      <w:bookmarkEnd w:id="141"/>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2" w:name="_Toc452322606"/>
      <w:bookmarkStart w:id="143"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2"/>
      <w:bookmarkEnd w:id="14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迤黑水库一级保护区陆域边界长3366m，根据水库周边林地分布及道路情况，主要沿水库北侧坝址及东侧耕地人为活动频繁的区域设置围网，需设围网的边界长约605m。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迤黑水库一级保护区陆域边界长约3366m，陆域边界主要经过林地，隔离防护围网已沿水库坝址及耕地处人类活动的区域设置，因此在一级保护区其它陆域边界设置界桩，以明确一级保护区范围。界桩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。经测算，迤黑水库一级保护区边界长3366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，共设拐点10个，需投资0.50万元。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迤黑水库二级保护区陆域边界长约2842m，在二级保护区边界设置界桩，以明确二级保护区范围。界桩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。经测算，迤黑水库二级保护区边界长2842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，共设拐点8个，需投资0.40万元。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在进出迤黑水库保护区的道路沿线设置交通警示牌，共计5块；同时，为加强宣传保护，在保护区内大坝处进出道路口设置水源保护宣传牌，共计2块。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设置1块水库大坝告示碑，钢筋混凝土，200cm×50cm×250cm，估价2万元/座。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538"/>
        <w:gridCol w:w="1334"/>
        <w:gridCol w:w="1399"/>
        <w:gridCol w:w="182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blHeader/>
        </w:trPr>
        <w:tc>
          <w:tcPr>
            <w:tcW w:w="1221"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538"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334"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c>
          <w:tcPr>
            <w:tcW w:w="1399"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822"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3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迤黑水库</w:t>
            </w: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3366</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605m</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级保护区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3366</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2842</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大坝告示牌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7093"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18.50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4" w:name="_Toc21795771"/>
      <w:bookmarkStart w:id="145" w:name="_Toc25844367"/>
      <w:bookmarkStart w:id="146" w:name="_Toc27493775"/>
      <w:bookmarkStart w:id="147" w:name="_Toc17982538"/>
      <w:bookmarkStart w:id="148" w:name="_Toc524596461"/>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4"/>
      <w:bookmarkEnd w:id="145"/>
      <w:bookmarkEnd w:id="146"/>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9" w:name="_Toc524596458"/>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迤黑水库保护区划分结果，一级保护区内无居民居住、畜禽养殖，但存在少量耕地及农家乐；二级保护区内也无居民居住、畜禽养殖，但有大片耕地。因此主要对保护区内耕地种植面源及农家乐点源污染实施控制工程；并加强保护区内道路交通污染和风险防控。</w:t>
      </w:r>
    </w:p>
    <w:bookmarkEnd w:id="149"/>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0"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现状有耕地约41.02亩（2.73hm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约6.56万元。</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2）点源污染控制工程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一级保护区内有1个农家乐。根据《关于答复全国集中式饮用水水源地环境保护专项行动有关问题的函》（环办环监函〔2018〕767号）中的要求“饮用水水源保护区内农家乐、宾馆酒店、餐饮娱乐等项目应拆除或关闭”，迤黑水库一级保护区内的吉克水库休闲山庄应及时关闭、拆除，并进行植被恢复。</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。根据统计分析，迤黑水库二级保护区2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约2.28亩（0.15hm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486"/>
        <w:gridCol w:w="1673"/>
        <w:gridCol w:w="1448"/>
        <w:gridCol w:w="1285"/>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121"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4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80"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0.39</w:t>
            </w:r>
          </w:p>
        </w:tc>
        <w:tc>
          <w:tcPr>
            <w:tcW w:w="167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4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2.28</w:t>
            </w:r>
          </w:p>
        </w:tc>
        <w:tc>
          <w:tcPr>
            <w:tcW w:w="128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9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0.36</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。根据二级保护区农田的实际情况，当地测土配方施肥技术推广和示范费用补助1500元/hm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迤黑水库二级保护区对近期保留的旱地进行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16.93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（不含退耕还林0.15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2.54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602"/>
        <w:gridCol w:w="3125"/>
        <w:gridCol w:w="1600"/>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602"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2.14</w:t>
            </w:r>
          </w:p>
        </w:tc>
        <w:tc>
          <w:tcPr>
            <w:tcW w:w="312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1.99</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602"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14.94</w:t>
            </w:r>
          </w:p>
        </w:tc>
        <w:tc>
          <w:tcPr>
            <w:tcW w:w="3125"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14.94</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602"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17.08</w:t>
            </w:r>
          </w:p>
        </w:tc>
        <w:tc>
          <w:tcPr>
            <w:tcW w:w="3125"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16.93</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2.54</w:t>
            </w:r>
          </w:p>
        </w:tc>
      </w:tr>
    </w:tbl>
    <w:p>
      <w:pPr>
        <w:adjustRightInd w:val="0"/>
        <w:snapToGrid w:val="0"/>
        <w:spacing w:before="156" w:beforeLines="50" w:line="360" w:lineRule="auto"/>
        <w:ind w:firstLine="562"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（3）交通污染和风险控制</w:t>
      </w:r>
      <w:bookmarkEnd w:id="150"/>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乡道Y204及其它道路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。其中，一级保护内乡村道路主要在水库坝址边界，路段长约0.097km；二级保护区内乡道Y204路段长约1.307km，连接迤黑水库上游的吉克水库，道路主要经过林地。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为防止和杜绝保护区沿岸道路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车辆通过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带来的污染和运输事故带来的污染隐患，</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在进入保护区路段设置饮用水源保护区交通安全标志，</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，规划</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2.50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；同时，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需设置一级保护区路段截排水沟，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290"/>
        <w:gridCol w:w="1233"/>
        <w:gridCol w:w="1822"/>
        <w:gridCol w:w="1363"/>
        <w:gridCol w:w="123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779"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290" w:type="dxa"/>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23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82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36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23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93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79"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乡村道路</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0.097</w:t>
            </w:r>
          </w:p>
        </w:tc>
        <w:tc>
          <w:tcPr>
            <w:tcW w:w="182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363"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0.097km</w:t>
            </w:r>
          </w:p>
        </w:tc>
        <w:tc>
          <w:tcPr>
            <w:tcW w:w="1233"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93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79" w:type="dxa"/>
            <w:shd w:val="clear" w:color="000000" w:fill="FFFFFF"/>
            <w:noWrap/>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乡道Y204</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1.307</w:t>
            </w:r>
          </w:p>
        </w:tc>
        <w:tc>
          <w:tcPr>
            <w:tcW w:w="182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63"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1.307km</w:t>
            </w:r>
          </w:p>
        </w:tc>
        <w:tc>
          <w:tcPr>
            <w:tcW w:w="1233"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3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13.07</w:t>
            </w:r>
          </w:p>
        </w:tc>
      </w:tr>
    </w:tbl>
    <w:p>
      <w:pPr>
        <w:adjustRightInd w:val="0"/>
        <w:snapToGrid w:val="0"/>
        <w:spacing w:before="156" w:beforeLines="50"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51" w:name="_Toc27493776"/>
      <w:bookmarkStart w:id="152" w:name="_Toc25844368"/>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）煤矿采矿权风险防控工程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迤黑水库饮用水水源保护区内未涉及吉克煤矿采矿权，但吉克煤矿部分采矿权与迤黑水库径流区重叠，为确保水库水量和水质安全，防范环境污染风险，应加强对重叠区域的监管，</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该区域地表参照水源保护区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保护区管理，禁止设置煤矿工业场站，禁止向</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水库径流区排放废水，并加强地表塌陷监测。</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7"/>
      <w:bookmarkEnd w:id="148"/>
      <w:bookmarkEnd w:id="151"/>
      <w:bookmarkEnd w:id="152"/>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针对迤黑水库，主要实施人工造林及水土流失治理工程。</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对迤黑水库一级保护区内全部退耕地41.02亩，二级保护区25°以上坡耕地2.28亩退耕地实施人工造林。投资以0.15万元/亩计。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486"/>
        <w:gridCol w:w="1673"/>
        <w:gridCol w:w="1604"/>
        <w:gridCol w:w="144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1779"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277"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1779"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04"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2.73</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2.73</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41.02</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17.08</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0.15</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2.28</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48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19.82</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2.89</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43.30</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6.49</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迤黑水库对一级保护区内流失面积9.73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、二级保护区内流失面积4.02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6.87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28"/>
        <w:gridCol w:w="1981"/>
        <w:gridCol w:w="1785"/>
        <w:gridCol w:w="1276"/>
        <w:gridCol w:w="28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49.56</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9.73</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4.86</w:t>
            </w:r>
          </w:p>
        </w:tc>
        <w:tc>
          <w:tcPr>
            <w:tcW w:w="2880"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45.97</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4.02</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2.01</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95.53</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13.75</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6.87</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3" w:name="_Toc27493777"/>
      <w:bookmarkStart w:id="154" w:name="_Toc25844369"/>
      <w:bookmarkStart w:id="155" w:name="_Toc17982539"/>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3"/>
      <w:bookmarkEnd w:id="154"/>
      <w:bookmarkEnd w:id="155"/>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需加强水源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2503"/>
        <w:gridCol w:w="2171"/>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92"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2171"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387"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迤黑水库环境应急能力建设主要包括确定应急类型及应急级别、建立监测与预警平台、制定应急预案、组建应急管理机构、配备应急物资。</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开展水源保护区环境监管，定期巡查水库保护区，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严禁畜禽放牧、垂钓等可能污染水源的活动，并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包括保护区范围划定工程、保护区整治工程、生态恢复与建设工程、管理能力建设工程等四大类，共11项具体工程内容。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110.38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迤黑水库饮用水水源保护区规范化建设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35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549"/>
        <w:gridCol w:w="7796"/>
        <w:gridCol w:w="1417"/>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54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779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41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592"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迤黑水库一级保护区内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设立围网，一级保护区陆域边界按拐点设置界桩10个、二级保护区边界设置界桩8个，保护区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块，进出道路口设置水源保护区宣传牌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块，大坝告示牌1块。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18.50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41.02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6.93</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对二级保护区内旱地、水田进行测土配方施肥技术，有效降低保护区耕地化肥施用量，实施总面积约旱地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1.99</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14.94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2.54</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完善一级保护区内0.097km道路、二级保护区内1.307km乡道截排水沟。</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14.04</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点源污染控制工程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一级保护区内1个农家乐关闭、拆除，并进行植被恢复。</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煤矿采矿权风险防控工程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加强对吉克煤矿部分采矿权与迤黑水库径流区重叠区域的监管，该区域地表参照水源保护区一级保护区管理，禁止设置煤矿工业场站，禁止向迤黑水库径流区排放废水，并加强地表塌陷监测。</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县自然资源局、县煤炭局、县水务局、县生态环境局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对迤黑水库一级保护区内全部耕地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41.02亩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亩退耕地实施人工造林。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6.49</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对水源地保护区水土流失面积进行综合治理，同时开展水土流失监测。迤黑水库一级保护区水土流失治理面积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9.73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4.02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6.87</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迤黑水库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严格按相关法律法规要求开展水源保护区环境监管，定期巡查水库保护区，定期开展饮用水水源地环境状况评估。</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341"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合计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110.38</w:t>
            </w:r>
          </w:p>
        </w:tc>
        <w:tc>
          <w:tcPr>
            <w:tcW w:w="1592"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bookmarkEnd w:id="137"/>
    <w:p>
      <w:pPr>
        <w:pStyle w:val="3"/>
        <w:rPr>
          <w:color w:val="0D0D0D" w:themeColor="text1" w:themeTint="F2"/>
          <w14:textFill>
            <w14:solidFill>
              <w14:schemeClr w14:val="tx1">
                <w14:lumMod w14:val="95000"/>
                <w14:lumOff w14:val="5000"/>
              </w14:schemeClr>
            </w14:solidFill>
          </w14:textFill>
        </w:rPr>
      </w:pPr>
      <w:bookmarkStart w:id="156" w:name="_Toc25844370"/>
      <w:bookmarkStart w:id="157" w:name="_Toc27493778"/>
      <w:bookmarkStart w:id="158" w:name="_Toc12621603"/>
      <w:bookmarkStart w:id="159" w:name="_Toc12536222"/>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6"/>
      <w:bookmarkEnd w:id="157"/>
      <w:bookmarkEnd w:id="158"/>
      <w:bookmarkEnd w:id="159"/>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0" w:name="_Toc452322643"/>
      <w:bookmarkStart w:id="161" w:name="_Toc299451597"/>
      <w:bookmarkStart w:id="162" w:name="_Toc169506163"/>
      <w:bookmarkStart w:id="163" w:name="_Toc200905568"/>
      <w:bookmarkStart w:id="164" w:name="_Toc169526926"/>
      <w:bookmarkStart w:id="165" w:name="_Toc169504813"/>
      <w:bookmarkStart w:id="166" w:name="_Toc478742873"/>
      <w:bookmarkStart w:id="167" w:name="_Toc524596485"/>
      <w:bookmarkStart w:id="168" w:name="_Toc531261192"/>
      <w:bookmarkStart w:id="169" w:name="_Toc17982541"/>
      <w:bookmarkStart w:id="170" w:name="_Toc25844371"/>
      <w:bookmarkStart w:id="171" w:name="_Toc27493779"/>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60"/>
      <w:bookmarkEnd w:id="161"/>
      <w:bookmarkEnd w:id="162"/>
      <w:bookmarkEnd w:id="163"/>
      <w:bookmarkEnd w:id="164"/>
      <w:bookmarkEnd w:id="165"/>
      <w:bookmarkEnd w:id="166"/>
      <w:bookmarkEnd w:id="167"/>
      <w:bookmarkEnd w:id="168"/>
      <w:bookmarkEnd w:id="169"/>
      <w:bookmarkEnd w:id="170"/>
      <w:bookmarkEnd w:id="171"/>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迤黑水库饮用水水源保护区规范化建设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110.38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72" w:name="_Toc169504814"/>
      <w:bookmarkStart w:id="173" w:name="_Toc169506164"/>
      <w:bookmarkStart w:id="174" w:name="_Toc169526927"/>
      <w:bookmarkStart w:id="175" w:name="_Toc200905569"/>
      <w:bookmarkStart w:id="176" w:name="_Toc299451598"/>
      <w:bookmarkStart w:id="177" w:name="_Toc452322644"/>
      <w:bookmarkStart w:id="178" w:name="_Toc478742874"/>
      <w:bookmarkStart w:id="179" w:name="_Toc524596486"/>
      <w:bookmarkStart w:id="180" w:name="_Toc531261193"/>
      <w:bookmarkStart w:id="181" w:name="_Toc17982542"/>
      <w:bookmarkStart w:id="182" w:name="_Toc25844372"/>
      <w:bookmarkStart w:id="183" w:name="_Toc27493780"/>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72"/>
      <w:bookmarkEnd w:id="173"/>
      <w:bookmarkEnd w:id="174"/>
      <w:bookmarkEnd w:id="175"/>
      <w:bookmarkEnd w:id="176"/>
      <w:bookmarkEnd w:id="177"/>
      <w:bookmarkEnd w:id="178"/>
      <w:bookmarkEnd w:id="179"/>
      <w:bookmarkEnd w:id="180"/>
      <w:bookmarkEnd w:id="181"/>
      <w:bookmarkEnd w:id="182"/>
      <w:bookmarkEnd w:id="183"/>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4" w:name="_Toc200905570"/>
      <w:bookmarkStart w:id="185" w:name="_Toc299451599"/>
      <w:bookmarkStart w:id="186" w:name="_Toc452322645"/>
      <w:bookmarkStart w:id="187" w:name="_Toc478742875"/>
      <w:bookmarkStart w:id="188" w:name="_Toc52459648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84"/>
      <w:bookmarkEnd w:id="185"/>
      <w:bookmarkEnd w:id="186"/>
      <w:bookmarkEnd w:id="187"/>
      <w:bookmarkEnd w:id="188"/>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，加强交通污染防治，并拆除一级保护区内农家乐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9" w:name="_Toc299451600"/>
      <w:bookmarkStart w:id="190" w:name="_Toc452322646"/>
      <w:bookmarkStart w:id="191" w:name="_Toc478742876"/>
      <w:bookmarkStart w:id="192"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二级保护区污染控制工程</w:t>
      </w:r>
      <w:bookmarkEnd w:id="189"/>
      <w:bookmarkEnd w:id="190"/>
      <w:bookmarkEnd w:id="191"/>
      <w:bookmarkEnd w:id="19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，在进入二级保护区道路设置标牌，明确二级保护区范围；推广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工程，能有效控制二级保护区污染物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3" w:name="_Toc200905571"/>
      <w:bookmarkStart w:id="194" w:name="_Toc299451601"/>
      <w:bookmarkStart w:id="195" w:name="_Toc452322647"/>
      <w:bookmarkStart w:id="196" w:name="_Toc478742877"/>
      <w:bookmarkStart w:id="197" w:name="_Toc52459648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93"/>
      <w:bookmarkEnd w:id="194"/>
      <w:bookmarkEnd w:id="195"/>
      <w:bookmarkEnd w:id="196"/>
      <w:bookmarkEnd w:id="19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和水土流失治理生态恢复建设工程，建设保护水源涵养林和水土保持林，将进一步提高保护区林草覆盖率，降低流域土壤侵蚀强度，从而提高流域水源涵养能力，降低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8" w:name="_Toc299451602"/>
      <w:bookmarkStart w:id="199" w:name="_Toc452322648"/>
      <w:bookmarkStart w:id="200" w:name="_Toc478742878"/>
      <w:bookmarkStart w:id="201"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8"/>
      <w:bookmarkEnd w:id="199"/>
      <w:bookmarkEnd w:id="200"/>
      <w:bookmarkEnd w:id="20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202" w:name="_Toc169504815"/>
      <w:bookmarkStart w:id="203" w:name="_Toc169506165"/>
      <w:bookmarkStart w:id="204" w:name="_Toc169526928"/>
      <w:bookmarkStart w:id="205" w:name="_Toc200905575"/>
      <w:bookmarkStart w:id="206" w:name="_Toc299451603"/>
      <w:bookmarkStart w:id="207" w:name="_Toc452322649"/>
      <w:bookmarkStart w:id="208" w:name="_Toc478742879"/>
      <w:bookmarkStart w:id="209" w:name="_Toc524596491"/>
      <w:bookmarkStart w:id="210" w:name="_Toc531261194"/>
      <w:bookmarkStart w:id="211" w:name="_Toc17982543"/>
      <w:bookmarkStart w:id="212" w:name="_Toc25844373"/>
      <w:bookmarkStart w:id="213" w:name="_Toc27493781"/>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202"/>
      <w:bookmarkEnd w:id="203"/>
      <w:bookmarkEnd w:id="204"/>
      <w:bookmarkEnd w:id="205"/>
      <w:bookmarkEnd w:id="206"/>
      <w:bookmarkEnd w:id="207"/>
      <w:bookmarkEnd w:id="208"/>
      <w:bookmarkEnd w:id="209"/>
      <w:bookmarkEnd w:id="210"/>
      <w:bookmarkEnd w:id="211"/>
      <w:bookmarkEnd w:id="212"/>
      <w:bookmarkEnd w:id="213"/>
    </w:p>
    <w:p>
      <w:pPr>
        <w:adjustRightInd w:val="0"/>
        <w:snapToGrid w:val="0"/>
        <w:spacing w:line="360" w:lineRule="auto"/>
        <w:ind w:firstLine="560" w:firstLineChars="200"/>
        <w:rPr>
          <w:color w:val="0D0D0D" w:themeColor="text1" w:themeTint="F2"/>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一级保护区内的全部耕地进行退耕还林，实施生态防护工程，二级保护区25°以上坡耕地实施退耕还林，对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adjustRightInd w:val="0"/>
        <w:snapToGrid w:val="0"/>
        <w:spacing w:line="360" w:lineRule="auto"/>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14" w:name="_Toc27493782"/>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14"/>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5" w:name="_Toc12621608"/>
      <w:bookmarkStart w:id="216" w:name="_Toc20409173"/>
      <w:bookmarkStart w:id="217" w:name="_Toc27493783"/>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15"/>
      <w:bookmarkEnd w:id="216"/>
      <w:bookmarkEnd w:id="21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18"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2062m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0.0667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0.5531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为0.6198</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迤黑</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0.6351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饮用水水源保护区由一级保护区和二级保护区组成，总面积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1.2549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bookmarkEnd w:id="218"/>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9" w:name="_Toc12621609"/>
      <w:bookmarkStart w:id="220" w:name="_Toc20409174"/>
      <w:bookmarkStart w:id="221" w:name="_Toc27493784"/>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19"/>
      <w:bookmarkEnd w:id="220"/>
      <w:bookmarkEnd w:id="221"/>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迤黑水库饮用水水源地边界主要拐点的经纬度坐标见表5-1、5-2。</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22"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富源县迤黑</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22"/>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jc w:val="center"/>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21.538"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57.065"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20.290"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48.765"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23.293"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48.509"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20.427"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39.605"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18.399"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27.545"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8.669"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21.675"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1.385"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24.125"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1.304"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45.526"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1.302"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55.890"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3.501"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26' 0.858" N</w:t>
            </w:r>
          </w:p>
        </w:tc>
      </w:tr>
    </w:tbl>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富源县迤黑</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34.759"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47.060"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42.461"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36.246"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40.014"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26.840"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34.856"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17.234"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34.649"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5.799"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30.534"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5.658"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20.041"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13.357"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13.249"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18.972" N</w:t>
            </w:r>
          </w:p>
        </w:tc>
      </w:tr>
    </w:tbl>
    <w:p>
      <w:pP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105"/>
    <w:bookmarkEnd w:id="106"/>
    <w:bookmarkEnd w:id="107"/>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3" w:name="_Toc531261196"/>
      <w:bookmarkStart w:id="224" w:name="_Toc12621932"/>
      <w:bookmarkStart w:id="225" w:name="_Toc27493785"/>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3"/>
      <w:bookmarkEnd w:id="224"/>
      <w:bookmarkEnd w:id="225"/>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26" w:name="_Toc27493786"/>
      <w:bookmarkStart w:id="227" w:name="_Toc18506561"/>
      <w:r>
        <w:rPr>
          <w:rFonts w:cs="Times New Roman"/>
          <w:color w:val="0D0D0D" w:themeColor="text1" w:themeTint="F2"/>
          <w:sz w:val="28"/>
          <w:szCs w:val="28"/>
          <w14:textFill>
            <w14:solidFill>
              <w14:schemeClr w14:val="tx1">
                <w14:lumMod w14:val="95000"/>
                <w14:lumOff w14:val="5000"/>
              </w14:schemeClr>
            </w14:solidFill>
          </w14:textFill>
        </w:rPr>
        <w:t>附表2 富源县迤黑水库饮用水水源地基础信息表</w:t>
      </w:r>
      <w:bookmarkEnd w:id="226"/>
      <w:bookmarkEnd w:id="22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迤黑水库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580"/>
        <w:gridCol w:w="1379"/>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迤黑水库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墨红镇</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HA0114530325101R0001</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104°14′19"</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25°25′57"</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2062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营上镇</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0.164</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富源县营上镇自来水厂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8" w:name="_Toc12621934"/>
      <w:bookmarkStart w:id="229" w:name="_Toc10723935"/>
      <w:bookmarkStart w:id="230" w:name="_Toc27493787"/>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28"/>
      <w:bookmarkEnd w:id="229"/>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富源县迤黑水库集中式饮用水水源保护区划分结果表</w:t>
      </w:r>
      <w:bookmarkEnd w:id="23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迤黑</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Layout w:type="fixed"/>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迤黑水库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0.6198</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0.6351</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667</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5531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0.6351</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水域：迤黑水库正常蓄水位2062m以下的全部水域。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陆域：迤黑水库正常蓄水位外延200m范围为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陆域：流域分水岭范围内一级保护区外的其他区域。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31" w:name="_Toc27493788"/>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富源县迤黑水库饮用水水源地保护区污染源调查表</w:t>
      </w:r>
      <w:bookmarkEnd w:id="231"/>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迤黑水库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迤黑水库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吉克水库休闲山庄，规模50个餐位</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2.73公顷；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49.56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农家乐点源污染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点源污染控制</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17.08公顷；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45.97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乡道Y204</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4245351"/>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4669411"/>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7 -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0BAA"/>
    <w:rsid w:val="00002B1D"/>
    <w:rsid w:val="000051A7"/>
    <w:rsid w:val="000057B4"/>
    <w:rsid w:val="000057E5"/>
    <w:rsid w:val="00006389"/>
    <w:rsid w:val="00012715"/>
    <w:rsid w:val="0002043B"/>
    <w:rsid w:val="000214DD"/>
    <w:rsid w:val="00023B70"/>
    <w:rsid w:val="000245F6"/>
    <w:rsid w:val="00024D03"/>
    <w:rsid w:val="000315A7"/>
    <w:rsid w:val="0003553B"/>
    <w:rsid w:val="000362D7"/>
    <w:rsid w:val="00036A97"/>
    <w:rsid w:val="00037199"/>
    <w:rsid w:val="00041333"/>
    <w:rsid w:val="00042407"/>
    <w:rsid w:val="000439BE"/>
    <w:rsid w:val="00044BEE"/>
    <w:rsid w:val="000453C1"/>
    <w:rsid w:val="0004636E"/>
    <w:rsid w:val="00047106"/>
    <w:rsid w:val="000478FC"/>
    <w:rsid w:val="00053EA4"/>
    <w:rsid w:val="00055B7B"/>
    <w:rsid w:val="00055BA1"/>
    <w:rsid w:val="00057724"/>
    <w:rsid w:val="0006100B"/>
    <w:rsid w:val="00071E63"/>
    <w:rsid w:val="00073188"/>
    <w:rsid w:val="00073243"/>
    <w:rsid w:val="0008082C"/>
    <w:rsid w:val="000809AA"/>
    <w:rsid w:val="000857FC"/>
    <w:rsid w:val="000924F1"/>
    <w:rsid w:val="00092F78"/>
    <w:rsid w:val="000946A3"/>
    <w:rsid w:val="000A0EB9"/>
    <w:rsid w:val="000A30C6"/>
    <w:rsid w:val="000A42F3"/>
    <w:rsid w:val="000B2196"/>
    <w:rsid w:val="000B32DF"/>
    <w:rsid w:val="000B75C5"/>
    <w:rsid w:val="000C4766"/>
    <w:rsid w:val="000D3D31"/>
    <w:rsid w:val="000D6FD0"/>
    <w:rsid w:val="000E0EEC"/>
    <w:rsid w:val="000E1D72"/>
    <w:rsid w:val="000E5B0E"/>
    <w:rsid w:val="000F0431"/>
    <w:rsid w:val="000F2DDA"/>
    <w:rsid w:val="000F3D90"/>
    <w:rsid w:val="000F51D5"/>
    <w:rsid w:val="000F724C"/>
    <w:rsid w:val="000F7402"/>
    <w:rsid w:val="00103D7C"/>
    <w:rsid w:val="00104C08"/>
    <w:rsid w:val="00110EEA"/>
    <w:rsid w:val="00117795"/>
    <w:rsid w:val="00124152"/>
    <w:rsid w:val="00130C7D"/>
    <w:rsid w:val="00130E81"/>
    <w:rsid w:val="00132BB7"/>
    <w:rsid w:val="00133EF1"/>
    <w:rsid w:val="00134E5A"/>
    <w:rsid w:val="0014035B"/>
    <w:rsid w:val="00142C7C"/>
    <w:rsid w:val="00143B51"/>
    <w:rsid w:val="001450A5"/>
    <w:rsid w:val="001515D1"/>
    <w:rsid w:val="00154210"/>
    <w:rsid w:val="00154E81"/>
    <w:rsid w:val="00160938"/>
    <w:rsid w:val="0016142D"/>
    <w:rsid w:val="0016272A"/>
    <w:rsid w:val="00163FD7"/>
    <w:rsid w:val="001650DD"/>
    <w:rsid w:val="0017193D"/>
    <w:rsid w:val="0017196E"/>
    <w:rsid w:val="00171C9B"/>
    <w:rsid w:val="00173D56"/>
    <w:rsid w:val="00173E5C"/>
    <w:rsid w:val="00174CAB"/>
    <w:rsid w:val="0017618B"/>
    <w:rsid w:val="00176EA7"/>
    <w:rsid w:val="0017771E"/>
    <w:rsid w:val="00183092"/>
    <w:rsid w:val="00186949"/>
    <w:rsid w:val="00194212"/>
    <w:rsid w:val="001A0ADE"/>
    <w:rsid w:val="001A2E28"/>
    <w:rsid w:val="001A4329"/>
    <w:rsid w:val="001B0953"/>
    <w:rsid w:val="001B3522"/>
    <w:rsid w:val="001B399F"/>
    <w:rsid w:val="001B4EB6"/>
    <w:rsid w:val="001B6646"/>
    <w:rsid w:val="001C0FDC"/>
    <w:rsid w:val="001C5CC1"/>
    <w:rsid w:val="001C79D2"/>
    <w:rsid w:val="001C7F24"/>
    <w:rsid w:val="001D007F"/>
    <w:rsid w:val="001D2B32"/>
    <w:rsid w:val="001D4DCB"/>
    <w:rsid w:val="001E28B4"/>
    <w:rsid w:val="001E2CBB"/>
    <w:rsid w:val="001E3BB6"/>
    <w:rsid w:val="001E7E56"/>
    <w:rsid w:val="001F09BA"/>
    <w:rsid w:val="001F2ED2"/>
    <w:rsid w:val="001F39C9"/>
    <w:rsid w:val="001F4959"/>
    <w:rsid w:val="001F52BD"/>
    <w:rsid w:val="001F63D6"/>
    <w:rsid w:val="00200B72"/>
    <w:rsid w:val="002048A9"/>
    <w:rsid w:val="00204F32"/>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40A23"/>
    <w:rsid w:val="002428DE"/>
    <w:rsid w:val="00242E6F"/>
    <w:rsid w:val="00242F0A"/>
    <w:rsid w:val="00254575"/>
    <w:rsid w:val="002567B7"/>
    <w:rsid w:val="0026158C"/>
    <w:rsid w:val="0027167D"/>
    <w:rsid w:val="00274605"/>
    <w:rsid w:val="0028005D"/>
    <w:rsid w:val="002802DD"/>
    <w:rsid w:val="002802F5"/>
    <w:rsid w:val="0028794B"/>
    <w:rsid w:val="00287ED2"/>
    <w:rsid w:val="002920BF"/>
    <w:rsid w:val="0029326D"/>
    <w:rsid w:val="0029330D"/>
    <w:rsid w:val="00293CBE"/>
    <w:rsid w:val="002952CC"/>
    <w:rsid w:val="002A0A80"/>
    <w:rsid w:val="002A1BF4"/>
    <w:rsid w:val="002B6D97"/>
    <w:rsid w:val="002B782D"/>
    <w:rsid w:val="002C03F5"/>
    <w:rsid w:val="002C2F2C"/>
    <w:rsid w:val="002C7C4F"/>
    <w:rsid w:val="002D0832"/>
    <w:rsid w:val="002D0CA3"/>
    <w:rsid w:val="002D311E"/>
    <w:rsid w:val="002D34B3"/>
    <w:rsid w:val="002D34CB"/>
    <w:rsid w:val="002D5179"/>
    <w:rsid w:val="002D7662"/>
    <w:rsid w:val="002D792B"/>
    <w:rsid w:val="002E08AD"/>
    <w:rsid w:val="002E2790"/>
    <w:rsid w:val="002E392F"/>
    <w:rsid w:val="002F3241"/>
    <w:rsid w:val="002F66F4"/>
    <w:rsid w:val="002F6799"/>
    <w:rsid w:val="002F7BDA"/>
    <w:rsid w:val="0030118C"/>
    <w:rsid w:val="00303208"/>
    <w:rsid w:val="00310CB9"/>
    <w:rsid w:val="003121DD"/>
    <w:rsid w:val="00321A93"/>
    <w:rsid w:val="00323D7E"/>
    <w:rsid w:val="003246BF"/>
    <w:rsid w:val="0032502D"/>
    <w:rsid w:val="00326FEE"/>
    <w:rsid w:val="00331309"/>
    <w:rsid w:val="00334C17"/>
    <w:rsid w:val="0034299F"/>
    <w:rsid w:val="003477F8"/>
    <w:rsid w:val="00352FAA"/>
    <w:rsid w:val="00355FE5"/>
    <w:rsid w:val="00356AAB"/>
    <w:rsid w:val="00356B48"/>
    <w:rsid w:val="00357883"/>
    <w:rsid w:val="003607FE"/>
    <w:rsid w:val="0036175A"/>
    <w:rsid w:val="00363792"/>
    <w:rsid w:val="0036488D"/>
    <w:rsid w:val="00364FC4"/>
    <w:rsid w:val="00366654"/>
    <w:rsid w:val="003700F0"/>
    <w:rsid w:val="00370EE0"/>
    <w:rsid w:val="00371709"/>
    <w:rsid w:val="0037229F"/>
    <w:rsid w:val="003743A9"/>
    <w:rsid w:val="00377B96"/>
    <w:rsid w:val="00377CBD"/>
    <w:rsid w:val="00377F77"/>
    <w:rsid w:val="00382B27"/>
    <w:rsid w:val="00385DD3"/>
    <w:rsid w:val="00386464"/>
    <w:rsid w:val="00392320"/>
    <w:rsid w:val="00394A47"/>
    <w:rsid w:val="003A0A97"/>
    <w:rsid w:val="003A25C1"/>
    <w:rsid w:val="003A72D2"/>
    <w:rsid w:val="003B0CA0"/>
    <w:rsid w:val="003B437D"/>
    <w:rsid w:val="003B4D9D"/>
    <w:rsid w:val="003C0DB4"/>
    <w:rsid w:val="003C522D"/>
    <w:rsid w:val="003C5268"/>
    <w:rsid w:val="003C6F4A"/>
    <w:rsid w:val="003C749D"/>
    <w:rsid w:val="003D161A"/>
    <w:rsid w:val="003D255A"/>
    <w:rsid w:val="003D33EA"/>
    <w:rsid w:val="003D5C8D"/>
    <w:rsid w:val="003D6A90"/>
    <w:rsid w:val="003E538F"/>
    <w:rsid w:val="003E6141"/>
    <w:rsid w:val="003F5C1B"/>
    <w:rsid w:val="00400090"/>
    <w:rsid w:val="00400A21"/>
    <w:rsid w:val="0040266F"/>
    <w:rsid w:val="004031BA"/>
    <w:rsid w:val="004106CF"/>
    <w:rsid w:val="00412929"/>
    <w:rsid w:val="00414205"/>
    <w:rsid w:val="00416620"/>
    <w:rsid w:val="004228AD"/>
    <w:rsid w:val="00423A27"/>
    <w:rsid w:val="00425590"/>
    <w:rsid w:val="004255AC"/>
    <w:rsid w:val="004272C3"/>
    <w:rsid w:val="00427307"/>
    <w:rsid w:val="00432439"/>
    <w:rsid w:val="00434F19"/>
    <w:rsid w:val="004367C6"/>
    <w:rsid w:val="00441F44"/>
    <w:rsid w:val="00445E0F"/>
    <w:rsid w:val="0045221E"/>
    <w:rsid w:val="00454914"/>
    <w:rsid w:val="00455EB4"/>
    <w:rsid w:val="004628EA"/>
    <w:rsid w:val="004635E7"/>
    <w:rsid w:val="00470C5A"/>
    <w:rsid w:val="00470E3D"/>
    <w:rsid w:val="0047226A"/>
    <w:rsid w:val="00472908"/>
    <w:rsid w:val="004736C1"/>
    <w:rsid w:val="004812C3"/>
    <w:rsid w:val="004834DC"/>
    <w:rsid w:val="004855FD"/>
    <w:rsid w:val="00486D39"/>
    <w:rsid w:val="004932DD"/>
    <w:rsid w:val="00494395"/>
    <w:rsid w:val="004950FB"/>
    <w:rsid w:val="004979B2"/>
    <w:rsid w:val="004A1047"/>
    <w:rsid w:val="004A1E4D"/>
    <w:rsid w:val="004B1778"/>
    <w:rsid w:val="004B4154"/>
    <w:rsid w:val="004B6FC4"/>
    <w:rsid w:val="004B7587"/>
    <w:rsid w:val="004B76E0"/>
    <w:rsid w:val="004C3EA4"/>
    <w:rsid w:val="004D15CB"/>
    <w:rsid w:val="004D36C5"/>
    <w:rsid w:val="004D5043"/>
    <w:rsid w:val="004D5DA4"/>
    <w:rsid w:val="004E0B8A"/>
    <w:rsid w:val="004E1181"/>
    <w:rsid w:val="004E268D"/>
    <w:rsid w:val="004E31D3"/>
    <w:rsid w:val="004E3B02"/>
    <w:rsid w:val="004F1096"/>
    <w:rsid w:val="004F2555"/>
    <w:rsid w:val="004F305F"/>
    <w:rsid w:val="004F4AFA"/>
    <w:rsid w:val="004F6DBF"/>
    <w:rsid w:val="004F7688"/>
    <w:rsid w:val="00505C1D"/>
    <w:rsid w:val="00510733"/>
    <w:rsid w:val="00511B03"/>
    <w:rsid w:val="005128A7"/>
    <w:rsid w:val="00514A0D"/>
    <w:rsid w:val="0051699F"/>
    <w:rsid w:val="00516DD9"/>
    <w:rsid w:val="00521B3D"/>
    <w:rsid w:val="0053357C"/>
    <w:rsid w:val="00534D33"/>
    <w:rsid w:val="00537DB7"/>
    <w:rsid w:val="0054698B"/>
    <w:rsid w:val="005531EA"/>
    <w:rsid w:val="00555F14"/>
    <w:rsid w:val="00561A21"/>
    <w:rsid w:val="005633C1"/>
    <w:rsid w:val="00563DBF"/>
    <w:rsid w:val="00565CF6"/>
    <w:rsid w:val="00567D90"/>
    <w:rsid w:val="00567ED6"/>
    <w:rsid w:val="00572A40"/>
    <w:rsid w:val="00573BB0"/>
    <w:rsid w:val="00575518"/>
    <w:rsid w:val="00576547"/>
    <w:rsid w:val="00580DD0"/>
    <w:rsid w:val="00582F51"/>
    <w:rsid w:val="00585A3E"/>
    <w:rsid w:val="0059048D"/>
    <w:rsid w:val="00595351"/>
    <w:rsid w:val="00596FA7"/>
    <w:rsid w:val="005A1DE4"/>
    <w:rsid w:val="005A4C50"/>
    <w:rsid w:val="005A5A35"/>
    <w:rsid w:val="005B10E7"/>
    <w:rsid w:val="005B277E"/>
    <w:rsid w:val="005B28A0"/>
    <w:rsid w:val="005B2D29"/>
    <w:rsid w:val="005B6C87"/>
    <w:rsid w:val="005C1F31"/>
    <w:rsid w:val="005C5598"/>
    <w:rsid w:val="005D0A91"/>
    <w:rsid w:val="005D423A"/>
    <w:rsid w:val="005D4BBD"/>
    <w:rsid w:val="005E074F"/>
    <w:rsid w:val="005E1777"/>
    <w:rsid w:val="005E2D96"/>
    <w:rsid w:val="005F2B58"/>
    <w:rsid w:val="005F2DD4"/>
    <w:rsid w:val="00601654"/>
    <w:rsid w:val="00601FB1"/>
    <w:rsid w:val="006022B8"/>
    <w:rsid w:val="00602BC7"/>
    <w:rsid w:val="00604C86"/>
    <w:rsid w:val="0061223E"/>
    <w:rsid w:val="0061288E"/>
    <w:rsid w:val="006129B1"/>
    <w:rsid w:val="006148E7"/>
    <w:rsid w:val="00614957"/>
    <w:rsid w:val="006153FE"/>
    <w:rsid w:val="00617DF6"/>
    <w:rsid w:val="006210E7"/>
    <w:rsid w:val="00623420"/>
    <w:rsid w:val="00625A14"/>
    <w:rsid w:val="00631FC0"/>
    <w:rsid w:val="006321F0"/>
    <w:rsid w:val="00637330"/>
    <w:rsid w:val="006402C6"/>
    <w:rsid w:val="00640911"/>
    <w:rsid w:val="006427C0"/>
    <w:rsid w:val="00644D3B"/>
    <w:rsid w:val="0064789A"/>
    <w:rsid w:val="0065083B"/>
    <w:rsid w:val="00652246"/>
    <w:rsid w:val="00655FE6"/>
    <w:rsid w:val="00662903"/>
    <w:rsid w:val="00662FC1"/>
    <w:rsid w:val="006659B8"/>
    <w:rsid w:val="006717CF"/>
    <w:rsid w:val="006751E8"/>
    <w:rsid w:val="00676EAC"/>
    <w:rsid w:val="00680815"/>
    <w:rsid w:val="00681908"/>
    <w:rsid w:val="00683CEB"/>
    <w:rsid w:val="0068449E"/>
    <w:rsid w:val="0068715B"/>
    <w:rsid w:val="00690182"/>
    <w:rsid w:val="0069443F"/>
    <w:rsid w:val="00694D4E"/>
    <w:rsid w:val="0069529D"/>
    <w:rsid w:val="006A11EE"/>
    <w:rsid w:val="006A2C50"/>
    <w:rsid w:val="006A4D30"/>
    <w:rsid w:val="006A4F95"/>
    <w:rsid w:val="006A546F"/>
    <w:rsid w:val="006B0565"/>
    <w:rsid w:val="006B16F0"/>
    <w:rsid w:val="006B2091"/>
    <w:rsid w:val="006B306A"/>
    <w:rsid w:val="006B337B"/>
    <w:rsid w:val="006B3574"/>
    <w:rsid w:val="006C13F3"/>
    <w:rsid w:val="006C170A"/>
    <w:rsid w:val="006C224B"/>
    <w:rsid w:val="006D05B1"/>
    <w:rsid w:val="006D0F75"/>
    <w:rsid w:val="006D3B5C"/>
    <w:rsid w:val="006D5639"/>
    <w:rsid w:val="006D6030"/>
    <w:rsid w:val="006E0D67"/>
    <w:rsid w:val="006E18EA"/>
    <w:rsid w:val="006E2A62"/>
    <w:rsid w:val="006E357C"/>
    <w:rsid w:val="006F4ADE"/>
    <w:rsid w:val="006F640B"/>
    <w:rsid w:val="006F7475"/>
    <w:rsid w:val="00707242"/>
    <w:rsid w:val="007106E4"/>
    <w:rsid w:val="007145E5"/>
    <w:rsid w:val="00717CC5"/>
    <w:rsid w:val="0072026D"/>
    <w:rsid w:val="00720E1F"/>
    <w:rsid w:val="0072335D"/>
    <w:rsid w:val="00725180"/>
    <w:rsid w:val="00727A98"/>
    <w:rsid w:val="00727B4B"/>
    <w:rsid w:val="00730FB8"/>
    <w:rsid w:val="00731DE8"/>
    <w:rsid w:val="00734873"/>
    <w:rsid w:val="00735ADA"/>
    <w:rsid w:val="00736108"/>
    <w:rsid w:val="0074155F"/>
    <w:rsid w:val="00741ACC"/>
    <w:rsid w:val="00741BA0"/>
    <w:rsid w:val="00741CB4"/>
    <w:rsid w:val="00742036"/>
    <w:rsid w:val="00742055"/>
    <w:rsid w:val="007436D7"/>
    <w:rsid w:val="00743BFF"/>
    <w:rsid w:val="00753267"/>
    <w:rsid w:val="0075607B"/>
    <w:rsid w:val="007614F8"/>
    <w:rsid w:val="00761D23"/>
    <w:rsid w:val="00762B55"/>
    <w:rsid w:val="00763483"/>
    <w:rsid w:val="007641B6"/>
    <w:rsid w:val="00764B2F"/>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9005D"/>
    <w:rsid w:val="00790B54"/>
    <w:rsid w:val="007929C4"/>
    <w:rsid w:val="00794B52"/>
    <w:rsid w:val="007A33C1"/>
    <w:rsid w:val="007A3642"/>
    <w:rsid w:val="007A590D"/>
    <w:rsid w:val="007A65FC"/>
    <w:rsid w:val="007A67B2"/>
    <w:rsid w:val="007A79B8"/>
    <w:rsid w:val="007B0AA1"/>
    <w:rsid w:val="007B0CE6"/>
    <w:rsid w:val="007B32E7"/>
    <w:rsid w:val="007B4755"/>
    <w:rsid w:val="007B5260"/>
    <w:rsid w:val="007C301A"/>
    <w:rsid w:val="007C3B7D"/>
    <w:rsid w:val="007C435F"/>
    <w:rsid w:val="007C47F3"/>
    <w:rsid w:val="007C5750"/>
    <w:rsid w:val="007C6646"/>
    <w:rsid w:val="007C69E7"/>
    <w:rsid w:val="007C7B3A"/>
    <w:rsid w:val="007C7EE3"/>
    <w:rsid w:val="007D0BBD"/>
    <w:rsid w:val="007D13F3"/>
    <w:rsid w:val="007D65E3"/>
    <w:rsid w:val="007E0966"/>
    <w:rsid w:val="007E5CCE"/>
    <w:rsid w:val="007F04EA"/>
    <w:rsid w:val="007F2E11"/>
    <w:rsid w:val="007F493E"/>
    <w:rsid w:val="007F4C0A"/>
    <w:rsid w:val="007F56F7"/>
    <w:rsid w:val="007F5E23"/>
    <w:rsid w:val="00806C65"/>
    <w:rsid w:val="008071DA"/>
    <w:rsid w:val="0080747F"/>
    <w:rsid w:val="00807A38"/>
    <w:rsid w:val="00811BBF"/>
    <w:rsid w:val="00812CBA"/>
    <w:rsid w:val="00812F34"/>
    <w:rsid w:val="0081736B"/>
    <w:rsid w:val="00823857"/>
    <w:rsid w:val="00824544"/>
    <w:rsid w:val="008252D8"/>
    <w:rsid w:val="00832112"/>
    <w:rsid w:val="00832472"/>
    <w:rsid w:val="00832C3E"/>
    <w:rsid w:val="00835636"/>
    <w:rsid w:val="0084428E"/>
    <w:rsid w:val="00846C7B"/>
    <w:rsid w:val="00850F99"/>
    <w:rsid w:val="008526A3"/>
    <w:rsid w:val="00853B99"/>
    <w:rsid w:val="00853C1D"/>
    <w:rsid w:val="00854DD7"/>
    <w:rsid w:val="00854FCB"/>
    <w:rsid w:val="008567CC"/>
    <w:rsid w:val="00860C8B"/>
    <w:rsid w:val="00860CA7"/>
    <w:rsid w:val="00864CB6"/>
    <w:rsid w:val="00867D4D"/>
    <w:rsid w:val="00870B10"/>
    <w:rsid w:val="00872263"/>
    <w:rsid w:val="0088359E"/>
    <w:rsid w:val="00884367"/>
    <w:rsid w:val="00887E27"/>
    <w:rsid w:val="00893F55"/>
    <w:rsid w:val="008968C5"/>
    <w:rsid w:val="00897381"/>
    <w:rsid w:val="008A2074"/>
    <w:rsid w:val="008A3990"/>
    <w:rsid w:val="008A4333"/>
    <w:rsid w:val="008A528B"/>
    <w:rsid w:val="008A6B6E"/>
    <w:rsid w:val="008A742C"/>
    <w:rsid w:val="008A7792"/>
    <w:rsid w:val="008B170A"/>
    <w:rsid w:val="008B2450"/>
    <w:rsid w:val="008B69D0"/>
    <w:rsid w:val="008C1E7A"/>
    <w:rsid w:val="008C256E"/>
    <w:rsid w:val="008D3212"/>
    <w:rsid w:val="008D7256"/>
    <w:rsid w:val="008E08B8"/>
    <w:rsid w:val="008E0D02"/>
    <w:rsid w:val="008F582E"/>
    <w:rsid w:val="008F5C40"/>
    <w:rsid w:val="009022BF"/>
    <w:rsid w:val="00903920"/>
    <w:rsid w:val="0090420A"/>
    <w:rsid w:val="00904DD5"/>
    <w:rsid w:val="00913E6E"/>
    <w:rsid w:val="00916691"/>
    <w:rsid w:val="00924266"/>
    <w:rsid w:val="0092507B"/>
    <w:rsid w:val="00925799"/>
    <w:rsid w:val="00935524"/>
    <w:rsid w:val="009431F5"/>
    <w:rsid w:val="00943383"/>
    <w:rsid w:val="0094425D"/>
    <w:rsid w:val="00945519"/>
    <w:rsid w:val="00945BEA"/>
    <w:rsid w:val="009461F6"/>
    <w:rsid w:val="00947534"/>
    <w:rsid w:val="009477A5"/>
    <w:rsid w:val="00952441"/>
    <w:rsid w:val="0095602F"/>
    <w:rsid w:val="00956F20"/>
    <w:rsid w:val="00960D6D"/>
    <w:rsid w:val="009616D8"/>
    <w:rsid w:val="00970864"/>
    <w:rsid w:val="00970A9D"/>
    <w:rsid w:val="0097140D"/>
    <w:rsid w:val="00972238"/>
    <w:rsid w:val="00975C9D"/>
    <w:rsid w:val="00976ACF"/>
    <w:rsid w:val="0097772A"/>
    <w:rsid w:val="00977BFB"/>
    <w:rsid w:val="009805DC"/>
    <w:rsid w:val="00981160"/>
    <w:rsid w:val="0098418B"/>
    <w:rsid w:val="00985F15"/>
    <w:rsid w:val="00990BF3"/>
    <w:rsid w:val="00990E03"/>
    <w:rsid w:val="00993B69"/>
    <w:rsid w:val="009947F8"/>
    <w:rsid w:val="00995A84"/>
    <w:rsid w:val="009966D7"/>
    <w:rsid w:val="009976CB"/>
    <w:rsid w:val="00997C30"/>
    <w:rsid w:val="009A13AB"/>
    <w:rsid w:val="009A1604"/>
    <w:rsid w:val="009A4A36"/>
    <w:rsid w:val="009A50C2"/>
    <w:rsid w:val="009A5975"/>
    <w:rsid w:val="009A6EAA"/>
    <w:rsid w:val="009A73AD"/>
    <w:rsid w:val="009B32C2"/>
    <w:rsid w:val="009B6416"/>
    <w:rsid w:val="009B65A1"/>
    <w:rsid w:val="009B734F"/>
    <w:rsid w:val="009B7709"/>
    <w:rsid w:val="009C0133"/>
    <w:rsid w:val="009C2FB2"/>
    <w:rsid w:val="009C624A"/>
    <w:rsid w:val="009D03B9"/>
    <w:rsid w:val="009D11E8"/>
    <w:rsid w:val="009D25CC"/>
    <w:rsid w:val="009D2EE4"/>
    <w:rsid w:val="009D4FCE"/>
    <w:rsid w:val="009E147C"/>
    <w:rsid w:val="009E20A5"/>
    <w:rsid w:val="009E3084"/>
    <w:rsid w:val="009E36CF"/>
    <w:rsid w:val="009E4358"/>
    <w:rsid w:val="009E513E"/>
    <w:rsid w:val="009F039A"/>
    <w:rsid w:val="009F0C6B"/>
    <w:rsid w:val="009F5F24"/>
    <w:rsid w:val="00A02C05"/>
    <w:rsid w:val="00A05395"/>
    <w:rsid w:val="00A06BED"/>
    <w:rsid w:val="00A07136"/>
    <w:rsid w:val="00A11282"/>
    <w:rsid w:val="00A14938"/>
    <w:rsid w:val="00A14E86"/>
    <w:rsid w:val="00A15D1C"/>
    <w:rsid w:val="00A21269"/>
    <w:rsid w:val="00A2291B"/>
    <w:rsid w:val="00A23014"/>
    <w:rsid w:val="00A2335D"/>
    <w:rsid w:val="00A24853"/>
    <w:rsid w:val="00A24ACA"/>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44C08"/>
    <w:rsid w:val="00A45964"/>
    <w:rsid w:val="00A5247D"/>
    <w:rsid w:val="00A52561"/>
    <w:rsid w:val="00A55E77"/>
    <w:rsid w:val="00A56C73"/>
    <w:rsid w:val="00A65960"/>
    <w:rsid w:val="00A70B0F"/>
    <w:rsid w:val="00A72D18"/>
    <w:rsid w:val="00A74CEF"/>
    <w:rsid w:val="00A75CC6"/>
    <w:rsid w:val="00A80215"/>
    <w:rsid w:val="00A81521"/>
    <w:rsid w:val="00A82BC4"/>
    <w:rsid w:val="00A85DB4"/>
    <w:rsid w:val="00A85E44"/>
    <w:rsid w:val="00A86AD4"/>
    <w:rsid w:val="00A90B13"/>
    <w:rsid w:val="00A918E4"/>
    <w:rsid w:val="00A96FC5"/>
    <w:rsid w:val="00AA2D02"/>
    <w:rsid w:val="00AA4AB9"/>
    <w:rsid w:val="00AA648F"/>
    <w:rsid w:val="00AB11F3"/>
    <w:rsid w:val="00AB197F"/>
    <w:rsid w:val="00AB25F7"/>
    <w:rsid w:val="00AB4EB3"/>
    <w:rsid w:val="00AB5427"/>
    <w:rsid w:val="00AB6F59"/>
    <w:rsid w:val="00AC2043"/>
    <w:rsid w:val="00AC6D09"/>
    <w:rsid w:val="00AC6DC8"/>
    <w:rsid w:val="00AD0D3F"/>
    <w:rsid w:val="00AD1B79"/>
    <w:rsid w:val="00AD4395"/>
    <w:rsid w:val="00AD44CD"/>
    <w:rsid w:val="00AD72B6"/>
    <w:rsid w:val="00AD73FE"/>
    <w:rsid w:val="00AE1C33"/>
    <w:rsid w:val="00AE4814"/>
    <w:rsid w:val="00AE624F"/>
    <w:rsid w:val="00AE7304"/>
    <w:rsid w:val="00AF1958"/>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D42"/>
    <w:rsid w:val="00B277FC"/>
    <w:rsid w:val="00B3029B"/>
    <w:rsid w:val="00B344A4"/>
    <w:rsid w:val="00B34CBF"/>
    <w:rsid w:val="00B37296"/>
    <w:rsid w:val="00B410E3"/>
    <w:rsid w:val="00B43DD2"/>
    <w:rsid w:val="00B44499"/>
    <w:rsid w:val="00B4525C"/>
    <w:rsid w:val="00B50B41"/>
    <w:rsid w:val="00B56480"/>
    <w:rsid w:val="00B56EF4"/>
    <w:rsid w:val="00B57C3B"/>
    <w:rsid w:val="00B63579"/>
    <w:rsid w:val="00B66BC3"/>
    <w:rsid w:val="00B66FAA"/>
    <w:rsid w:val="00B67D3A"/>
    <w:rsid w:val="00B72C3F"/>
    <w:rsid w:val="00B72D16"/>
    <w:rsid w:val="00B80EF8"/>
    <w:rsid w:val="00B8720F"/>
    <w:rsid w:val="00B90F8C"/>
    <w:rsid w:val="00B94C1C"/>
    <w:rsid w:val="00B95C42"/>
    <w:rsid w:val="00B96E2C"/>
    <w:rsid w:val="00BA3623"/>
    <w:rsid w:val="00BB1804"/>
    <w:rsid w:val="00BB1C5E"/>
    <w:rsid w:val="00BB2580"/>
    <w:rsid w:val="00BB25EF"/>
    <w:rsid w:val="00BB37D7"/>
    <w:rsid w:val="00BB4D24"/>
    <w:rsid w:val="00BB7437"/>
    <w:rsid w:val="00BC3992"/>
    <w:rsid w:val="00BC55CB"/>
    <w:rsid w:val="00BC6127"/>
    <w:rsid w:val="00BD1009"/>
    <w:rsid w:val="00BD294D"/>
    <w:rsid w:val="00BD2DDF"/>
    <w:rsid w:val="00BD48C9"/>
    <w:rsid w:val="00BD66E4"/>
    <w:rsid w:val="00BE2192"/>
    <w:rsid w:val="00BE2BE8"/>
    <w:rsid w:val="00BE364C"/>
    <w:rsid w:val="00BE39E5"/>
    <w:rsid w:val="00BE5049"/>
    <w:rsid w:val="00BE6A4D"/>
    <w:rsid w:val="00BF0BE3"/>
    <w:rsid w:val="00BF0E97"/>
    <w:rsid w:val="00BF3E15"/>
    <w:rsid w:val="00BF4B4F"/>
    <w:rsid w:val="00C037A8"/>
    <w:rsid w:val="00C04BA7"/>
    <w:rsid w:val="00C054D8"/>
    <w:rsid w:val="00C07690"/>
    <w:rsid w:val="00C118FF"/>
    <w:rsid w:val="00C12762"/>
    <w:rsid w:val="00C139C0"/>
    <w:rsid w:val="00C20D1C"/>
    <w:rsid w:val="00C21409"/>
    <w:rsid w:val="00C27B6A"/>
    <w:rsid w:val="00C36310"/>
    <w:rsid w:val="00C36C5E"/>
    <w:rsid w:val="00C36F46"/>
    <w:rsid w:val="00C41E47"/>
    <w:rsid w:val="00C4395B"/>
    <w:rsid w:val="00C45D6A"/>
    <w:rsid w:val="00C46E34"/>
    <w:rsid w:val="00C47205"/>
    <w:rsid w:val="00C503E4"/>
    <w:rsid w:val="00C531B5"/>
    <w:rsid w:val="00C57BC8"/>
    <w:rsid w:val="00C628B8"/>
    <w:rsid w:val="00C707EB"/>
    <w:rsid w:val="00C76B4C"/>
    <w:rsid w:val="00C8237E"/>
    <w:rsid w:val="00C823CD"/>
    <w:rsid w:val="00C8348B"/>
    <w:rsid w:val="00C83E83"/>
    <w:rsid w:val="00C84291"/>
    <w:rsid w:val="00C875E3"/>
    <w:rsid w:val="00C92DB3"/>
    <w:rsid w:val="00C979F7"/>
    <w:rsid w:val="00C97B30"/>
    <w:rsid w:val="00CA0CF8"/>
    <w:rsid w:val="00CA67F2"/>
    <w:rsid w:val="00CB284C"/>
    <w:rsid w:val="00CB31CC"/>
    <w:rsid w:val="00CB5362"/>
    <w:rsid w:val="00CB7AE0"/>
    <w:rsid w:val="00CC0316"/>
    <w:rsid w:val="00CC34D9"/>
    <w:rsid w:val="00CC434C"/>
    <w:rsid w:val="00CC4D8C"/>
    <w:rsid w:val="00CD48C7"/>
    <w:rsid w:val="00CD6C16"/>
    <w:rsid w:val="00CD7884"/>
    <w:rsid w:val="00CD7A25"/>
    <w:rsid w:val="00CE7F4B"/>
    <w:rsid w:val="00CF1356"/>
    <w:rsid w:val="00CF247F"/>
    <w:rsid w:val="00CF5B31"/>
    <w:rsid w:val="00CF7D17"/>
    <w:rsid w:val="00CF7F7F"/>
    <w:rsid w:val="00D019B0"/>
    <w:rsid w:val="00D01FBD"/>
    <w:rsid w:val="00D029BC"/>
    <w:rsid w:val="00D030FE"/>
    <w:rsid w:val="00D04631"/>
    <w:rsid w:val="00D1020C"/>
    <w:rsid w:val="00D1060A"/>
    <w:rsid w:val="00D106CF"/>
    <w:rsid w:val="00D10FE8"/>
    <w:rsid w:val="00D143A0"/>
    <w:rsid w:val="00D14DEC"/>
    <w:rsid w:val="00D1799A"/>
    <w:rsid w:val="00D203B5"/>
    <w:rsid w:val="00D2062B"/>
    <w:rsid w:val="00D24229"/>
    <w:rsid w:val="00D26C3D"/>
    <w:rsid w:val="00D3383E"/>
    <w:rsid w:val="00D41894"/>
    <w:rsid w:val="00D44870"/>
    <w:rsid w:val="00D527E0"/>
    <w:rsid w:val="00D52CD7"/>
    <w:rsid w:val="00D54CD2"/>
    <w:rsid w:val="00D5648C"/>
    <w:rsid w:val="00D614D5"/>
    <w:rsid w:val="00D61DAE"/>
    <w:rsid w:val="00D65429"/>
    <w:rsid w:val="00D70ED2"/>
    <w:rsid w:val="00D7111C"/>
    <w:rsid w:val="00D735DC"/>
    <w:rsid w:val="00D76CD5"/>
    <w:rsid w:val="00D817A9"/>
    <w:rsid w:val="00D817E2"/>
    <w:rsid w:val="00D8546C"/>
    <w:rsid w:val="00D86000"/>
    <w:rsid w:val="00D8669A"/>
    <w:rsid w:val="00D90197"/>
    <w:rsid w:val="00D94B5D"/>
    <w:rsid w:val="00D95116"/>
    <w:rsid w:val="00D95D7A"/>
    <w:rsid w:val="00DA0E01"/>
    <w:rsid w:val="00DA0E5F"/>
    <w:rsid w:val="00DA2789"/>
    <w:rsid w:val="00DA6240"/>
    <w:rsid w:val="00DA68A2"/>
    <w:rsid w:val="00DB1AF5"/>
    <w:rsid w:val="00DB39C1"/>
    <w:rsid w:val="00DB60F2"/>
    <w:rsid w:val="00DB68DE"/>
    <w:rsid w:val="00DB7AF8"/>
    <w:rsid w:val="00DC0681"/>
    <w:rsid w:val="00DC2E6B"/>
    <w:rsid w:val="00DC612E"/>
    <w:rsid w:val="00DC76C6"/>
    <w:rsid w:val="00DD1D80"/>
    <w:rsid w:val="00DD2647"/>
    <w:rsid w:val="00DE06AA"/>
    <w:rsid w:val="00DE1CE3"/>
    <w:rsid w:val="00DE55A7"/>
    <w:rsid w:val="00DF07BD"/>
    <w:rsid w:val="00DF2ACF"/>
    <w:rsid w:val="00DF3275"/>
    <w:rsid w:val="00DF71D2"/>
    <w:rsid w:val="00E0197F"/>
    <w:rsid w:val="00E01D45"/>
    <w:rsid w:val="00E02F95"/>
    <w:rsid w:val="00E034ED"/>
    <w:rsid w:val="00E06398"/>
    <w:rsid w:val="00E1183E"/>
    <w:rsid w:val="00E13022"/>
    <w:rsid w:val="00E15319"/>
    <w:rsid w:val="00E163AF"/>
    <w:rsid w:val="00E23852"/>
    <w:rsid w:val="00E249AF"/>
    <w:rsid w:val="00E25E9E"/>
    <w:rsid w:val="00E305C8"/>
    <w:rsid w:val="00E32BA2"/>
    <w:rsid w:val="00E35FB8"/>
    <w:rsid w:val="00E36E93"/>
    <w:rsid w:val="00E400BC"/>
    <w:rsid w:val="00E42B07"/>
    <w:rsid w:val="00E445E3"/>
    <w:rsid w:val="00E4493C"/>
    <w:rsid w:val="00E52265"/>
    <w:rsid w:val="00E555D2"/>
    <w:rsid w:val="00E5719D"/>
    <w:rsid w:val="00E628A5"/>
    <w:rsid w:val="00E66747"/>
    <w:rsid w:val="00E67058"/>
    <w:rsid w:val="00E704DC"/>
    <w:rsid w:val="00E708D4"/>
    <w:rsid w:val="00E71516"/>
    <w:rsid w:val="00E740DF"/>
    <w:rsid w:val="00E74859"/>
    <w:rsid w:val="00E75251"/>
    <w:rsid w:val="00E85C0A"/>
    <w:rsid w:val="00E87336"/>
    <w:rsid w:val="00E91059"/>
    <w:rsid w:val="00E91661"/>
    <w:rsid w:val="00E92BF9"/>
    <w:rsid w:val="00E93EF5"/>
    <w:rsid w:val="00E9483B"/>
    <w:rsid w:val="00EA0459"/>
    <w:rsid w:val="00EA17E0"/>
    <w:rsid w:val="00EA2607"/>
    <w:rsid w:val="00EA2C71"/>
    <w:rsid w:val="00EA395F"/>
    <w:rsid w:val="00EA62E8"/>
    <w:rsid w:val="00EA63E3"/>
    <w:rsid w:val="00EB10FC"/>
    <w:rsid w:val="00EB1853"/>
    <w:rsid w:val="00EB24D7"/>
    <w:rsid w:val="00EB31F8"/>
    <w:rsid w:val="00EB62E3"/>
    <w:rsid w:val="00EB6A65"/>
    <w:rsid w:val="00EC27D5"/>
    <w:rsid w:val="00EC3352"/>
    <w:rsid w:val="00EC57F8"/>
    <w:rsid w:val="00EC6C2C"/>
    <w:rsid w:val="00ED169D"/>
    <w:rsid w:val="00ED1F25"/>
    <w:rsid w:val="00ED3B84"/>
    <w:rsid w:val="00ED499B"/>
    <w:rsid w:val="00ED525A"/>
    <w:rsid w:val="00ED5E01"/>
    <w:rsid w:val="00EE2406"/>
    <w:rsid w:val="00EE2825"/>
    <w:rsid w:val="00EE3C96"/>
    <w:rsid w:val="00EE6C8D"/>
    <w:rsid w:val="00EF1F22"/>
    <w:rsid w:val="00EF21B3"/>
    <w:rsid w:val="00EF291E"/>
    <w:rsid w:val="00EF428C"/>
    <w:rsid w:val="00EF4ECD"/>
    <w:rsid w:val="00EF5F8E"/>
    <w:rsid w:val="00EF66E0"/>
    <w:rsid w:val="00EF70E2"/>
    <w:rsid w:val="00EF7DFA"/>
    <w:rsid w:val="00F006A8"/>
    <w:rsid w:val="00F00BAF"/>
    <w:rsid w:val="00F022AC"/>
    <w:rsid w:val="00F024BB"/>
    <w:rsid w:val="00F03116"/>
    <w:rsid w:val="00F03986"/>
    <w:rsid w:val="00F044A2"/>
    <w:rsid w:val="00F105DE"/>
    <w:rsid w:val="00F11C8F"/>
    <w:rsid w:val="00F12BD5"/>
    <w:rsid w:val="00F145DE"/>
    <w:rsid w:val="00F15652"/>
    <w:rsid w:val="00F201D8"/>
    <w:rsid w:val="00F22942"/>
    <w:rsid w:val="00F22BAD"/>
    <w:rsid w:val="00F24F6D"/>
    <w:rsid w:val="00F30BA4"/>
    <w:rsid w:val="00F31718"/>
    <w:rsid w:val="00F33DE4"/>
    <w:rsid w:val="00F35384"/>
    <w:rsid w:val="00F36AA0"/>
    <w:rsid w:val="00F449EB"/>
    <w:rsid w:val="00F455D7"/>
    <w:rsid w:val="00F46CA0"/>
    <w:rsid w:val="00F50A53"/>
    <w:rsid w:val="00F51A17"/>
    <w:rsid w:val="00F51E06"/>
    <w:rsid w:val="00F53083"/>
    <w:rsid w:val="00F546AD"/>
    <w:rsid w:val="00F564E8"/>
    <w:rsid w:val="00F572E6"/>
    <w:rsid w:val="00F61742"/>
    <w:rsid w:val="00F640E5"/>
    <w:rsid w:val="00F65CC8"/>
    <w:rsid w:val="00F66B8F"/>
    <w:rsid w:val="00F716BB"/>
    <w:rsid w:val="00F73DE7"/>
    <w:rsid w:val="00F73F6D"/>
    <w:rsid w:val="00F74719"/>
    <w:rsid w:val="00F76C96"/>
    <w:rsid w:val="00F7783B"/>
    <w:rsid w:val="00F8163F"/>
    <w:rsid w:val="00F82566"/>
    <w:rsid w:val="00F825DE"/>
    <w:rsid w:val="00F846EC"/>
    <w:rsid w:val="00F84C59"/>
    <w:rsid w:val="00F85C38"/>
    <w:rsid w:val="00F93BFF"/>
    <w:rsid w:val="00F93E52"/>
    <w:rsid w:val="00F95758"/>
    <w:rsid w:val="00F95F77"/>
    <w:rsid w:val="00F96078"/>
    <w:rsid w:val="00F97699"/>
    <w:rsid w:val="00FA426E"/>
    <w:rsid w:val="00FA518D"/>
    <w:rsid w:val="00FA7518"/>
    <w:rsid w:val="00FA7715"/>
    <w:rsid w:val="00FB064D"/>
    <w:rsid w:val="00FB4A6A"/>
    <w:rsid w:val="00FB6A24"/>
    <w:rsid w:val="00FC0DE5"/>
    <w:rsid w:val="00FC12FF"/>
    <w:rsid w:val="00FC3739"/>
    <w:rsid w:val="00FC3B6C"/>
    <w:rsid w:val="00FC47FC"/>
    <w:rsid w:val="00FC6174"/>
    <w:rsid w:val="00FC7CC5"/>
    <w:rsid w:val="00FD1785"/>
    <w:rsid w:val="00FD1813"/>
    <w:rsid w:val="00FD3CC3"/>
    <w:rsid w:val="00FD4B1F"/>
    <w:rsid w:val="00FD5D2F"/>
    <w:rsid w:val="00FE2186"/>
    <w:rsid w:val="00FE5746"/>
    <w:rsid w:val="00FF5208"/>
    <w:rsid w:val="00FF5E1F"/>
    <w:rsid w:val="00FF799F"/>
    <w:rsid w:val="03A94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uiPriority="99" w:name="Body Text First Indent 2"/>
    <w:lsdException w:qFormat="1" w:unhideWhenUsed="0" w:uiPriority="0" w:name="Note Heading"/>
    <w:lsdException w:uiPriority="0" w:name="Body Text 2"/>
    <w:lsdException w:qFormat="1" w:uiPriority="0" w:name="Body Text 3"/>
    <w:lsdException w:qFormat="1" w:unhideWhenUsed="0" w:uiPriority="0" w:name="Body Text Indent 2"/>
    <w:lsdException w:uiPriority="0" w:name="Body Text Indent 3"/>
    <w:lsdException w:uiPriority="99" w:name="Block Text"/>
    <w:lsdException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uiPriority w:val="99"/>
    <w:pPr>
      <w:numPr>
        <w:ilvl w:val="0"/>
        <w:numId w:val="1"/>
      </w:numPr>
      <w:contextualSpacing/>
    </w:pPr>
  </w:style>
  <w:style w:type="paragraph" w:styleId="16">
    <w:name w:val="Document Map"/>
    <w:basedOn w:val="1"/>
    <w:link w:val="92"/>
    <w:semiHidden/>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qFormat/>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uiPriority w:val="0"/>
    <w:pPr>
      <w:spacing w:after="120"/>
    </w:pPr>
    <w:rPr>
      <w:rFonts w:ascii="Times New Roman" w:hAnsi="Times New Roman" w:eastAsia="宋体" w:cs="Times New Roman"/>
      <w:kern w:val="0"/>
      <w:sz w:val="24"/>
      <w:szCs w:val="24"/>
    </w:rPr>
  </w:style>
  <w:style w:type="paragraph" w:styleId="20">
    <w:name w:val="Body Text Indent"/>
    <w:basedOn w:val="1"/>
    <w:link w:val="100"/>
    <w:qFormat/>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uiPriority w:val="99"/>
    <w:rPr>
      <w:sz w:val="18"/>
      <w:szCs w:val="18"/>
    </w:rPr>
  </w:style>
  <w:style w:type="paragraph" w:styleId="28">
    <w:name w:val="footer"/>
    <w:basedOn w:val="1"/>
    <w:link w:val="54"/>
    <w:unhideWhenUsed/>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uiPriority w:val="39"/>
    <w:pPr>
      <w:ind w:left="2100" w:leftChars="1000"/>
    </w:pPr>
  </w:style>
  <w:style w:type="paragraph" w:styleId="35">
    <w:name w:val="Body Text Indent 3"/>
    <w:basedOn w:val="1"/>
    <w:link w:val="135"/>
    <w:semiHidden/>
    <w:unhideWhenUsed/>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qFormat/>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qFormat/>
    <w:uiPriority w:val="9"/>
    <w:rPr>
      <w:rFonts w:ascii="Times New Roman" w:hAnsi="Times New Roman" w:eastAsia="仿宋" w:cstheme="majorBidi"/>
      <w:b/>
      <w:bCs/>
      <w:sz w:val="32"/>
      <w:szCs w:val="32"/>
    </w:rPr>
  </w:style>
  <w:style w:type="character" w:customStyle="1" w:styleId="57">
    <w:name w:val="标题 3 Char2"/>
    <w:basedOn w:val="46"/>
    <w:link w:val="4"/>
    <w:qFormat/>
    <w:uiPriority w:val="9"/>
    <w:rPr>
      <w:rFonts w:ascii="Times New Roman" w:hAnsi="Times New Roman" w:eastAsia="仿宋"/>
      <w:b/>
      <w:bCs/>
      <w:sz w:val="30"/>
      <w:szCs w:val="32"/>
    </w:rPr>
  </w:style>
  <w:style w:type="paragraph" w:customStyle="1" w:styleId="58">
    <w:name w:val="Char Char Char"/>
    <w:basedOn w:val="1"/>
    <w:semiHidden/>
    <w:qFormat/>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uiPriority w:val="99"/>
    <w:rPr>
      <w:b/>
      <w:bCs/>
    </w:rPr>
  </w:style>
  <w:style w:type="character" w:customStyle="1" w:styleId="69">
    <w:name w:val="标题 5 字符"/>
    <w:basedOn w:val="46"/>
    <w:semiHidden/>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qFormat/>
    <w:uiPriority w:val="0"/>
    <w:rPr>
      <w:rFonts w:ascii="黑体" w:hAnsi="Times New Roman" w:eastAsia="黑体" w:cs="Times New Roman"/>
      <w:b/>
      <w:kern w:val="0"/>
      <w:sz w:val="32"/>
      <w:szCs w:val="32"/>
    </w:rPr>
  </w:style>
  <w:style w:type="character" w:customStyle="1" w:styleId="76">
    <w:name w:val="页眉 Char"/>
    <w:uiPriority w:val="99"/>
    <w:rPr>
      <w:sz w:val="18"/>
      <w:szCs w:val="18"/>
    </w:rPr>
  </w:style>
  <w:style w:type="paragraph" w:customStyle="1" w:styleId="77">
    <w:name w:val="Char Char Char1 Char Char Char Char Char Char2 Char1"/>
    <w:basedOn w:val="1"/>
    <w:semiHidden/>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uiPriority w:val="0"/>
  </w:style>
  <w:style w:type="character" w:customStyle="1" w:styleId="80">
    <w:name w:val="标题 1 Char"/>
    <w:uiPriority w:val="0"/>
    <w:rPr>
      <w:b/>
      <w:bCs/>
      <w:kern w:val="44"/>
      <w:sz w:val="44"/>
      <w:szCs w:val="44"/>
    </w:rPr>
  </w:style>
  <w:style w:type="character" w:customStyle="1" w:styleId="81">
    <w:name w:val="标题 2 Char"/>
    <w:qFormat/>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uiPriority w:val="0"/>
    <w:rPr>
      <w:rFonts w:ascii="Calibri" w:hAnsi="Calibri" w:eastAsia="宋体" w:cs="Times New Roman"/>
      <w:b/>
      <w:bCs/>
      <w:kern w:val="0"/>
      <w:sz w:val="28"/>
      <w:szCs w:val="28"/>
      <w:lang w:bidi="en-US"/>
    </w:rPr>
  </w:style>
  <w:style w:type="character" w:customStyle="1" w:styleId="84">
    <w:name w:val="标题 5 Char1"/>
    <w:link w:val="6"/>
    <w:uiPriority w:val="0"/>
    <w:rPr>
      <w:rFonts w:ascii="Calibri" w:hAnsi="Calibri" w:eastAsia="宋体" w:cs="Times New Roman"/>
      <w:b/>
      <w:bCs/>
      <w:i/>
      <w:iCs/>
      <w:kern w:val="0"/>
      <w:sz w:val="26"/>
      <w:szCs w:val="26"/>
      <w:lang w:bidi="en-US"/>
    </w:rPr>
  </w:style>
  <w:style w:type="character" w:customStyle="1" w:styleId="85">
    <w:name w:val="标题 6 Char1"/>
    <w:link w:val="7"/>
    <w:uiPriority w:val="0"/>
    <w:rPr>
      <w:rFonts w:ascii="Calibri" w:hAnsi="Calibri" w:eastAsia="宋体" w:cs="Times New Roman"/>
      <w:b/>
      <w:bCs/>
      <w:kern w:val="0"/>
      <w:sz w:val="22"/>
      <w:szCs w:val="28"/>
      <w:lang w:bidi="en-US"/>
    </w:rPr>
  </w:style>
  <w:style w:type="character" w:customStyle="1" w:styleId="86">
    <w:name w:val="标题 7 Char1"/>
    <w:link w:val="8"/>
    <w:qFormat/>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qFormat/>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qFormat/>
    <w:uiPriority w:val="0"/>
    <w:rPr>
      <w:rFonts w:ascii="Arial" w:hAnsi="Arial" w:eastAsia="黑体" w:cs="Times New Roman"/>
      <w:b/>
      <w:bCs/>
      <w:kern w:val="0"/>
      <w:sz w:val="30"/>
      <w:szCs w:val="32"/>
    </w:rPr>
  </w:style>
  <w:style w:type="character" w:customStyle="1" w:styleId="91">
    <w:name w:val="标题 3 Char1"/>
    <w:uiPriority w:val="0"/>
    <w:rPr>
      <w:rFonts w:ascii="仿宋_GB2312" w:hAnsi="Times New Roman" w:eastAsia="仿宋_GB2312" w:cs="Times New Roman"/>
      <w:b/>
      <w:bCs/>
      <w:kern w:val="0"/>
      <w:sz w:val="28"/>
      <w:szCs w:val="32"/>
    </w:rPr>
  </w:style>
  <w:style w:type="character" w:customStyle="1" w:styleId="92">
    <w:name w:val="文档结构图 Char2"/>
    <w:link w:val="16"/>
    <w:semiHidden/>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uiPriority w:val="99"/>
    <w:rPr>
      <w:rFonts w:ascii="Microsoft YaHei UI" w:eastAsia="Microsoft YaHei UI"/>
      <w:sz w:val="18"/>
      <w:szCs w:val="18"/>
    </w:rPr>
  </w:style>
  <w:style w:type="paragraph" w:customStyle="1" w:styleId="95">
    <w:name w:val="样式 标题 2 + 首行缩进:  2 字符 段前: 0.5 行 段后: 0.5 行"/>
    <w:basedOn w:val="3"/>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uiPriority w:val="0"/>
    <w:pPr>
      <w:spacing w:before="0" w:after="0" w:line="360" w:lineRule="auto"/>
    </w:pPr>
    <w:rPr>
      <w:rFonts w:ascii="仿宋_GB2312" w:eastAsia="仿宋_GB2312" w:cs="宋体"/>
      <w:kern w:val="0"/>
      <w:sz w:val="28"/>
      <w:szCs w:val="20"/>
    </w:rPr>
  </w:style>
  <w:style w:type="character" w:customStyle="1" w:styleId="97">
    <w:name w:val="文字 Char"/>
    <w:link w:val="61"/>
    <w:uiPriority w:val="0"/>
    <w:rPr>
      <w:rFonts w:ascii="Times New Roman" w:hAnsi="Times New Roman" w:eastAsia="宋体" w:cs="Times New Roman"/>
      <w:kern w:val="0"/>
      <w:sz w:val="24"/>
      <w:szCs w:val="24"/>
    </w:rPr>
  </w:style>
  <w:style w:type="character" w:customStyle="1" w:styleId="98">
    <w:name w:val="正文文本缩进 字符"/>
    <w:basedOn w:val="46"/>
    <w:semiHidden/>
    <w:uiPriority w:val="99"/>
  </w:style>
  <w:style w:type="character" w:customStyle="1" w:styleId="99">
    <w:name w:val="正文文本缩进 Char"/>
    <w:basedOn w:val="46"/>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qFormat/>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qFormat/>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uiPriority w:val="0"/>
    <w:rPr>
      <w:rFonts w:ascii="Arial" w:hAnsi="Arial" w:eastAsia="黑体"/>
      <w:b/>
      <w:bCs/>
      <w:color w:val="auto"/>
      <w:sz w:val="32"/>
      <w:u w:val="none"/>
    </w:rPr>
  </w:style>
  <w:style w:type="character" w:customStyle="1" w:styleId="106">
    <w:name w:val="标题 字符"/>
    <w:basedOn w:val="46"/>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uiPriority w:val="99"/>
  </w:style>
  <w:style w:type="character" w:customStyle="1" w:styleId="128">
    <w:name w:val="正文文本 Char1"/>
    <w:link w:val="19"/>
    <w:uiPriority w:val="0"/>
    <w:rPr>
      <w:rFonts w:ascii="Times New Roman" w:hAnsi="Times New Roman" w:eastAsia="宋体" w:cs="Times New Roman"/>
      <w:kern w:val="0"/>
      <w:sz w:val="24"/>
      <w:szCs w:val="24"/>
    </w:rPr>
  </w:style>
  <w:style w:type="character" w:customStyle="1" w:styleId="129">
    <w:name w:val="正文首行缩进 Char"/>
    <w:qFormat/>
    <w:uiPriority w:val="0"/>
    <w:rPr>
      <w:rFonts w:ascii="Times New Roman" w:hAnsi="Times New Roman" w:eastAsia="宋体" w:cs="Times New Roman"/>
      <w:sz w:val="24"/>
      <w:szCs w:val="24"/>
    </w:rPr>
  </w:style>
  <w:style w:type="character" w:customStyle="1" w:styleId="130">
    <w:name w:val="正文首行缩进 Char1"/>
    <w:qFormat/>
    <w:uiPriority w:val="0"/>
    <w:rPr>
      <w:rFonts w:ascii="Times New Roman" w:hAnsi="Times New Roman" w:eastAsia="宋体" w:cs="Times New Roman"/>
      <w:sz w:val="28"/>
      <w:szCs w:val="24"/>
    </w:rPr>
  </w:style>
  <w:style w:type="paragraph" w:customStyle="1" w:styleId="131">
    <w:name w:val="样式 标题 3 + 小四 段前: 0 磅 段后: 0 磅"/>
    <w:basedOn w:val="4"/>
    <w:qFormat/>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qFormat/>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uiPriority w:val="0"/>
    <w:rPr>
      <w:rFonts w:ascii="Calibri" w:hAnsi="Calibri" w:eastAsia="宋体" w:cs="Times New Roman"/>
      <w:kern w:val="0"/>
      <w:sz w:val="16"/>
      <w:szCs w:val="16"/>
      <w:lang w:bidi="en-US"/>
    </w:rPr>
  </w:style>
  <w:style w:type="character" w:customStyle="1" w:styleId="136">
    <w:name w:val="正文文本缩进 3 字符"/>
    <w:basedOn w:val="46"/>
    <w:semiHidden/>
    <w:uiPriority w:val="99"/>
    <w:rPr>
      <w:sz w:val="16"/>
      <w:szCs w:val="16"/>
    </w:rPr>
  </w:style>
  <w:style w:type="character" w:customStyle="1" w:styleId="137">
    <w:name w:val="正文文本缩进 3 Char1"/>
    <w:semiHidden/>
    <w:uiPriority w:val="99"/>
    <w:rPr>
      <w:sz w:val="16"/>
      <w:szCs w:val="16"/>
    </w:rPr>
  </w:style>
  <w:style w:type="character" w:customStyle="1" w:styleId="138">
    <w:name w:val="正文文本缩进 2 Char2"/>
    <w:link w:val="26"/>
    <w:semiHidden/>
    <w:uiPriority w:val="0"/>
    <w:rPr>
      <w:rFonts w:ascii="Times New Roman" w:hAnsi="Times New Roman" w:eastAsia="宋体" w:cs="Times New Roman"/>
      <w:sz w:val="28"/>
      <w:szCs w:val="24"/>
    </w:rPr>
  </w:style>
  <w:style w:type="character" w:customStyle="1" w:styleId="139">
    <w:name w:val="正文文本缩进 2 字符"/>
    <w:basedOn w:val="46"/>
    <w:semiHidden/>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uiPriority w:val="0"/>
    <w:rPr>
      <w:rFonts w:ascii="Calibri" w:hAnsi="Calibri" w:eastAsia="宋体" w:cs="Times New Roman"/>
      <w:kern w:val="0"/>
      <w:sz w:val="24"/>
      <w:szCs w:val="24"/>
      <w:lang w:bidi="en-US"/>
    </w:rPr>
  </w:style>
  <w:style w:type="character" w:customStyle="1" w:styleId="142">
    <w:name w:val="正文文本 2 字符"/>
    <w:basedOn w:val="46"/>
    <w:semiHidden/>
    <w:uiPriority w:val="99"/>
  </w:style>
  <w:style w:type="character" w:customStyle="1" w:styleId="143">
    <w:name w:val="正文文本 2 Char1"/>
    <w:basedOn w:val="46"/>
    <w:semiHidden/>
    <w:uiPriority w:val="99"/>
  </w:style>
  <w:style w:type="paragraph" w:customStyle="1" w:styleId="144">
    <w:name w:val="样式1"/>
    <w:basedOn w:val="2"/>
    <w:next w:val="12"/>
    <w:qFormat/>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qFormat/>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qFormat/>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qFormat/>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uiPriority w:val="0"/>
    <w:rPr>
      <w:rFonts w:ascii="Times New Roman" w:hAnsi="Times New Roman" w:eastAsia="宋体" w:cs="Times New Roman"/>
      <w:kern w:val="0"/>
      <w:sz w:val="15"/>
      <w:szCs w:val="24"/>
    </w:rPr>
  </w:style>
  <w:style w:type="paragraph" w:customStyle="1" w:styleId="210">
    <w:name w:val="表中文字（小四）"/>
    <w:basedOn w:val="1"/>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qFormat/>
    <w:uiPriority w:val="99"/>
    <w:rPr>
      <w:rFonts w:ascii="仿宋_GB2312" w:hAnsi="Times New Roman" w:eastAsia="仿宋_GB2312" w:cs="Times New Roman"/>
      <w:kern w:val="0"/>
      <w:sz w:val="24"/>
      <w:szCs w:val="24"/>
    </w:rPr>
  </w:style>
  <w:style w:type="character" w:customStyle="1" w:styleId="215">
    <w:name w:val="批注主题 字符1"/>
    <w:semiHidden/>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qFormat/>
    <w:uiPriority w:val="99"/>
    <w:rPr>
      <w:rFonts w:ascii="Arial" w:hAnsi="Arial" w:cs="Arial"/>
      <w:vanish/>
      <w:sz w:val="16"/>
      <w:szCs w:val="16"/>
    </w:rPr>
  </w:style>
  <w:style w:type="character" w:customStyle="1" w:styleId="277">
    <w:name w:val="z-窗体顶端 Char1"/>
    <w:link w:val="275"/>
    <w:semiHidden/>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qFormat/>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uiPriority w:val="99"/>
  </w:style>
  <w:style w:type="character" w:customStyle="1" w:styleId="316">
    <w:name w:val="正文首行缩进 2 Char1"/>
    <w:basedOn w:val="98"/>
    <w:link w:val="43"/>
    <w:semiHidden/>
    <w:qFormat/>
    <w:uiPriority w:val="99"/>
  </w:style>
  <w:style w:type="character" w:customStyle="1" w:styleId="317">
    <w:name w:val="标题 5 Char"/>
    <w:uiPriority w:val="0"/>
    <w:rPr>
      <w:rFonts w:ascii="Calibri" w:hAnsi="Calibri" w:eastAsia="宋体" w:cs="Times New Roman"/>
      <w:b/>
      <w:bCs/>
      <w:i/>
      <w:iCs/>
      <w:kern w:val="0"/>
      <w:sz w:val="26"/>
      <w:szCs w:val="26"/>
      <w:lang w:bidi="en-US"/>
    </w:rPr>
  </w:style>
  <w:style w:type="character" w:customStyle="1" w:styleId="318">
    <w:name w:val="标题 6 Char"/>
    <w:qFormat/>
    <w:uiPriority w:val="0"/>
    <w:rPr>
      <w:rFonts w:ascii="Calibri" w:hAnsi="Calibri" w:eastAsia="宋体" w:cs="Times New Roman"/>
      <w:b/>
      <w:bCs/>
      <w:kern w:val="0"/>
      <w:sz w:val="22"/>
      <w:lang w:bidi="en-US"/>
    </w:rPr>
  </w:style>
  <w:style w:type="character" w:customStyle="1" w:styleId="319">
    <w:name w:val="标题 7 Char"/>
    <w:qFormat/>
    <w:uiPriority w:val="0"/>
    <w:rPr>
      <w:rFonts w:ascii="Calibri" w:hAnsi="Calibri" w:eastAsia="宋体" w:cs="Times New Roman"/>
      <w:kern w:val="0"/>
      <w:sz w:val="24"/>
      <w:szCs w:val="24"/>
      <w:lang w:bidi="en-US"/>
    </w:rPr>
  </w:style>
  <w:style w:type="character" w:customStyle="1" w:styleId="320">
    <w:name w:val="标题 8 Char"/>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qFormat/>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uiPriority w:val="0"/>
    <w:rPr>
      <w:rFonts w:ascii="Times New Roman" w:hAnsi="Times New Roman" w:eastAsia="宋体" w:cs="Times New Roman"/>
      <w:sz w:val="24"/>
      <w:szCs w:val="24"/>
    </w:rPr>
  </w:style>
  <w:style w:type="character" w:customStyle="1" w:styleId="331">
    <w:name w:val="正文文本 3 Char"/>
    <w:semiHidden/>
    <w:uiPriority w:val="0"/>
    <w:rPr>
      <w:rFonts w:ascii="Calibri" w:hAnsi="Calibri" w:eastAsia="宋体" w:cs="Times New Roman"/>
      <w:kern w:val="0"/>
      <w:sz w:val="16"/>
      <w:szCs w:val="16"/>
      <w:lang w:bidi="en-US"/>
    </w:rPr>
  </w:style>
  <w:style w:type="character" w:customStyle="1" w:styleId="332">
    <w:name w:val="正文文本缩进 3 Char"/>
    <w:semiHidden/>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qFormat/>
    <w:uiPriority w:val="0"/>
    <w:rPr>
      <w:rFonts w:ascii="Times New Roman" w:hAnsi="Times New Roman" w:eastAsia="宋体" w:cs="Times New Roman"/>
      <w:szCs w:val="24"/>
    </w:rPr>
  </w:style>
  <w:style w:type="character" w:customStyle="1" w:styleId="344">
    <w:name w:val="批注文字 字符"/>
    <w:basedOn w:val="46"/>
    <w:uiPriority w:val="99"/>
  </w:style>
  <w:style w:type="character" w:customStyle="1" w:styleId="345">
    <w:name w:val="批注主题 字符"/>
    <w:basedOn w:val="344"/>
    <w:semiHidden/>
    <w:qFormat/>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uiPriority w:val="99"/>
    <w:rPr>
      <w:color w:val="605E5C"/>
      <w:shd w:val="clear" w:color="auto" w:fill="E1DFDD"/>
    </w:rPr>
  </w:style>
  <w:style w:type="character" w:customStyle="1" w:styleId="348">
    <w:name w:val="未处理的提及4"/>
    <w:basedOn w:val="46"/>
    <w:semiHidden/>
    <w:unhideWhenUsed/>
    <w:qFormat/>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qFormat/>
    <w:uiPriority w:val="99"/>
    <w:rPr>
      <w:color w:val="605E5C"/>
      <w:shd w:val="clear" w:color="auto" w:fill="E1DFDD"/>
    </w:rPr>
  </w:style>
  <w:style w:type="character" w:customStyle="1" w:styleId="353">
    <w:name w:val="Unresolved Mention"/>
    <w:basedOn w:val="46"/>
    <w:semiHidden/>
    <w:unhideWhenUsed/>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customStyle="1" w:styleId="355">
    <w:name w:val="网格型2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emf"/><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04EE5-37AA-4101-A665-0B39DC3673F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60</Pages>
  <Words>5464</Words>
  <Characters>31147</Characters>
  <Lines>259</Lines>
  <Paragraphs>73</Paragraphs>
  <TotalTime>97</TotalTime>
  <ScaleCrop>false</ScaleCrop>
  <LinksUpToDate>false</LinksUpToDate>
  <CharactersWithSpaces>36538</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2019-12-17T05:49:00Z</dcterms:created>
  <dc:creator>Administrator</dc:creator>
  <cp:lastModifiedBy>ynfyzfb</cp:lastModifiedBy>
  <cp:lastPrinted>2019-09-29T02:51:00Z</cp:lastPrinted>
  <dcterms:modified xsi:type="dcterms:W3CDTF">2020-11-05T09:36:22Z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