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p>
    <w:p>
      <w:pPr>
        <w:pStyle w:val="55"/>
        <w:adjustRightInd w:val="0"/>
        <w:snapToGrid w:val="0"/>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bookmarkStart w:id="0" w:name="_Toc478744137"/>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曲靖市富源县</w:t>
      </w:r>
      <w:bookmarkStart w:id="242" w:name="_GoBack"/>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墨红镇吉克</w:t>
      </w:r>
      <w: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t>水库</w:t>
      </w:r>
      <w:bookmarkEnd w:id="242"/>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饮用水</w:t>
      </w:r>
    </w:p>
    <w:p>
      <w:pPr>
        <w:pStyle w:val="55"/>
        <w:adjustRightInd w:val="0"/>
        <w:snapToGrid w:val="0"/>
        <w:spacing w:line="360" w:lineRule="auto"/>
        <w:ind w:left="357" w:firstLine="0" w:firstLineChars="0"/>
        <w:jc w:val="center"/>
        <w:rPr>
          <w:rFonts w:ascii="仿宋" w:hAnsi="仿宋" w:eastAsia="仿宋" w:cs="Times New Roman"/>
          <w:b/>
          <w:color w:val="0D0D0D" w:themeColor="text1" w:themeTint="F2"/>
          <w:sz w:val="44"/>
          <w:szCs w:val="44"/>
          <w14:textFill>
            <w14:solidFill>
              <w14:schemeClr w14:val="tx1">
                <w14:lumMod w14:val="95000"/>
                <w14:lumOff w14:val="5000"/>
              </w14:schemeClr>
            </w14:solidFill>
          </w14:textFill>
        </w:rPr>
      </w:pPr>
      <w:r>
        <w:rPr>
          <w:rFonts w:hint="eastAsia" w:ascii="仿宋" w:hAnsi="仿宋" w:eastAsia="仿宋" w:cs="Times New Roman"/>
          <w:b/>
          <w:color w:val="0D0D0D" w:themeColor="text1" w:themeTint="F2"/>
          <w:sz w:val="44"/>
          <w:szCs w:val="44"/>
          <w14:textFill>
            <w14:solidFill>
              <w14:schemeClr w14:val="tx1">
                <w14:lumMod w14:val="95000"/>
                <w14:lumOff w14:val="5000"/>
              </w14:schemeClr>
            </w14:solidFill>
          </w14:textFill>
        </w:rPr>
        <w:t>水源保护区划分方案</w:t>
      </w:r>
    </w:p>
    <w:p>
      <w:pPr>
        <w:pStyle w:val="55"/>
        <w:adjustRightInd w:val="0"/>
        <w:snapToGrid w:val="0"/>
        <w:spacing w:line="360" w:lineRule="auto"/>
        <w:ind w:left="357" w:firstLine="0" w:firstLineChars="0"/>
        <w:jc w:val="center"/>
        <w:rPr>
          <w:rFonts w:eastAsia="仿宋"/>
          <w:b/>
          <w:color w:val="0D0D0D" w:themeColor="text1" w:themeTint="F2"/>
          <w:sz w:val="36"/>
          <w:szCs w:val="36"/>
          <w14:textFill>
            <w14:solidFill>
              <w14:schemeClr w14:val="tx1">
                <w14:lumMod w14:val="95000"/>
                <w14:lumOff w14:val="5000"/>
              </w14:schemeClr>
            </w14:solidFill>
          </w14:textFill>
        </w:rPr>
      </w:pPr>
      <w:r>
        <w:rPr>
          <w:rFonts w:hint="eastAsia" w:eastAsia="仿宋"/>
          <w:b/>
          <w:color w:val="0D0D0D" w:themeColor="text1" w:themeTint="F2"/>
          <w:sz w:val="36"/>
          <w:szCs w:val="36"/>
          <w14:textFill>
            <w14:solidFill>
              <w14:schemeClr w14:val="tx1">
                <w14:lumMod w14:val="95000"/>
                <w14:lumOff w14:val="5000"/>
              </w14:schemeClr>
            </w14:solidFill>
          </w14:textFill>
        </w:rPr>
        <w:t>（报批稿）</w:t>
      </w: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tabs>
          <w:tab w:val="left" w:pos="2472"/>
          <w:tab w:val="left" w:pos="3586"/>
          <w:tab w:val="center" w:pos="4331"/>
        </w:tabs>
        <w:spacing w:line="360" w:lineRule="auto"/>
        <w:ind w:left="357" w:firstLine="0" w:firstLineChars="0"/>
        <w:rPr>
          <w:rFonts w:eastAsia="仿宋"/>
          <w:b/>
          <w:color w:val="0D0D0D" w:themeColor="text1" w:themeTint="F2"/>
          <w:sz w:val="32"/>
          <w:szCs w:val="24"/>
          <w14:textFill>
            <w14:solidFill>
              <w14:schemeClr w14:val="tx1">
                <w14:lumMod w14:val="95000"/>
                <w14:lumOff w14:val="5000"/>
              </w14:schemeClr>
            </w14:solidFill>
          </w14:textFill>
        </w:rPr>
      </w:pPr>
      <w:r>
        <w:rPr>
          <w:rFonts w:eastAsia="仿宋"/>
          <w:b/>
          <w:color w:val="0D0D0D" w:themeColor="text1" w:themeTint="F2"/>
          <w:sz w:val="32"/>
          <w:szCs w:val="24"/>
          <w14:textFill>
            <w14:solidFill>
              <w14:schemeClr w14:val="tx1">
                <w14:lumMod w14:val="95000"/>
                <w14:lumOff w14:val="5000"/>
              </w14:schemeClr>
            </w14:solidFill>
          </w14:textFill>
        </w:rPr>
        <w:tab/>
      </w:r>
      <w:r>
        <w:rPr>
          <w:rFonts w:eastAsia="仿宋"/>
          <w:b/>
          <w:color w:val="0D0D0D" w:themeColor="text1" w:themeTint="F2"/>
          <w:sz w:val="32"/>
          <w:szCs w:val="24"/>
          <w14:textFill>
            <w14:solidFill>
              <w14:schemeClr w14:val="tx1">
                <w14:lumMod w14:val="95000"/>
                <w14:lumOff w14:val="5000"/>
              </w14:schemeClr>
            </w14:solidFill>
          </w14:textFill>
        </w:rPr>
        <w:tab/>
      </w:r>
      <w:r>
        <w:rPr>
          <w:rFonts w:eastAsia="仿宋"/>
          <w:b/>
          <w:color w:val="0D0D0D" w:themeColor="text1" w:themeTint="F2"/>
          <w:sz w:val="32"/>
          <w:szCs w:val="24"/>
          <w14:textFill>
            <w14:solidFill>
              <w14:schemeClr w14:val="tx1">
                <w14:lumMod w14:val="95000"/>
                <w14:lumOff w14:val="5000"/>
              </w14:schemeClr>
            </w14:solidFill>
          </w14:textFill>
        </w:rPr>
        <w:tab/>
      </w: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left="357" w:firstLine="0" w:firstLineChars="0"/>
        <w:jc w:val="center"/>
        <w:rPr>
          <w:rFonts w:eastAsia="仿宋"/>
          <w:b/>
          <w:color w:val="0D0D0D" w:themeColor="text1" w:themeTint="F2"/>
          <w:sz w:val="32"/>
          <w:szCs w:val="24"/>
          <w14:textFill>
            <w14:solidFill>
              <w14:schemeClr w14:val="tx1">
                <w14:lumMod w14:val="95000"/>
                <w14:lumOff w14:val="5000"/>
              </w14:schemeClr>
            </w14:solidFill>
          </w14:textFill>
        </w:rPr>
      </w:pPr>
    </w:p>
    <w:p>
      <w:pPr>
        <w:pStyle w:val="55"/>
        <w:spacing w:line="360" w:lineRule="auto"/>
        <w:ind w:firstLine="0" w:firstLineChars="0"/>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富源县人民政府</w:t>
      </w: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201</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9</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年12月</w:t>
      </w: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jc w:val="center"/>
        <w:rPr>
          <w:rFonts w:eastAsia="仿宋"/>
          <w:b/>
          <w:color w:val="0D0D0D" w:themeColor="text1" w:themeTint="F2"/>
          <w:sz w:val="32"/>
          <w:szCs w:val="24"/>
          <w14:textFill>
            <w14:solidFill>
              <w14:schemeClr w14:val="tx1">
                <w14:lumMod w14:val="95000"/>
                <w14:lumOff w14:val="5000"/>
              </w14:schemeClr>
            </w14:solidFill>
          </w14:textFill>
        </w:rPr>
      </w:pPr>
    </w:p>
    <w:p>
      <w:pPr>
        <w:widowControl/>
        <w:jc w:val="left"/>
        <w:rPr>
          <w:rFonts w:eastAsia="仿宋"/>
          <w:b/>
          <w:color w:val="0D0D0D" w:themeColor="text1" w:themeTint="F2"/>
          <w:sz w:val="32"/>
          <w:szCs w:val="24"/>
          <w14:textFill>
            <w14:solidFill>
              <w14:schemeClr w14:val="tx1">
                <w14:lumMod w14:val="95000"/>
                <w14:lumOff w14:val="5000"/>
              </w14:schemeClr>
            </w14:solidFill>
          </w14:textFill>
        </w:rPr>
      </w:pPr>
      <w:r>
        <w:rPr>
          <w:rFonts w:eastAsia="仿宋"/>
          <w:b/>
          <w:color w:val="0D0D0D" w:themeColor="text1" w:themeTint="F2"/>
          <w:sz w:val="32"/>
          <w:szCs w:val="24"/>
          <w14:textFill>
            <w14:solidFill>
              <w14:schemeClr w14:val="tx1">
                <w14:lumMod w14:val="95000"/>
                <w14:lumOff w14:val="5000"/>
              </w14:schemeClr>
            </w14:solidFill>
          </w14:textFill>
        </w:rPr>
        <w:br w:type="page"/>
      </w:r>
    </w:p>
    <w:p>
      <w:pPr>
        <w:tabs>
          <w:tab w:val="left" w:pos="15660"/>
        </w:tabs>
        <w:spacing w:line="700" w:lineRule="exact"/>
        <w:rPr>
          <w:rFonts w:ascii="Times New Roman" w:hAnsi="Times New Roman" w:eastAsia="仿宋_GB2312" w:cs="Times New Roman"/>
          <w:color w:val="0D0D0D" w:themeColor="text1" w:themeTint="F2"/>
          <w:spacing w:val="6"/>
          <w:w w:val="102"/>
          <w:sz w:val="36"/>
          <w:szCs w:val="30"/>
          <w14:textFill>
            <w14:solidFill>
              <w14:schemeClr w14:val="tx1">
                <w14:lumMod w14:val="95000"/>
                <w14:lumOff w14:val="5000"/>
              </w14:schemeClr>
            </w14:solidFill>
          </w14:textFill>
        </w:rPr>
      </w:pPr>
      <w:bookmarkStart w:id="1" w:name="_Hlk528187490"/>
    </w:p>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主持</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单位：</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富源县人民政府</w:t>
      </w:r>
    </w:p>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委托单位：墨红镇人民政府</w:t>
      </w:r>
    </w:p>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编制单位：云南新世纪环境保护科学研究院</w:t>
      </w:r>
    </w:p>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bl>
      <w:tblPr>
        <w:tblStyle w:val="45"/>
        <w:tblW w:w="7805" w:type="dxa"/>
        <w:tblInd w:w="4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11"/>
        <w:gridCol w:w="47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总工程师</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李  唯（正</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高级</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审    定：</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晏 </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司（高级工程师）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审 </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 xml:space="preserve">  核：</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董志芬（高级工程师）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项目</w:t>
            </w:r>
            <w:r>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负责人</w:t>
            </w: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罗柏青（工程师、硕士）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ind w:right="307" w:rightChars="146"/>
              <w:jc w:val="distribute"/>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主要编制人员：</w:t>
            </w: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王春香（工程师、硕士）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魏贤亮（工程师、硕士）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t>董徐艳（工程师、硕士）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011"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c>
          <w:tcPr>
            <w:tcW w:w="4794" w:type="dxa"/>
          </w:tcPr>
          <w:p>
            <w:pPr>
              <w:tabs>
                <w:tab w:val="left" w:pos="15660"/>
              </w:tabs>
              <w:spacing w:line="700" w:lineRule="exact"/>
              <w:rPr>
                <w:rFonts w:ascii="Times New Roman" w:hAnsi="Times New Roman" w:eastAsia="仿宋_GB2312" w:cs="Times New Roman"/>
                <w:color w:val="0D0D0D" w:themeColor="text1" w:themeTint="F2"/>
                <w:sz w:val="32"/>
                <w:szCs w:val="24"/>
                <w14:textFill>
                  <w14:solidFill>
                    <w14:schemeClr w14:val="tx1">
                      <w14:lumMod w14:val="95000"/>
                      <w14:lumOff w14:val="5000"/>
                    </w14:schemeClr>
                  </w14:solidFill>
                </w14:textFill>
              </w:rPr>
            </w:pPr>
          </w:p>
        </w:tc>
      </w:tr>
    </w:tbl>
    <w:p>
      <w:pPr>
        <w:jc w:val="center"/>
        <w:rPr>
          <w:rFonts w:eastAsia="仿宋"/>
          <w:b/>
          <w:color w:val="0D0D0D" w:themeColor="text1" w:themeTint="F2"/>
          <w:sz w:val="32"/>
          <w:szCs w:val="24"/>
          <w14:textFill>
            <w14:solidFill>
              <w14:schemeClr w14:val="tx1">
                <w14:lumMod w14:val="95000"/>
                <w14:lumOff w14:val="5000"/>
              </w14:schemeClr>
            </w14:solidFill>
          </w14:textFill>
        </w:rPr>
      </w:pPr>
    </w:p>
    <w:bookmarkEnd w:id="1"/>
    <w:p>
      <w:pPr>
        <w:widowControl/>
        <w:snapToGrid w:val="0"/>
        <w:spacing w:line="360" w:lineRule="auto"/>
        <w:jc w:val="left"/>
        <w:outlineLvl w:val="0"/>
        <w:rPr>
          <w:rFonts w:eastAsia="仿宋"/>
          <w:b/>
          <w:color w:val="0D0D0D" w:themeColor="text1" w:themeTint="F2"/>
          <w:sz w:val="32"/>
          <w:szCs w:val="32"/>
          <w14:textFill>
            <w14:solidFill>
              <w14:schemeClr w14:val="tx1">
                <w14:lumMod w14:val="95000"/>
                <w14:lumOff w14:val="5000"/>
              </w14:schemeClr>
            </w14:solidFill>
          </w14:textFill>
        </w:rPr>
        <w:sectPr>
          <w:footerReference r:id="rId3" w:type="default"/>
          <w:pgSz w:w="11906" w:h="16838"/>
          <w:pgMar w:top="1440" w:right="1800" w:bottom="1440" w:left="1800" w:header="851" w:footer="992" w:gutter="0"/>
          <w:pgNumType w:fmt="numberInDash"/>
          <w:cols w:space="425" w:num="1"/>
          <w:docGrid w:type="lines" w:linePitch="312" w:charSpace="0"/>
        </w:sectPr>
      </w:pPr>
    </w:p>
    <w:p>
      <w:pPr>
        <w:widowControl/>
        <w:snapToGrid w:val="0"/>
        <w:spacing w:line="360" w:lineRule="auto"/>
        <w:jc w:val="left"/>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footerReference r:id="rId4" w:type="default"/>
          <w:pgSz w:w="11906" w:h="16838"/>
          <w:pgMar w:top="1440" w:right="1800" w:bottom="1440" w:left="1800" w:header="851" w:footer="992" w:gutter="0"/>
          <w:pgNumType w:fmt="lowerRoman" w:start="1"/>
          <w:cols w:space="425" w:num="1"/>
          <w:docGrid w:type="lines" w:linePitch="312" w:charSpace="0"/>
        </w:sectPr>
      </w:pPr>
    </w:p>
    <w:p>
      <w:pPr>
        <w:jc w:val="cente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 xml:space="preserve">目 </w:t>
      </w:r>
      <w:r>
        <w:rPr>
          <w:rFonts w:ascii="Times New Roman" w:hAnsi="Times New Roman" w:eastAsia="仿宋"/>
          <w:b/>
          <w:color w:val="0D0D0D" w:themeColor="text1" w:themeTint="F2"/>
          <w:sz w:val="32"/>
          <w:szCs w:val="24"/>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32"/>
          <w:szCs w:val="24"/>
          <w14:textFill>
            <w14:solidFill>
              <w14:schemeClr w14:val="tx1">
                <w14:lumMod w14:val="95000"/>
                <w14:lumOff w14:val="5000"/>
              </w14:schemeClr>
            </w14:solidFill>
          </w14:textFill>
        </w:rPr>
        <w:t>录</w:t>
      </w:r>
    </w:p>
    <w:p>
      <w:pPr>
        <w:pStyle w:val="30"/>
        <w:rPr>
          <w:kern w:val="2"/>
        </w:rPr>
      </w:pPr>
      <w:r>
        <w:rPr>
          <w:rFonts w:ascii="仿宋" w:hAnsi="仿宋"/>
        </w:rPr>
        <w:fldChar w:fldCharType="begin"/>
      </w:r>
      <w:r>
        <w:rPr>
          <w:rFonts w:ascii="仿宋" w:hAnsi="仿宋"/>
        </w:rPr>
        <w:instrText xml:space="preserve"> TOC \o "1-3" \h \z \u </w:instrText>
      </w:r>
      <w:r>
        <w:rPr>
          <w:rFonts w:ascii="仿宋" w:hAnsi="仿宋"/>
        </w:rPr>
        <w:fldChar w:fldCharType="separate"/>
      </w:r>
      <w:r>
        <w:fldChar w:fldCharType="begin"/>
      </w:r>
      <w:r>
        <w:instrText xml:space="preserve"> HYPERLINK \l "_Toc27509901" </w:instrText>
      </w:r>
      <w:r>
        <w:fldChar w:fldCharType="separate"/>
      </w:r>
      <w:r>
        <w:rPr>
          <w:rStyle w:val="51"/>
          <w:color w:val="0D0D0D" w:themeColor="text1" w:themeTint="F2"/>
          <w14:textFill>
            <w14:solidFill>
              <w14:schemeClr w14:val="tx1">
                <w14:lumMod w14:val="95000"/>
                <w14:lumOff w14:val="5000"/>
              </w14:schemeClr>
            </w14:solidFill>
          </w14:textFill>
        </w:rPr>
        <w:t>第一章 总则</w:t>
      </w:r>
      <w:r>
        <w:tab/>
      </w:r>
      <w:r>
        <w:fldChar w:fldCharType="begin"/>
      </w:r>
      <w:r>
        <w:instrText xml:space="preserve"> PAGEREF _Toc27509901 \h </w:instrText>
      </w:r>
      <w:r>
        <w:fldChar w:fldCharType="separate"/>
      </w:r>
      <w:r>
        <w:t>- 1 -</w:t>
      </w:r>
      <w:r>
        <w:fldChar w:fldCharType="end"/>
      </w:r>
      <w: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"_Toc27509902"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 划分目的</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_Toc27509902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"_Toc27509903"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 划分依据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_Toc27509903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"_Toc27509904"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1.2.1 相关法律法规</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_Toc27509904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"_Toc27509905"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1.2.2 技术标准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_Toc27509905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"_Toc27509906"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1.2.3 相关已经批准实施的规划</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_Toc27509906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"_Toc27509907"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 技术路线</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_Toc27509907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rPr>
          <w:rStyle w:val="51"/>
          <w:color w:val="0D0D0D" w:themeColor="text1" w:themeTint="F2"/>
          <w14:textFill>
            <w14:solidFill>
              <w14:schemeClr w14:val="tx1">
                <w14:lumMod w14:val="95000"/>
                <w14:lumOff w14:val="5000"/>
              </w14:schemeClr>
            </w14:solidFill>
          </w14:textFill>
        </w:rPr>
      </w:pPr>
      <w:r>
        <w:fldChar w:fldCharType="begin"/>
      </w:r>
      <w:r>
        <w:instrText xml:space="preserve"> HYPERLINK \l "_Toc27509908" </w:instrText>
      </w:r>
      <w:r>
        <w:fldChar w:fldCharType="separate"/>
      </w:r>
      <w:r>
        <w:rPr>
          <w:rStyle w:val="51"/>
          <w:color w:val="0D0D0D" w:themeColor="text1" w:themeTint="F2"/>
          <w14:textFill>
            <w14:solidFill>
              <w14:schemeClr w14:val="tx1">
                <w14:lumMod w14:val="95000"/>
                <w14:lumOff w14:val="5000"/>
              </w14:schemeClr>
            </w14:solidFill>
          </w14:textFill>
        </w:rPr>
        <w:t>第二章 饮用水水源基础环境状况</w:t>
      </w:r>
      <w:r>
        <w:rPr>
          <w:rStyle w:val="51"/>
          <w:color w:val="0D0D0D" w:themeColor="text1" w:themeTint="F2"/>
          <w14:textFill>
            <w14:solidFill>
              <w14:schemeClr w14:val="tx1">
                <w14:lumMod w14:val="95000"/>
                <w14:lumOff w14:val="5000"/>
              </w14:schemeClr>
            </w14:solidFill>
          </w14:textFill>
        </w:rPr>
        <w:tab/>
      </w:r>
      <w:r>
        <w:rPr>
          <w:rStyle w:val="51"/>
          <w:color w:val="0D0D0D" w:themeColor="text1" w:themeTint="F2"/>
          <w14:textFill>
            <w14:solidFill>
              <w14:schemeClr w14:val="tx1">
                <w14:lumMod w14:val="95000"/>
                <w14:lumOff w14:val="5000"/>
              </w14:schemeClr>
            </w14:solidFill>
          </w14:textFill>
        </w:rPr>
        <w:fldChar w:fldCharType="begin"/>
      </w:r>
      <w:r>
        <w:rPr>
          <w:rStyle w:val="51"/>
          <w:color w:val="0D0D0D" w:themeColor="text1" w:themeTint="F2"/>
          <w14:textFill>
            <w14:solidFill>
              <w14:schemeClr w14:val="tx1">
                <w14:lumMod w14:val="95000"/>
                <w14:lumOff w14:val="5000"/>
              </w14:schemeClr>
            </w14:solidFill>
          </w14:textFill>
        </w:rPr>
        <w:instrText xml:space="preserve"> PAGEREF _Toc27509908 \h </w:instrText>
      </w:r>
      <w:r>
        <w:rPr>
          <w:rStyle w:val="51"/>
          <w:color w:val="0D0D0D" w:themeColor="text1" w:themeTint="F2"/>
          <w14:textFill>
            <w14:solidFill>
              <w14:schemeClr w14:val="tx1">
                <w14:lumMod w14:val="95000"/>
                <w14:lumOff w14:val="5000"/>
              </w14:schemeClr>
            </w14:solidFill>
          </w14:textFill>
        </w:rPr>
        <w:fldChar w:fldCharType="separate"/>
      </w:r>
      <w:r>
        <w:rPr>
          <w:rStyle w:val="51"/>
          <w:color w:val="0D0D0D" w:themeColor="text1" w:themeTint="F2"/>
          <w14:textFill>
            <w14:solidFill>
              <w14:schemeClr w14:val="tx1">
                <w14:lumMod w14:val="95000"/>
                <w14:lumOff w14:val="5000"/>
              </w14:schemeClr>
            </w14:solidFill>
          </w14:textFill>
        </w:rPr>
        <w:t>- 6 -</w:t>
      </w:r>
      <w:r>
        <w:rPr>
          <w:rStyle w:val="51"/>
          <w:color w:val="0D0D0D" w:themeColor="text1" w:themeTint="F2"/>
          <w14:textFill>
            <w14:solidFill>
              <w14:schemeClr w14:val="tx1">
                <w14:lumMod w14:val="95000"/>
                <w14:lumOff w14:val="5000"/>
              </w14:schemeClr>
            </w14:solidFill>
          </w14:textFill>
        </w:rPr>
        <w:fldChar w:fldCharType="end"/>
      </w:r>
      <w:r>
        <w:rPr>
          <w:rStyle w:val="51"/>
          <w:color w:val="0D0D0D" w:themeColor="text1" w:themeTint="F2"/>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"_Toc27509909"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 饮用水水源地所在区域的自然状况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_Toc27509909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"_Toc27509910"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2.1.1 地理位置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_Toc27509910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"_Toc27509911"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2.1.2 地形地貌</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_Toc27509911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"_Toc27509912"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2.1.3 气候特征</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_Toc27509912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"_Toc27509913"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2.1.4 水文水资源状况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_Toc27509913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"_Toc27509914"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 饮用水水源地所在区域的社会经济状况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_Toc27509914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"_Toc27509915"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 饮用水水源地周边城乡土地使用现状及规划情况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_Toc27509915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- 8 -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"_Toc27509916"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 饮用水水源地规划、水功能区划、重要生态功能区等情况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_Toc27509916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"_Toc27509917"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 饮用水水源地基本状况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_Toc27509917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"_Toc27509918"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2.5.1 水库概况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_Toc27509918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"_Toc27509919"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2.5.2 供水情况</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_Toc27509919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"_Toc27509920"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 饮用水水源地的水质状况调查评价</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_Toc27509920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"_Toc27509921"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2.6.1 评价指标、时段、监测布点</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_Toc27509921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- 13 -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"_Toc27509922"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2.6.2 评价方法</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_Toc27509922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"_Toc27509923"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2.6.3 水质评价结果</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_Toc27509923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- 17 -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"_Toc27509924"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 饮用水水源地周边及上游污染源调查</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_Toc27509924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"_Toc27509925"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2.7.1 点源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_Toc27509925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"_Toc27509926"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2.7.2 面源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_Toc27509926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"_Toc27509927"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2.7.3 流动源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_Toc27509927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"_Toc27509928"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2.7.4 污染源汇总</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_Toc27509928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- 27 -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"_Toc27509929"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2.8 饮用水水源地水环境风险分析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_Toc27509929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"_Toc27509930"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 饮用水水源保护区规范化建设现状及存在问题</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_Toc27509930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"_Toc27509931"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2.9.1 保护区规范化建设及管理现状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_Toc27509931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"_Toc27509932"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2.9.2 保护区主要环境问题</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_Toc27509932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rPr>
          <w:kern w:val="2"/>
        </w:rPr>
      </w:pPr>
      <w:r>
        <w:fldChar w:fldCharType="begin"/>
      </w:r>
      <w:r>
        <w:instrText xml:space="preserve"> HYPERLINK \l "_Toc27509933" </w:instrText>
      </w:r>
      <w:r>
        <w:fldChar w:fldCharType="separate"/>
      </w:r>
      <w:r>
        <w:rPr>
          <w:rStyle w:val="51"/>
          <w:bCs/>
          <w:color w:val="0D0D0D" w:themeColor="text1" w:themeTint="F2"/>
          <w:kern w:val="44"/>
          <w14:textFill>
            <w14:solidFill>
              <w14:schemeClr w14:val="tx1">
                <w14:lumMod w14:val="95000"/>
                <w14:lumOff w14:val="5000"/>
              </w14:schemeClr>
            </w14:solidFill>
          </w14:textFill>
        </w:rPr>
        <w:t>第三章 保护区划分与定界</w:t>
      </w:r>
      <w:r>
        <w:tab/>
      </w:r>
      <w:r>
        <w:fldChar w:fldCharType="begin"/>
      </w:r>
      <w:r>
        <w:instrText xml:space="preserve"> PAGEREF _Toc27509933 \h </w:instrText>
      </w:r>
      <w:r>
        <w:fldChar w:fldCharType="separate"/>
      </w:r>
      <w:r>
        <w:t>- 36 -</w:t>
      </w:r>
      <w:r>
        <w:fldChar w:fldCharType="end"/>
      </w:r>
      <w: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"_Toc27509934"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 划分方法</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_Toc27509934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"_Toc27509935"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3.1.1 一级保护区划分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_Toc27509935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"_Toc27509936"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3.1.2 二级保护区划分</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_Toc27509936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"_Toc27509937"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 初步划分结果与分析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_Toc27509937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"_Toc27509938"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3.2.1 一级保护区范围的确定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_Toc27509938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"_Toc27509939"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3.2.2 二级保护区范围的确定</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_Toc27509939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- 37 -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"_Toc27509940"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3.3 保护区定界的依据</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_Toc27509940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- 39 -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rPr>
          <w:kern w:val="2"/>
        </w:rPr>
      </w:pPr>
      <w:r>
        <w:fldChar w:fldCharType="begin"/>
      </w:r>
      <w:r>
        <w:instrText xml:space="preserve"> HYPERLINK \l "_Toc27509941" </w:instrText>
      </w:r>
      <w:r>
        <w:fldChar w:fldCharType="separate"/>
      </w:r>
      <w:r>
        <w:rPr>
          <w:rStyle w:val="51"/>
          <w:color w:val="0D0D0D" w:themeColor="text1" w:themeTint="F2"/>
          <w14:textFill>
            <w14:solidFill>
              <w14:schemeClr w14:val="tx1">
                <w14:lumMod w14:val="95000"/>
                <w14:lumOff w14:val="5000"/>
              </w14:schemeClr>
            </w14:solidFill>
          </w14:textFill>
        </w:rPr>
        <w:t>第四章 饮用水水源保护区建设投资估算</w:t>
      </w:r>
      <w:r>
        <w:tab/>
      </w:r>
      <w:r>
        <w:fldChar w:fldCharType="begin"/>
      </w:r>
      <w:r>
        <w:instrText xml:space="preserve"> PAGEREF _Toc27509941 \h </w:instrText>
      </w:r>
      <w:r>
        <w:fldChar w:fldCharType="separate"/>
      </w:r>
      <w:r>
        <w:t>- 40 -</w:t>
      </w:r>
      <w:r>
        <w:fldChar w:fldCharType="end"/>
      </w:r>
      <w: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"_Toc27509942"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 保护区规范化建设项目投资估算</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_Toc27509942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"_Toc27509943"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4.1.1 保护区范围划定工程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_Toc27509943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"_Toc27509944"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4.1.2 保护区整治工程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_Toc27509944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"_Toc27509945"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4.1.3 生态恢复与建设工程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_Toc27509945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"_Toc27509946"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4.1.4 管理能力建设工程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_Toc27509946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- 46 -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"_Toc27509947"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 规范化建设目标达标的可行性分析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_Toc27509947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"_Toc27509948"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4.2.1 项目投资及预期效果</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_Toc27509948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"_Toc27509949"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4.2.2 保护区整治方案可行性</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_Toc27509949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- 50 -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22"/>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"_Toc27509950"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4.2.3 饮用水水源地水质目标可达性分析</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_Toc27509950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- 51 -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0"/>
        <w:rPr>
          <w:kern w:val="2"/>
        </w:rPr>
      </w:pPr>
      <w:r>
        <w:fldChar w:fldCharType="begin"/>
      </w:r>
      <w:r>
        <w:instrText xml:space="preserve"> HYPERLINK \l "_Toc27509951" </w:instrText>
      </w:r>
      <w:r>
        <w:fldChar w:fldCharType="separate"/>
      </w:r>
      <w:r>
        <w:rPr>
          <w:rStyle w:val="51"/>
          <w:bCs/>
          <w:color w:val="0D0D0D" w:themeColor="text1" w:themeTint="F2"/>
          <w:kern w:val="44"/>
          <w14:textFill>
            <w14:solidFill>
              <w14:schemeClr w14:val="tx1">
                <w14:lumMod w14:val="95000"/>
                <w14:lumOff w14:val="5000"/>
              </w14:schemeClr>
            </w14:solidFill>
          </w14:textFill>
        </w:rPr>
        <w:t>第五章饮用水水源保护区划分方案、图件及有关说明</w:t>
      </w:r>
      <w:r>
        <w:tab/>
      </w:r>
      <w:r>
        <w:fldChar w:fldCharType="begin"/>
      </w:r>
      <w:r>
        <w:instrText xml:space="preserve"> PAGEREF _Toc27509951 \h </w:instrText>
      </w:r>
      <w:r>
        <w:fldChar w:fldCharType="separate"/>
      </w:r>
      <w:r>
        <w:t>- 52 -</w:t>
      </w:r>
      <w:r>
        <w:fldChar w:fldCharType="end"/>
      </w:r>
      <w: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"_Toc27509952"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5.1 饮用水水源保护区划分方案</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_Toc27509952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"_Toc27509953" </w:instrText>
      </w:r>
      <w:r>
        <w:fldChar w:fldCharType="separate"/>
      </w:r>
      <w:r>
        <w:rPr>
          <w:rStyle w:val="51"/>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5.2 饮用水水源保护区划分图件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_Toc27509953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- 52 -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"_Toc27509954"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附表1 富源县（2018年）基础信息调查表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_Toc27509954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"_Toc27509955"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附表2 富源县吉克水库饮用水水源地基础信息表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_Toc27509955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- 54 -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rFonts w:ascii="Times New Roman" w:hAnsi="Times New Roman" w:eastAsia="仿宋" w:cs="Times New Roman"/>
          <w:color w:val="0D0D0D" w:themeColor="text1" w:themeTint="F2"/>
          <w:kern w:val="2"/>
          <w:sz w:val="24"/>
          <w:szCs w:val="24"/>
          <w14:textFill>
            <w14:solidFill>
              <w14:schemeClr w14:val="tx1">
                <w14:lumMod w14:val="95000"/>
                <w14:lumOff w14:val="5000"/>
              </w14:schemeClr>
            </w14:solidFill>
          </w14:textFill>
        </w:rPr>
      </w:pPr>
      <w:r>
        <w:fldChar w:fldCharType="begin"/>
      </w:r>
      <w:r>
        <w:instrText xml:space="preserve"> HYPERLINK \l "_Toc27509956"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附表3 富源县吉克水库集中式饮用水水源保护区划分结果表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_Toc27509956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- 55 -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pStyle w:val="36"/>
        <w:tabs>
          <w:tab w:val="right" w:leader="dot" w:pos="8296"/>
        </w:tabs>
        <w:rPr>
          <w:color w:val="0D0D0D" w:themeColor="text1" w:themeTint="F2"/>
          <w:kern w:val="2"/>
          <w:sz w:val="21"/>
          <w14:textFill>
            <w14:solidFill>
              <w14:schemeClr w14:val="tx1">
                <w14:lumMod w14:val="95000"/>
                <w14:lumOff w14:val="5000"/>
              </w14:schemeClr>
            </w14:solidFill>
          </w14:textFill>
        </w:rPr>
      </w:pPr>
      <w:r>
        <w:fldChar w:fldCharType="begin"/>
      </w:r>
      <w:r>
        <w:instrText xml:space="preserve"> HYPERLINK \l "_Toc27509957" </w:instrText>
      </w:r>
      <w:r>
        <w:fldChar w:fldCharType="separate"/>
      </w:r>
      <w:r>
        <w:rPr>
          <w:rStyle w:val="51"/>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附表4 富源县吉克水库饮用水水源地保护区污染源调查表</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b/>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PAGEREF _Toc27509957 \h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- 56 -</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left="960" w:hanging="960" w:hangingChars="400"/>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sectPr>
          <w:footerReference r:id="rId5" w:type="default"/>
          <w:pgSz w:w="11906" w:h="16838"/>
          <w:pgMar w:top="1440" w:right="1800" w:bottom="1440" w:left="1800" w:header="851" w:footer="992" w:gutter="0"/>
          <w:pgNumType w:fmt="lowerRoman" w:start="1"/>
          <w:cols w:space="425" w:num="1"/>
          <w:docGrid w:type="lines" w:linePitch="312" w:charSpace="0"/>
        </w:sectPr>
      </w:pPr>
      <w: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fldChar w:fldCharType="end"/>
      </w:r>
    </w:p>
    <w:p>
      <w:pPr>
        <w:snapToGrid w:val="0"/>
        <w:spacing w:line="360" w:lineRule="auto"/>
        <w:ind w:left="960" w:hanging="960" w:hangingChars="4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p>
      <w:pPr>
        <w:snapToGrid w:val="0"/>
        <w:spacing w:line="360" w:lineRule="auto"/>
        <w:ind w:left="1124" w:hanging="1124" w:hangingChars="400"/>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附图：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bookmarkStart w:id="2" w:name="_Hlk528187524"/>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附图1  吉克水库饮用水源地区位图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附图2  吉克水库饮用水源地水系图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附图3  吉克水库饮用水源地保护区区划图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附图4  吉克水库饮用水源地保护区划污染源分布图</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附图5  吉克水库饮用水源地保护区划拐点图</w:t>
      </w:r>
    </w:p>
    <w:p>
      <w:pPr>
        <w:snapToGrid w:val="0"/>
        <w:spacing w:line="360" w:lineRule="auto"/>
        <w:ind w:left="1120" w:hanging="1120" w:hangingChars="400"/>
        <w:rPr>
          <w:rFonts w:ascii="Times New Roman" w:hAnsi="Times New Roman" w:eastAsia="仿宋" w:cs="Times New Roman"/>
          <w:color w:val="0D0D0D" w:themeColor="text1" w:themeTint="F2"/>
          <w:sz w:val="28"/>
          <w:szCs w:val="24"/>
          <w14:textFill>
            <w14:solidFill>
              <w14:schemeClr w14:val="tx1">
                <w14:lumMod w14:val="95000"/>
                <w14:lumOff w14:val="5000"/>
              </w14:schemeClr>
            </w14:solidFill>
          </w14:textFill>
        </w:rPr>
      </w:pPr>
    </w:p>
    <w:p>
      <w:pPr>
        <w:snapToGrid w:val="0"/>
        <w:spacing w:line="360" w:lineRule="auto"/>
        <w:ind w:left="1124" w:hanging="1124" w:hangingChars="400"/>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附件：</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附</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件</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1  </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富源县千吨万人饮用水水源地水质检测（蓝硕检字〔201</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811</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号）</w:t>
      </w:r>
    </w:p>
    <w:p>
      <w:pPr>
        <w:snapToGrid w:val="0"/>
        <w:spacing w:line="360" w:lineRule="auto"/>
        <w:ind w:firstLine="480" w:firstLineChars="20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bookmarkEnd w:id="2"/>
    <w:p>
      <w:pPr>
        <w:rPr>
          <w:rFonts w:cs="Times New Roman"/>
          <w:color w:val="0D0D0D" w:themeColor="text1" w:themeTint="F2"/>
          <w:sz w:val="36"/>
          <w:szCs w:val="36"/>
          <w14:textFill>
            <w14:solidFill>
              <w14:schemeClr w14:val="tx1">
                <w14:lumMod w14:val="95000"/>
                <w14:lumOff w14:val="5000"/>
              </w14:schemeClr>
            </w14:solidFill>
          </w14:textFill>
        </w:rPr>
      </w:pPr>
    </w:p>
    <w:p>
      <w:pPr>
        <w:rPr>
          <w:rFonts w:cs="Times New Roman"/>
          <w:color w:val="0D0D0D" w:themeColor="text1" w:themeTint="F2"/>
          <w:sz w:val="36"/>
          <w:szCs w:val="36"/>
          <w14:textFill>
            <w14:solidFill>
              <w14:schemeClr w14:val="tx1">
                <w14:lumMod w14:val="95000"/>
                <w14:lumOff w14:val="5000"/>
              </w14:schemeClr>
            </w14:solidFill>
          </w14:textFill>
        </w:rPr>
        <w:sectPr>
          <w:pgSz w:w="11906" w:h="16838"/>
          <w:pgMar w:top="1440" w:right="1800" w:bottom="1440" w:left="1800" w:header="851" w:footer="992" w:gutter="0"/>
          <w:pgNumType w:fmt="lowerRoman"/>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footerReference r:id="rId6" w:type="default"/>
          <w:pgSz w:w="11906" w:h="16838"/>
          <w:pgMar w:top="1440" w:right="1800" w:bottom="1440" w:left="1800" w:header="851" w:footer="992" w:gutter="0"/>
          <w:pgNumType w:fmt="numberInDash" w:start="1"/>
          <w:cols w:space="425" w:num="1"/>
          <w:docGrid w:type="lines" w:linePitch="312" w:charSpace="0"/>
        </w:sectPr>
      </w:pPr>
      <w:bookmarkStart w:id="3" w:name="_Toc27509901"/>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第一章</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 </w:t>
      </w:r>
      <w:bookmarkEnd w:id="0"/>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总则</w:t>
      </w:r>
      <w:bookmarkEnd w:id="3"/>
    </w:p>
    <w:p>
      <w:pPr>
        <w:pStyle w:val="3"/>
        <w:rPr>
          <w:color w:val="0D0D0D" w:themeColor="text1" w:themeTint="F2"/>
          <w14:textFill>
            <w14:solidFill>
              <w14:schemeClr w14:val="tx1">
                <w14:lumMod w14:val="95000"/>
                <w14:lumOff w14:val="5000"/>
              </w14:schemeClr>
            </w14:solidFill>
          </w14:textFill>
        </w:rPr>
      </w:pPr>
      <w:bookmarkStart w:id="4" w:name="_Toc478744138"/>
      <w:bookmarkStart w:id="5" w:name="_Toc27509902"/>
      <w:r>
        <w:rPr>
          <w:color w:val="0D0D0D" w:themeColor="text1" w:themeTint="F2"/>
          <w14:textFill>
            <w14:solidFill>
              <w14:schemeClr w14:val="tx1">
                <w14:lumMod w14:val="95000"/>
                <w14:lumOff w14:val="5000"/>
              </w14:schemeClr>
            </w14:solidFill>
          </w14:textFill>
        </w:rPr>
        <w:t>1.1</w:t>
      </w:r>
      <w:r>
        <w:rPr>
          <w:rFonts w:hint="eastAsia"/>
          <w:color w:val="0D0D0D" w:themeColor="text1" w:themeTint="F2"/>
          <w14:textFill>
            <w14:solidFill>
              <w14:schemeClr w14:val="tx1">
                <w14:lumMod w14:val="95000"/>
                <w14:lumOff w14:val="5000"/>
              </w14:schemeClr>
            </w14:solidFill>
          </w14:textFill>
        </w:rPr>
        <w:t xml:space="preserve"> </w:t>
      </w:r>
      <w:bookmarkEnd w:id="4"/>
      <w:r>
        <w:rPr>
          <w:rFonts w:hint="eastAsia"/>
          <w:color w:val="0D0D0D" w:themeColor="text1" w:themeTint="F2"/>
          <w14:textFill>
            <w14:solidFill>
              <w14:schemeClr w14:val="tx1">
                <w14:lumMod w14:val="95000"/>
                <w14:lumOff w14:val="5000"/>
              </w14:schemeClr>
            </w14:solidFill>
          </w14:textFill>
        </w:rPr>
        <w:t>划分目的</w:t>
      </w:r>
      <w:bookmarkEnd w:id="5"/>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为贯彻落实《生态环境部 水利部关于进一步开展饮用水水源地保护工作的通知》（环执法〔</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）、《云南省生态环境厅 云南省水利厅关于印发云南省水源地环境保护攻坚战实施方案的通知》（云环发〔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）、《云南省生态环境厅 云南省水利厅关于转发&lt;关于进一步开展饮用水水源地保护工作的通知&gt;的函》（云环函〔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）、《云南省水源地保护攻坚战专项小组办公室关于印发云南省集中式饮用水水源地保护工作方案的通知》（云污防水源〔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精神，全面开展供水人口在10000人或日供水在1000吨以上（“千吨万人”）及以上集中式饮用水水源地保护区划定工作，推进饮用水水源地规范化建设，强化饮用水水源地环境管理，依法开展饮用水水源保护区划定工作，对未划定或划定不符合法律法规要求的参照《饮用水水源保护区划分技术规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按法定程序予以划定或调整。</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《饮用水水源保护区划分技术规范》（HJ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要求，确保富源县饮用水安全，富源县将对辖区内各乡镇在用“千吨万人”水源地保护区范围根据最新技术规范进行划分，进一步掌握饮用水水源地环境状况，加强饮用水水源地污染防治和管理能力建设，建立完善水源地保护相关技术方法、管理办法，解决目前危害饮用水安全的重大问题，切实推动饮用水水源地环境保护专项整治工作的全面开展，为后续“千吨万人”饮用水水源地保护的各项工作奠定基础。</w:t>
      </w:r>
    </w:p>
    <w:p>
      <w:pPr>
        <w:pStyle w:val="3"/>
        <w:rPr>
          <w:color w:val="0D0D0D" w:themeColor="text1" w:themeTint="F2"/>
          <w14:textFill>
            <w14:solidFill>
              <w14:schemeClr w14:val="tx1">
                <w14:lumMod w14:val="95000"/>
                <w14:lumOff w14:val="5000"/>
              </w14:schemeClr>
            </w14:solidFill>
          </w14:textFill>
        </w:rPr>
      </w:pPr>
      <w:bookmarkStart w:id="6" w:name="_Toc478744139"/>
      <w:bookmarkStart w:id="7" w:name="_Toc27509903"/>
      <w:r>
        <w:rPr>
          <w:color w:val="0D0D0D" w:themeColor="text1" w:themeTint="F2"/>
          <w14:textFill>
            <w14:solidFill>
              <w14:schemeClr w14:val="tx1">
                <w14:lumMod w14:val="95000"/>
                <w14:lumOff w14:val="5000"/>
              </w14:schemeClr>
            </w14:solidFill>
          </w14:textFill>
        </w:rPr>
        <w:t>1.2</w:t>
      </w:r>
      <w:r>
        <w:rPr>
          <w:rFonts w:hint="eastAsia"/>
          <w:color w:val="0D0D0D" w:themeColor="text1" w:themeTint="F2"/>
          <w14:textFill>
            <w14:solidFill>
              <w14:schemeClr w14:val="tx1">
                <w14:lumMod w14:val="95000"/>
                <w14:lumOff w14:val="5000"/>
              </w14:schemeClr>
            </w14:solidFill>
          </w14:textFill>
        </w:rPr>
        <w:t xml:space="preserve"> 划分</w:t>
      </w:r>
      <w:r>
        <w:rPr>
          <w:color w:val="0D0D0D" w:themeColor="text1" w:themeTint="F2"/>
          <w14:textFill>
            <w14:solidFill>
              <w14:schemeClr w14:val="tx1">
                <w14:lumMod w14:val="95000"/>
                <w14:lumOff w14:val="5000"/>
              </w14:schemeClr>
            </w14:solidFill>
          </w14:textFill>
        </w:rPr>
        <w:t>依据</w:t>
      </w:r>
      <w:bookmarkEnd w:id="6"/>
      <w:bookmarkEnd w:id="7"/>
    </w:p>
    <w:p>
      <w:pPr>
        <w:pStyle w:val="4"/>
        <w:rPr>
          <w:color w:val="0D0D0D" w:themeColor="text1" w:themeTint="F2"/>
          <w14:textFill>
            <w14:solidFill>
              <w14:schemeClr w14:val="tx1">
                <w14:lumMod w14:val="95000"/>
                <w14:lumOff w14:val="5000"/>
              </w14:schemeClr>
            </w14:solidFill>
          </w14:textFill>
        </w:rPr>
      </w:pPr>
      <w:bookmarkStart w:id="8" w:name="_Toc27509904"/>
      <w:bookmarkStart w:id="9" w:name="_Toc200905490"/>
      <w:bookmarkStart w:id="10" w:name="_Toc272332582"/>
      <w:bookmarkStart w:id="11" w:name="_Toc478744140"/>
      <w:r>
        <w:rPr>
          <w:color w:val="0D0D0D" w:themeColor="text1" w:themeTint="F2"/>
          <w14:textFill>
            <w14:solidFill>
              <w14:schemeClr w14:val="tx1">
                <w14:lumMod w14:val="95000"/>
                <w14:lumOff w14:val="5000"/>
              </w14:schemeClr>
            </w14:solidFill>
          </w14:textFill>
        </w:rPr>
        <w:t>1.2.1</w:t>
      </w:r>
      <w:r>
        <w:rPr>
          <w:rFonts w:hint="eastAsia"/>
          <w:color w:val="0D0D0D" w:themeColor="text1" w:themeTint="F2"/>
          <w14:textFill>
            <w14:solidFill>
              <w14:schemeClr w14:val="tx1">
                <w14:lumMod w14:val="95000"/>
                <w14:lumOff w14:val="5000"/>
              </w14:schemeClr>
            </w14:solidFill>
          </w14:textFill>
        </w:rPr>
        <w:t xml:space="preserve"> 相关</w:t>
      </w:r>
      <w:r>
        <w:rPr>
          <w:color w:val="0D0D0D" w:themeColor="text1" w:themeTint="F2"/>
          <w14:textFill>
            <w14:solidFill>
              <w14:schemeClr w14:val="tx1">
                <w14:lumMod w14:val="95000"/>
                <w14:lumOff w14:val="5000"/>
              </w14:schemeClr>
            </w14:solidFill>
          </w14:textFill>
        </w:rPr>
        <w:t>法律法规</w:t>
      </w:r>
      <w:bookmarkEnd w:id="8"/>
      <w:bookmarkEnd w:id="9"/>
      <w:bookmarkEnd w:id="10"/>
      <w:bookmarkEnd w:id="11"/>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《中华人民共和国环境保护法》（2014年4月修订）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《中华人民共和国水法》（2016年7月修订）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bookmarkStart w:id="12" w:name="_Hlk524551544"/>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《中华人民共和国水污染防治法》</w:t>
      </w:r>
      <w:bookmarkEnd w:id="12"/>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（2017年6月修订）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《中华人民共和国固体废物污染环境防治法》（2016年11月修改）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《中华人民共和国水土保持法》（2010年12月修订）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《中华人民共和国水土保持法实施条例》（国务院令第120号，2011年1月修订）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《中华人民共和国森林法》（</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2009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《中华人民共和国森林法实施条例》（国务院令第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698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月修订）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bookmarkStart w:id="13" w:name="_Hlk524551559"/>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《饮用水水源保护区污染防治管理规定》</w:t>
      </w:r>
      <w:bookmarkEnd w:id="13"/>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2010年12月修正</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《突发环境事件应急管理办法》（环保部令第34号）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《畜禽规模养殖污染防治条例》（2014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《云南省环境保护条例》（2004年6月修改）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《云南省森林条例》（2002年11月发布）</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《云南省水土保持条例》（2014年7月）</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rPr>
          <w:color w:val="0D0D0D" w:themeColor="text1" w:themeTint="F2"/>
          <w14:textFill>
            <w14:solidFill>
              <w14:schemeClr w14:val="tx1">
                <w14:lumMod w14:val="95000"/>
                <w14:lumOff w14:val="5000"/>
              </w14:schemeClr>
            </w14:solidFill>
          </w14:textFill>
        </w:rPr>
      </w:pPr>
      <w:bookmarkStart w:id="14" w:name="_Toc478744141"/>
      <w:bookmarkStart w:id="15" w:name="_Toc272332583"/>
      <w:bookmarkStart w:id="16" w:name="_Toc200905491"/>
      <w:bookmarkStart w:id="17" w:name="_Toc27509905"/>
      <w:r>
        <w:rPr>
          <w:color w:val="0D0D0D" w:themeColor="text1" w:themeTint="F2"/>
          <w14:textFill>
            <w14:solidFill>
              <w14:schemeClr w14:val="tx1">
                <w14:lumMod w14:val="95000"/>
                <w14:lumOff w14:val="5000"/>
              </w14:schemeClr>
            </w14:solidFill>
          </w14:textFill>
        </w:rPr>
        <w:t>1.2.2</w:t>
      </w:r>
      <w:r>
        <w:rPr>
          <w:rFonts w:hint="eastAsia"/>
          <w:color w:val="0D0D0D" w:themeColor="text1" w:themeTint="F2"/>
          <w14:textFill>
            <w14:solidFill>
              <w14:schemeClr w14:val="tx1">
                <w14:lumMod w14:val="95000"/>
                <w14:lumOff w14:val="5000"/>
              </w14:schemeClr>
            </w14:solidFill>
          </w14:textFill>
        </w:rPr>
        <w:t xml:space="preserve"> </w:t>
      </w:r>
      <w:bookmarkEnd w:id="14"/>
      <w:bookmarkEnd w:id="15"/>
      <w:bookmarkEnd w:id="16"/>
      <w:r>
        <w:rPr>
          <w:rFonts w:hint="eastAsia"/>
          <w:color w:val="0D0D0D" w:themeColor="text1" w:themeTint="F2"/>
          <w14:textFill>
            <w14:solidFill>
              <w14:schemeClr w14:val="tx1">
                <w14:lumMod w14:val="95000"/>
                <w14:lumOff w14:val="5000"/>
              </w14:schemeClr>
            </w14:solidFill>
          </w14:textFill>
        </w:rPr>
        <w:t>技术标准</w:t>
      </w:r>
      <w:bookmarkEnd w:id="17"/>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18" w:name="_Toc200905492"/>
      <w:bookmarkStart w:id="19" w:name="_Toc272332584"/>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bookmarkStart w:id="20" w:name="_Hlk530390607"/>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《地表水质量标准》（GB3838-20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《生活饮用水水源水质标准》（CJ3020-93）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bookmarkEnd w:id="20"/>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《生活饮用水卫生标准》（GB5749-2006）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《饮用水水源保护区划分技术规范》（HJ 338-2018）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21" w:name="_Hlk521681780"/>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bookmarkEnd w:id="21"/>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《集中式饮用水水源地规范化建设环境保护技术要求》（HJ773-2015）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《集中式饮用水水源环境保护指南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（试行）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环办〔2012〕50号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（7）《集中式饮用水水源地环境保护状况评估技术规范》（HJ774-2015）；</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）《集中式饮用水水源编码规范》（HJ747-2015）；</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《饮用水水源保护区标志技术要求》（HJ/T433-2008）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《畜禽养殖禁养区划定技术指南》（环办水体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99号）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《农村生活污染控制技术规范》（HJ574-2010）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rPr>
          <w:color w:val="0D0D0D" w:themeColor="text1" w:themeTint="F2"/>
          <w14:textFill>
            <w14:solidFill>
              <w14:schemeClr w14:val="tx1">
                <w14:lumMod w14:val="95000"/>
                <w14:lumOff w14:val="5000"/>
              </w14:schemeClr>
            </w14:solidFill>
          </w14:textFill>
        </w:rPr>
      </w:pPr>
      <w:bookmarkStart w:id="22" w:name="_Toc27509906"/>
      <w:r>
        <w:rPr>
          <w:color w:val="0D0D0D" w:themeColor="text1" w:themeTint="F2"/>
          <w14:textFill>
            <w14:solidFill>
              <w14:schemeClr w14:val="tx1">
                <w14:lumMod w14:val="95000"/>
                <w14:lumOff w14:val="5000"/>
              </w14:schemeClr>
            </w14:solidFill>
          </w14:textFill>
        </w:rPr>
        <w:t>1.2.3</w:t>
      </w:r>
      <w:r>
        <w:rPr>
          <w:rFonts w:hint="eastAsia"/>
          <w:color w:val="0D0D0D" w:themeColor="text1" w:themeTint="F2"/>
          <w14:textFill>
            <w14:solidFill>
              <w14:schemeClr w14:val="tx1">
                <w14:lumMod w14:val="95000"/>
                <w14:lumOff w14:val="5000"/>
              </w14:schemeClr>
            </w14:solidFill>
          </w14:textFill>
        </w:rPr>
        <w:t xml:space="preserve"> </w:t>
      </w:r>
      <w:bookmarkEnd w:id="18"/>
      <w:bookmarkEnd w:id="19"/>
      <w:r>
        <w:rPr>
          <w:rFonts w:hint="eastAsia"/>
          <w:color w:val="0D0D0D" w:themeColor="text1" w:themeTint="F2"/>
          <w14:textFill>
            <w14:solidFill>
              <w14:schemeClr w14:val="tx1">
                <w14:lumMod w14:val="95000"/>
                <w14:lumOff w14:val="5000"/>
              </w14:schemeClr>
            </w14:solidFill>
          </w14:textFill>
        </w:rPr>
        <w:t>相关已经批准实施的规划</w:t>
      </w:r>
      <w:bookmarkEnd w:id="2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《水污染防治行动计划》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国发〔2015〕17号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23" w:name="_Hlk523170381"/>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全国集中式饮用水水源地环境保护专项行动方案》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环环监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〔2018〕25号）</w:t>
      </w:r>
      <w:bookmarkEnd w:id="23"/>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住房城乡建设部 中央农办 环境保护部 农业部关于落实《国务院办公厅关于改善农村人居环境的指导意见》有关工作的通知（建村〔2014〕102号）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《重点流域水污染防治规划（2011-2015年）》；</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《云南省地表水水环境功能区划（2010~2020年）》（云南省环境保护厅，云环发〔2014〕34号）；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（6）《云南省主体功能区规划》（2014年1月）；</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《云南省生态功能区划》；</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《云南省人民政府办公厅关于加强城镇集中式饮用水源保护工作的通知》（云政办发〔2007〕106号）；</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《云南省水污染防治工作方案》（云政发〔2016〕3号）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（10）《云南省水源地环境保护攻坚战实施方案》（云环发〔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（11）《云南省集中式饮用水水源地保护工作方案》（云污防水源〔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号</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3"/>
        <w:rPr>
          <w:color w:val="0D0D0D" w:themeColor="text1" w:themeTint="F2"/>
          <w14:textFill>
            <w14:solidFill>
              <w14:schemeClr w14:val="tx1">
                <w14:lumMod w14:val="95000"/>
                <w14:lumOff w14:val="5000"/>
              </w14:schemeClr>
            </w14:solidFill>
          </w14:textFill>
        </w:rPr>
      </w:pPr>
      <w:bookmarkStart w:id="24" w:name="_Toc478744142"/>
      <w:bookmarkStart w:id="25" w:name="_Toc27509907"/>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3</w:t>
      </w:r>
      <w:r>
        <w:rPr>
          <w:color w:val="0D0D0D" w:themeColor="text1" w:themeTint="F2"/>
          <w14:textFill>
            <w14:solidFill>
              <w14:schemeClr w14:val="tx1">
                <w14:lumMod w14:val="95000"/>
                <w14:lumOff w14:val="5000"/>
              </w14:schemeClr>
            </w14:solidFill>
          </w14:textFill>
        </w:rPr>
        <w:t xml:space="preserve"> </w:t>
      </w:r>
      <w:bookmarkEnd w:id="24"/>
      <w:r>
        <w:rPr>
          <w:rFonts w:hint="eastAsia"/>
          <w:color w:val="0D0D0D" w:themeColor="text1" w:themeTint="F2"/>
          <w14:textFill>
            <w14:solidFill>
              <w14:schemeClr w14:val="tx1">
                <w14:lumMod w14:val="95000"/>
                <w14:lumOff w14:val="5000"/>
              </w14:schemeClr>
            </w14:solidFill>
          </w14:textFill>
        </w:rPr>
        <w:t>技术路线</w:t>
      </w:r>
      <w:bookmarkEnd w:id="2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结合环境基础情况调查、土地利用现状，依据《饮用水水源保护区划分技术规范》（HJ</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338-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2018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），对</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富源县墨红镇吉克</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保护区进行划分。</w:t>
      </w:r>
    </w:p>
    <w:p>
      <w:pPr>
        <w:spacing w:line="360" w:lineRule="auto"/>
        <w:jc w:val="cente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2733675" cy="55149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33675" cy="5514975"/>
                    </a:xfrm>
                    <a:prstGeom prst="rect">
                      <a:avLst/>
                    </a:prstGeom>
                  </pic:spPr>
                </pic:pic>
              </a:graphicData>
            </a:graphic>
          </wp:inline>
        </w:drawing>
      </w:r>
    </w:p>
    <w:p>
      <w:pPr>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富源县饮用水水源地保护区划分技术路线</w:t>
      </w:r>
    </w:p>
    <w:p>
      <w:pPr>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p>
    <w:p>
      <w:pPr>
        <w:widowControl/>
        <w:jc w:val="left"/>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sectPr>
          <w:footerReference r:id="rId7" w:type="default"/>
          <w:pgSz w:w="11906" w:h="16838"/>
          <w:pgMar w:top="1440" w:right="1800" w:bottom="1440" w:left="1800" w:header="851" w:footer="992" w:gutter="0"/>
          <w:pgNumType w:fmt="numberInDash" w:start="1"/>
          <w:cols w:space="425"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26" w:name="_Toc27509908"/>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第二章 </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饮用水</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水源基础环境状况</w:t>
      </w:r>
      <w:bookmarkEnd w:id="26"/>
    </w:p>
    <w:p>
      <w:pPr>
        <w:pStyle w:val="3"/>
        <w:rPr>
          <w:color w:val="0D0D0D" w:themeColor="text1" w:themeTint="F2"/>
          <w14:textFill>
            <w14:solidFill>
              <w14:schemeClr w14:val="tx1">
                <w14:lumMod w14:val="95000"/>
                <w14:lumOff w14:val="5000"/>
              </w14:schemeClr>
            </w14:solidFill>
          </w14:textFill>
        </w:rPr>
      </w:pPr>
      <w:bookmarkStart w:id="27" w:name="_Toc12456051"/>
      <w:bookmarkStart w:id="28" w:name="_Toc10729966"/>
      <w:bookmarkStart w:id="29" w:name="_Toc27509909"/>
      <w:r>
        <w:rPr>
          <w:color w:val="0D0D0D" w:themeColor="text1" w:themeTint="F2"/>
          <w14:textFill>
            <w14:solidFill>
              <w14:schemeClr w14:val="tx1">
                <w14:lumMod w14:val="95000"/>
                <w14:lumOff w14:val="5000"/>
              </w14:schemeClr>
            </w14:solidFill>
          </w14:textFill>
        </w:rPr>
        <w:t xml:space="preserve">2.1 </w:t>
      </w:r>
      <w:r>
        <w:rPr>
          <w:rFonts w:hint="eastAsia"/>
          <w:color w:val="0D0D0D" w:themeColor="text1" w:themeTint="F2"/>
          <w14:textFill>
            <w14:solidFill>
              <w14:schemeClr w14:val="tx1">
                <w14:lumMod w14:val="95000"/>
                <w14:lumOff w14:val="5000"/>
              </w14:schemeClr>
            </w14:solidFill>
          </w14:textFill>
        </w:rPr>
        <w:t>饮用水水源地所在区域的自然状况</w:t>
      </w:r>
      <w:bookmarkEnd w:id="27"/>
      <w:bookmarkEnd w:id="28"/>
      <w:bookmarkEnd w:id="29"/>
    </w:p>
    <w:p>
      <w:pPr>
        <w:pStyle w:val="4"/>
        <w:rPr>
          <w:color w:val="0D0D0D" w:themeColor="text1" w:themeTint="F2"/>
          <w14:textFill>
            <w14:solidFill>
              <w14:schemeClr w14:val="tx1">
                <w14:lumMod w14:val="95000"/>
                <w14:lumOff w14:val="5000"/>
              </w14:schemeClr>
            </w14:solidFill>
          </w14:textFill>
        </w:rPr>
      </w:pPr>
      <w:bookmarkStart w:id="30" w:name="_Toc10729967"/>
      <w:bookmarkStart w:id="31" w:name="_Toc12456052"/>
      <w:bookmarkStart w:id="32" w:name="_Toc27509910"/>
      <w:r>
        <w:rPr>
          <w:rFonts w:hint="eastAsia"/>
          <w:color w:val="0D0D0D" w:themeColor="text1" w:themeTint="F2"/>
          <w14:textFill>
            <w14:solidFill>
              <w14:schemeClr w14:val="tx1">
                <w14:lumMod w14:val="95000"/>
                <w14:lumOff w14:val="5000"/>
              </w14:schemeClr>
            </w14:solidFill>
          </w14:textFill>
        </w:rPr>
        <w:t>2.1.1 地理位置</w:t>
      </w:r>
      <w:bookmarkEnd w:id="30"/>
      <w:bookmarkEnd w:id="31"/>
      <w:bookmarkEnd w:id="32"/>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富源县位于云南省东部，地处东经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103°58~104°49'，北纬25°~25°58'</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之间，东接贵州省盘县、兴义，西连沾益县和麒麟区，南抵罗平县，北依宣威市。县城距曲靖市政府驻地麒麟城63km，距省政府驻地昆明198km。</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吉克水库位于富源县墨红镇，地理位置为东经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104°14'05"，北纬25°25'23"。</w:t>
      </w:r>
    </w:p>
    <w:p>
      <w:pPr>
        <w:pStyle w:val="4"/>
        <w:rPr>
          <w:color w:val="0D0D0D" w:themeColor="text1" w:themeTint="F2"/>
          <w14:textFill>
            <w14:solidFill>
              <w14:schemeClr w14:val="tx1">
                <w14:lumMod w14:val="95000"/>
                <w14:lumOff w14:val="5000"/>
              </w14:schemeClr>
            </w14:solidFill>
          </w14:textFill>
        </w:rPr>
      </w:pPr>
      <w:bookmarkStart w:id="33" w:name="_Toc10729968"/>
      <w:bookmarkStart w:id="34" w:name="_Toc27509911"/>
      <w:bookmarkStart w:id="35" w:name="_Toc12456053"/>
      <w:r>
        <w:rPr>
          <w:rFonts w:hint="eastAsia"/>
          <w:color w:val="0D0D0D" w:themeColor="text1" w:themeTint="F2"/>
          <w14:textFill>
            <w14:solidFill>
              <w14:schemeClr w14:val="tx1">
                <w14:lumMod w14:val="95000"/>
                <w14:lumOff w14:val="5000"/>
              </w14:schemeClr>
            </w14:solidFill>
          </w14:textFill>
        </w:rPr>
        <w:t>2.1.2 地形地貌</w:t>
      </w:r>
      <w:bookmarkEnd w:id="33"/>
      <w:bookmarkEnd w:id="34"/>
      <w:bookmarkEnd w:id="3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地势由西北向东南略倾斜，乌蒙山支脉自北向南纵贯全境。东北部的老黑山（主峰2737m）由北向南展布；西部的东山（主峰营盘山海拔2749.9m），由北向东展布；南部的十八连山（主峰海拔2410m），东北走向。县城坐落在峦岗、白马、定南山之间的鸣凤山上，北高南低成缓坡形。东门河、西门河由北向南，汇入城南小黄河（块择河上游）。县境内海拔最高点在墨红镇的营盘山，为2748.9m，海拔最低点在古敢水族乡的特土峡谷，为1100m。乌蒙山支脉从北向南纵贯全境。</w:t>
      </w:r>
    </w:p>
    <w:p>
      <w:pPr>
        <w:pStyle w:val="4"/>
        <w:rPr>
          <w:color w:val="0D0D0D" w:themeColor="text1" w:themeTint="F2"/>
          <w14:textFill>
            <w14:solidFill>
              <w14:schemeClr w14:val="tx1">
                <w14:lumMod w14:val="95000"/>
                <w14:lumOff w14:val="5000"/>
              </w14:schemeClr>
            </w14:solidFill>
          </w14:textFill>
        </w:rPr>
      </w:pPr>
      <w:bookmarkStart w:id="36" w:name="_Toc10729969"/>
      <w:bookmarkStart w:id="37" w:name="_Toc27509912"/>
      <w:bookmarkStart w:id="38" w:name="_Toc12456054"/>
      <w:r>
        <w:rPr>
          <w:rFonts w:hint="eastAsia"/>
          <w:color w:val="0D0D0D" w:themeColor="text1" w:themeTint="F2"/>
          <w14:textFill>
            <w14:solidFill>
              <w14:schemeClr w14:val="tx1">
                <w14:lumMod w14:val="95000"/>
                <w14:lumOff w14:val="5000"/>
              </w14:schemeClr>
            </w14:solidFill>
          </w14:textFill>
        </w:rPr>
        <w:t>2.1.3 气候特征</w:t>
      </w:r>
      <w:bookmarkEnd w:id="36"/>
      <w:bookmarkEnd w:id="37"/>
      <w:bookmarkEnd w:id="38"/>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境内属南温带山地季风型半湿润气候。由于地处低纬高原，山高谷深，坡陡流急，地形地貌复杂，形成南部热、中部暖、北部凉的区域气候；又在垂直差异上形成槽坝热、半山暖、山区凉、高山寒的立体气候。年平均气温 13.8℃，最高月均气温19.8℃，最低月均气温5.7℃。年平均降雨量1093.7mm，其中5～10月为雨季，占降雨量的87.1%，11月至次年4月为少雨干季，雨量占12.9%。年均相对湿度为75%。全年无霜期180~260天。年均日照时数1819.8小时。</w:t>
      </w:r>
    </w:p>
    <w:p>
      <w:pPr>
        <w:pStyle w:val="4"/>
        <w:rPr>
          <w:color w:val="0D0D0D" w:themeColor="text1" w:themeTint="F2"/>
          <w14:textFill>
            <w14:solidFill>
              <w14:schemeClr w14:val="tx1">
                <w14:lumMod w14:val="95000"/>
                <w14:lumOff w14:val="5000"/>
              </w14:schemeClr>
            </w14:solidFill>
          </w14:textFill>
        </w:rPr>
      </w:pPr>
      <w:bookmarkStart w:id="39" w:name="_Toc27509913"/>
      <w:bookmarkStart w:id="40" w:name="_Toc10729970"/>
      <w:bookmarkStart w:id="41" w:name="_Toc12456055"/>
      <w:r>
        <w:rPr>
          <w:rFonts w:hint="eastAsia"/>
          <w:color w:val="0D0D0D" w:themeColor="text1" w:themeTint="F2"/>
          <w14:textFill>
            <w14:solidFill>
              <w14:schemeClr w14:val="tx1">
                <w14:lumMod w14:val="95000"/>
                <w14:lumOff w14:val="5000"/>
              </w14:schemeClr>
            </w14:solidFill>
          </w14:textFill>
        </w:rPr>
        <w:t>2.1.4 水文水资源状况</w:t>
      </w:r>
      <w:bookmarkEnd w:id="39"/>
      <w:bookmarkEnd w:id="40"/>
      <w:bookmarkEnd w:id="41"/>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境内河流属于珠江流域的西江水系，多呈纵向分布，主要河流有块泽河、黄泥河、嘉河、丕德河等。其中块泽河是县境内的第一大河，黄泥河为县境内的第二大河。在河流的支系归属上，除嘉河属北盘江外，其余均属南盘江支流。富源县境内不仅河网密布，而且水库众多，据统计，富源县境内共有中型水库2座（石坝水库、响水河水库），小型水库51座，县境内地下水露头（泉）较多，而且冷水泉、温水泉、热水泉类型齐全。</w:t>
      </w:r>
    </w:p>
    <w:p>
      <w:pPr>
        <w:pStyle w:val="3"/>
        <w:rPr>
          <w:color w:val="0D0D0D" w:themeColor="text1" w:themeTint="F2"/>
          <w14:textFill>
            <w14:solidFill>
              <w14:schemeClr w14:val="tx1">
                <w14:lumMod w14:val="95000"/>
                <w14:lumOff w14:val="5000"/>
              </w14:schemeClr>
            </w14:solidFill>
          </w14:textFill>
        </w:rPr>
      </w:pPr>
      <w:bookmarkStart w:id="42" w:name="_Toc27509914"/>
      <w:bookmarkStart w:id="43" w:name="_Toc10729972"/>
      <w:bookmarkStart w:id="44" w:name="_Toc12456056"/>
      <w:r>
        <w:rPr>
          <w:color w:val="0D0D0D" w:themeColor="text1" w:themeTint="F2"/>
          <w14:textFill>
            <w14:solidFill>
              <w14:schemeClr w14:val="tx1">
                <w14:lumMod w14:val="95000"/>
                <w14:lumOff w14:val="5000"/>
              </w14:schemeClr>
            </w14:solidFill>
          </w14:textFill>
        </w:rPr>
        <w:t>2.2</w:t>
      </w:r>
      <w:r>
        <w:rPr>
          <w:rFonts w:hint="eastAsia"/>
          <w:color w:val="0D0D0D" w:themeColor="text1" w:themeTint="F2"/>
          <w14:textFill>
            <w14:solidFill>
              <w14:schemeClr w14:val="tx1">
                <w14:lumMod w14:val="95000"/>
                <w14:lumOff w14:val="5000"/>
              </w14:schemeClr>
            </w14:solidFill>
          </w14:textFill>
        </w:rPr>
        <w:t xml:space="preserve"> 饮用水水源地所在区域的</w:t>
      </w:r>
      <w:r>
        <w:rPr>
          <w:color w:val="0D0D0D" w:themeColor="text1" w:themeTint="F2"/>
          <w14:textFill>
            <w14:solidFill>
              <w14:schemeClr w14:val="tx1">
                <w14:lumMod w14:val="95000"/>
                <w14:lumOff w14:val="5000"/>
              </w14:schemeClr>
            </w14:solidFill>
          </w14:textFill>
        </w:rPr>
        <w:t>社会经济状况</w:t>
      </w:r>
      <w:bookmarkEnd w:id="42"/>
      <w:bookmarkEnd w:id="43"/>
      <w:bookmarkEnd w:id="44"/>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富源县辖9镇1乡2街道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。即：</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安街道、胜境街道、后所镇、墨红镇、大河镇、营上镇、竹园镇、富村镇、十八连山镇、老厂镇、黄泥河镇和古敢水族乡。2018年末全县户籍总人口为834404人，其中：城镇人口216480人，乡村人口617924人，少数民族人口84565人。2018年全县实现生产总值1553458万元，按照可比价计算比上年增长9.5%。其中：第一产业实现增加值373832万元，同比增长6.3%；第二产业实现增加值502285万元，同比增长12.9%；第三产业实现增加值677341万元，同比增长8.5%；全县三次产业结构比例为24.1：32.3：43.6。全年城镇居民人均可支配收入达34725元，农村居民人均可支配收入12473元。</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吉克水库位于富源县墨红镇吉克村委会，涉及乡镇及村委会社会经济概况统计如下。</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（1）墨红镇</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墨红镇位于富源县西南，县内与中安镇、大河镇、竹园镇、营上镇接壤，县外与麒麟区珠街乡、茨营乡、东山镇和沾益县白水镇接壤。全镇国土面积495.5km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辖1个社区、15个村委会、139个村民小组，有1.78万户，6.43万人，其中农业人口6.23万人。全镇有耕地4.29万亩，人均耕地0.7亩，粮食播种面积10.09万亩，粮食产量3.95万吨。全年出栏肉猪17万头、肉羊4万只、肉牛1万头。</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（2）吉克水库保护区范围</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吉克水库保护区涉及居民点为墨红镇吉克村委会的上吉克村，位于一级保护区内。保护区内居住人口59户201人；涉及耕地面积48.15hm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，其中旱地27.04hm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水田21.11 hm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；年末出栏肉猪340头、肉牛28头、肉羊75头、鸡910羽。</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上吉克村社会经济概况如下：</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上吉克村，属于山区，国土面积4.05km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海拔2139.00m，年平均气温15.00℃，年降雨量1043.2mm，适宜种植玉米、水稻、烟叶等农作物。辖1个村民小组，农户59户，农村人口201人。该村2018年农村经济总收入318万元，其中：种植业收入73.00万元，经济作物收入52万，畜牧业收入53.00万元（其中，年内出栏肉猪340头，肉牛28头，肉羊75头，出栏鸡910羽）；渔业收入2万元，林业收入6.00万元，第二、三产业收入120万元，工资性收入44万元，外出务工收入44万。农民人均纯收入10498.00元，全村通自来水。</w:t>
      </w:r>
    </w:p>
    <w:p>
      <w:pPr>
        <w:pStyle w:val="3"/>
        <w:rPr>
          <w:color w:val="0D0D0D" w:themeColor="text1" w:themeTint="F2"/>
          <w14:textFill>
            <w14:solidFill>
              <w14:schemeClr w14:val="tx1">
                <w14:lumMod w14:val="95000"/>
                <w14:lumOff w14:val="5000"/>
              </w14:schemeClr>
            </w14:solidFill>
          </w14:textFill>
        </w:rPr>
      </w:pPr>
      <w:bookmarkStart w:id="45" w:name="_Toc12621568"/>
      <w:bookmarkStart w:id="46" w:name="_Toc27509915"/>
      <w:bookmarkStart w:id="47" w:name="_Toc25679051"/>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3 饮用水水源地周边城乡土地使用现状及规划情况</w:t>
      </w:r>
      <w:bookmarkEnd w:id="45"/>
      <w:bookmarkEnd w:id="46"/>
      <w:bookmarkEnd w:id="47"/>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根据现场踏勘，结合</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富源县自然资源局提供数据和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卫星影像图，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对吉克水库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饮用水水源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保护区范围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内土地利用现状进行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统计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分析，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保护区内土地利用方式主要为有林地，占保护区面积的78.56%；其次是耕地，占保护区面积的14.47%；草地占保护区面积的3.24%；水域占保护区面积的2.96%；建设用地面积较小。吉克水库保护区土地利用现状见表2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3-1、图2.3-1。</w:t>
      </w: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1</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吉克水库保护区土地利用现状</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1528"/>
        <w:gridCol w:w="1081"/>
        <w:gridCol w:w="1081"/>
        <w:gridCol w:w="1081"/>
        <w:gridCol w:w="1081"/>
        <w:gridCol w:w="1081"/>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3168" w:type="dxa"/>
            <w:gridSpan w:val="2"/>
            <w:vMerge w:val="restart"/>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土地利用类型</w:t>
            </w:r>
          </w:p>
        </w:tc>
        <w:tc>
          <w:tcPr>
            <w:tcW w:w="6482" w:type="dxa"/>
            <w:gridSpan w:val="6"/>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吉克水库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3168" w:type="dxa"/>
            <w:gridSpan w:val="2"/>
            <w:vMerge w:val="continue"/>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p>
        </w:tc>
        <w:tc>
          <w:tcPr>
            <w:tcW w:w="2162"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一级保护区</w:t>
            </w:r>
          </w:p>
        </w:tc>
        <w:tc>
          <w:tcPr>
            <w:tcW w:w="2162" w:type="dxa"/>
            <w:gridSpan w:val="2"/>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二级保护区</w:t>
            </w:r>
          </w:p>
        </w:tc>
        <w:tc>
          <w:tcPr>
            <w:tcW w:w="2158" w:type="dxa"/>
            <w:gridSpan w:val="2"/>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3168" w:type="dxa"/>
            <w:gridSpan w:val="2"/>
            <w:vMerge w:val="continue"/>
            <w:shd w:val="clear" w:color="auto" w:fill="D8D8D8" w:themeFill="background1" w:themeFillShade="D9"/>
            <w:vAlign w:val="center"/>
          </w:tcPr>
          <w:p>
            <w:pPr>
              <w:jc w:val="center"/>
              <w:rPr>
                <w:rFonts w:eastAsia="仿宋"/>
                <w:b/>
                <w:color w:val="0D0D0D" w:themeColor="text1" w:themeTint="F2"/>
                <w:sz w:val="24"/>
                <w:szCs w:val="24"/>
                <w14:textFill>
                  <w14:solidFill>
                    <w14:schemeClr w14:val="tx1">
                      <w14:lumMod w14:val="95000"/>
                      <w14:lumOff w14:val="5000"/>
                    </w14:schemeClr>
                  </w14:solidFill>
                </w14:textFill>
              </w:rPr>
            </w:pP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81"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hint="eastAsia" w:eastAsia="仿宋"/>
                <w:b/>
                <w:color w:val="0D0D0D" w:themeColor="text1" w:themeTint="F2"/>
                <w:sz w:val="24"/>
                <w:szCs w:val="24"/>
                <w14:textFill>
                  <w14:solidFill>
                    <w14:schemeClr w14:val="tx1">
                      <w14:lumMod w14:val="95000"/>
                      <w14:lumOff w14:val="5000"/>
                    </w14:schemeClr>
                  </w14:solidFill>
                </w14:textFill>
              </w:rPr>
              <w:t>）</w:t>
            </w:r>
          </w:p>
        </w:tc>
        <w:tc>
          <w:tcPr>
            <w:tcW w:w="1077" w:type="dxa"/>
            <w:shd w:val="clear" w:color="auto" w:fill="D8D8D8" w:themeFill="background1" w:themeFillShade="D9"/>
          </w:tcPr>
          <w:p>
            <w:pPr>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比例（</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r>
              <w:rPr>
                <w:rFonts w:hint="eastAsia" w:eastAsia="仿宋"/>
                <w:b/>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68" w:type="dxa"/>
            <w:gridSpan w:val="2"/>
            <w:shd w:val="clear" w:color="auto" w:fill="auto"/>
            <w:vAlign w:val="center"/>
          </w:tcPr>
          <w:p>
            <w:pPr>
              <w:jc w:val="center"/>
              <w:rPr>
                <w:rFonts w:eastAsia="宋体"/>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有林地</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46.08</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51.36</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215.30</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88.60</w:t>
            </w:r>
          </w:p>
        </w:tc>
        <w:tc>
          <w:tcPr>
            <w:tcW w:w="1081"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261.38</w:t>
            </w:r>
          </w:p>
        </w:tc>
        <w:tc>
          <w:tcPr>
            <w:tcW w:w="1077"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40" w:type="dxa"/>
            <w:vMerge w:val="restart"/>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耕地</w:t>
            </w:r>
          </w:p>
        </w:tc>
        <w:tc>
          <w:tcPr>
            <w:tcW w:w="1528" w:type="dxa"/>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21.13</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23.55</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27.02</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11.12</w:t>
            </w:r>
          </w:p>
        </w:tc>
        <w:tc>
          <w:tcPr>
            <w:tcW w:w="1081"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48.15</w:t>
            </w:r>
          </w:p>
        </w:tc>
        <w:tc>
          <w:tcPr>
            <w:tcW w:w="1077"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40" w:type="dxa"/>
            <w:vMerge w:val="continue"/>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p>
        </w:tc>
        <w:tc>
          <w:tcPr>
            <w:tcW w:w="1528" w:type="dxa"/>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17.45</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19.45</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9.59</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3.95</w:t>
            </w:r>
          </w:p>
        </w:tc>
        <w:tc>
          <w:tcPr>
            <w:tcW w:w="1081"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27.04</w:t>
            </w:r>
          </w:p>
        </w:tc>
        <w:tc>
          <w:tcPr>
            <w:tcW w:w="1077"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640" w:type="dxa"/>
            <w:vMerge w:val="continue"/>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p>
        </w:tc>
        <w:tc>
          <w:tcPr>
            <w:tcW w:w="1528" w:type="dxa"/>
            <w:shd w:val="clear" w:color="auto" w:fill="auto"/>
            <w:vAlign w:val="center"/>
          </w:tcPr>
          <w:p>
            <w:pPr>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水田</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3.68</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4.10</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17.43</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7.17</w:t>
            </w:r>
          </w:p>
        </w:tc>
        <w:tc>
          <w:tcPr>
            <w:tcW w:w="1081"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21.11</w:t>
            </w:r>
          </w:p>
        </w:tc>
        <w:tc>
          <w:tcPr>
            <w:tcW w:w="1077"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68" w:type="dxa"/>
            <w:gridSpan w:val="2"/>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草地</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10.09</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11.25</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0.69</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0.28</w:t>
            </w:r>
          </w:p>
        </w:tc>
        <w:tc>
          <w:tcPr>
            <w:tcW w:w="1081"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10.78</w:t>
            </w:r>
          </w:p>
        </w:tc>
        <w:tc>
          <w:tcPr>
            <w:tcW w:w="1077"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68" w:type="dxa"/>
            <w:gridSpan w:val="2"/>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水域</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9.86</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10.99</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w:t>
            </w:r>
          </w:p>
        </w:tc>
        <w:tc>
          <w:tcPr>
            <w:tcW w:w="1081" w:type="dxa"/>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w:t>
            </w:r>
          </w:p>
        </w:tc>
        <w:tc>
          <w:tcPr>
            <w:tcW w:w="1081"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9.86</w:t>
            </w:r>
          </w:p>
        </w:tc>
        <w:tc>
          <w:tcPr>
            <w:tcW w:w="1077" w:type="dxa"/>
            <w:shd w:val="clear" w:color="auto" w:fill="auto"/>
            <w:vAlign w:val="center"/>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68" w:type="dxa"/>
            <w:gridSpan w:val="2"/>
            <w:shd w:val="clear" w:color="auto" w:fill="auto"/>
            <w:vAlign w:val="center"/>
          </w:tcPr>
          <w:p>
            <w:pPr>
              <w:widowControl/>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建设用地</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2.56</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2.85</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w:t>
            </w:r>
          </w:p>
        </w:tc>
        <w:tc>
          <w:tcPr>
            <w:tcW w:w="1081"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2.56</w:t>
            </w:r>
          </w:p>
        </w:tc>
        <w:tc>
          <w:tcPr>
            <w:tcW w:w="1077"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68" w:type="dxa"/>
            <w:gridSpan w:val="2"/>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89.72</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100.00</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243.01</w:t>
            </w:r>
          </w:p>
        </w:tc>
        <w:tc>
          <w:tcPr>
            <w:tcW w:w="1081" w:type="dxa"/>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100.00</w:t>
            </w:r>
          </w:p>
        </w:tc>
        <w:tc>
          <w:tcPr>
            <w:tcW w:w="1081"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332.72</w:t>
            </w:r>
          </w:p>
        </w:tc>
        <w:tc>
          <w:tcPr>
            <w:tcW w:w="1077" w:type="dxa"/>
            <w:shd w:val="clear" w:color="auto" w:fill="auto"/>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100.00</w:t>
            </w:r>
          </w:p>
        </w:tc>
      </w:tr>
    </w:tbl>
    <w:p>
      <w:pPr>
        <w:adjustRightInd w:val="0"/>
        <w:snapToGrid w:val="0"/>
        <w:spacing w:line="360" w:lineRule="auto"/>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14850" cy="2886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514850" cy="2886075"/>
                    </a:xfrm>
                    <a:prstGeom prst="rect">
                      <a:avLst/>
                    </a:prstGeom>
                    <a:noFill/>
                    <a:ln>
                      <a:noFill/>
                    </a:ln>
                  </pic:spPr>
                </pic:pic>
              </a:graphicData>
            </a:graphic>
          </wp:inline>
        </w:drawing>
      </w:r>
    </w:p>
    <w:p>
      <w:pPr>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  吉克水库保护区内土地利用状况</w:t>
      </w:r>
    </w:p>
    <w:p>
      <w:pPr>
        <w:pStyle w:val="3"/>
        <w:rPr>
          <w:color w:val="0D0D0D" w:themeColor="text1" w:themeTint="F2"/>
          <w14:textFill>
            <w14:solidFill>
              <w14:schemeClr w14:val="tx1">
                <w14:lumMod w14:val="95000"/>
                <w14:lumOff w14:val="5000"/>
              </w14:schemeClr>
            </w14:solidFill>
          </w14:textFill>
        </w:rPr>
      </w:pPr>
      <w:bookmarkStart w:id="48" w:name="_Toc12456059"/>
      <w:bookmarkStart w:id="49" w:name="_Toc27509916"/>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 xml:space="preserve"> 饮用水水源地</w:t>
      </w:r>
      <w:r>
        <w:rPr>
          <w:rFonts w:hint="eastAsia"/>
          <w:color w:val="0D0D0D" w:themeColor="text1" w:themeTint="F2"/>
          <w14:textFill>
            <w14:solidFill>
              <w14:schemeClr w14:val="tx1">
                <w14:lumMod w14:val="95000"/>
                <w14:lumOff w14:val="5000"/>
              </w14:schemeClr>
            </w14:solidFill>
          </w14:textFill>
        </w:rPr>
        <w:t>规划、水功能区划、重要生态功能区等情况</w:t>
      </w:r>
      <w:bookmarkEnd w:id="48"/>
      <w:bookmarkEnd w:id="49"/>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（1）水源地规划</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吉克水库作为在用的“千吨万人”水源地，本次区划按新划区划开展相关工作。</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（2）水功能区划</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吉克水库属于珠江流域南盘江水系，根据《云南省地表水环境功能区划（2010-2020年）》，吉克水库所在水环境功能区划为：黄泥河富源境内段，为工业用水、农业用水、饮用二级，水质类别为III类。</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吉克水库属于地表水，现状功能为饮用水，水质功能类别为III类。</w:t>
      </w:r>
    </w:p>
    <w:p>
      <w:pPr>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（3）重要生态功能区</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吉克水库饮用水水源地位于曲靖市富源县墨红镇，根据《云南省主体功能区规划》，富源县属于省级重点开发区域。</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根据《云南省生态功能区划》，吉克水库水源地位于富源县墨红镇，所在生态功能分区为：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高原亚热带北部常绿阔叶林生态区—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滇中高原谷盆半湿润常绿阔叶林、暖性针叶林生态亚区—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1-14</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富源、罗平岩溶中山水源涵养生态功能区。该区以岩溶中山地貌为主。大部分地区年降雨量1500-2000 毫米，主要植被类型是云南松林，土壤以黄壤和黄棕壤为主。区内森林数量少、质量低，矿业开发带来的污染，区内石漠化中度敏感。区内需严格执行封山育林、人工造林和退耕还林；做好煤矿开采的生态恢复，提高区域的水源涵养效益。</w:t>
      </w:r>
    </w:p>
    <w:p>
      <w:pPr>
        <w:pStyle w:val="3"/>
        <w:rPr>
          <w:color w:val="0D0D0D" w:themeColor="text1" w:themeTint="F2"/>
          <w14:textFill>
            <w14:solidFill>
              <w14:schemeClr w14:val="tx1">
                <w14:lumMod w14:val="95000"/>
                <w14:lumOff w14:val="5000"/>
              </w14:schemeClr>
            </w14:solidFill>
          </w14:textFill>
        </w:rPr>
      </w:pPr>
      <w:bookmarkStart w:id="50" w:name="_Toc10729973"/>
      <w:bookmarkStart w:id="51" w:name="_Toc27509917"/>
      <w:bookmarkStart w:id="52" w:name="_Toc12456060"/>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5</w:t>
      </w:r>
      <w:r>
        <w:rPr>
          <w:color w:val="0D0D0D" w:themeColor="text1" w:themeTint="F2"/>
          <w14:textFill>
            <w14:solidFill>
              <w14:schemeClr w14:val="tx1">
                <w14:lumMod w14:val="95000"/>
                <w14:lumOff w14:val="5000"/>
              </w14:schemeClr>
            </w14:solidFill>
          </w14:textFill>
        </w:rPr>
        <w:t xml:space="preserve"> 饮用水水源地</w:t>
      </w:r>
      <w:r>
        <w:rPr>
          <w:rFonts w:hint="eastAsia"/>
          <w:color w:val="0D0D0D" w:themeColor="text1" w:themeTint="F2"/>
          <w14:textFill>
            <w14:solidFill>
              <w14:schemeClr w14:val="tx1">
                <w14:lumMod w14:val="95000"/>
                <w14:lumOff w14:val="5000"/>
              </w14:schemeClr>
            </w14:solidFill>
          </w14:textFill>
        </w:rPr>
        <w:t>基本</w:t>
      </w:r>
      <w:bookmarkEnd w:id="50"/>
      <w:r>
        <w:rPr>
          <w:rFonts w:hint="eastAsia"/>
          <w:color w:val="0D0D0D" w:themeColor="text1" w:themeTint="F2"/>
          <w14:textFill>
            <w14:solidFill>
              <w14:schemeClr w14:val="tx1">
                <w14:lumMod w14:val="95000"/>
                <w14:lumOff w14:val="5000"/>
              </w14:schemeClr>
            </w14:solidFill>
          </w14:textFill>
        </w:rPr>
        <w:t>状况</w:t>
      </w:r>
      <w:bookmarkEnd w:id="51"/>
      <w:bookmarkEnd w:id="52"/>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墨红镇吉克水库为地表水型饮用水源地，为在用水源地，</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属小（一）型水库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。上吉克水库位于富源县墨红镇吉克村委会上吉克村下侧500m处，尾水经陡坡自然下泄后进入吉克水库，是一座以灌溉为主兼顾防洪的小（二）型水库。</w:t>
      </w:r>
    </w:p>
    <w:p>
      <w:pPr>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5-1  墨红镇吉克水库水源地基本信息表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5"/>
        <w:gridCol w:w="1700"/>
        <w:gridCol w:w="2324"/>
        <w:gridCol w:w="2326"/>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45" w:type="dxa"/>
            <w:vMerge w:val="restart"/>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水源地名称</w:t>
            </w:r>
          </w:p>
        </w:tc>
        <w:tc>
          <w:tcPr>
            <w:tcW w:w="1700" w:type="dxa"/>
            <w:vMerge w:val="restart"/>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水源地类型</w:t>
            </w:r>
          </w:p>
        </w:tc>
        <w:tc>
          <w:tcPr>
            <w:tcW w:w="4650" w:type="dxa"/>
            <w:gridSpan w:val="2"/>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取水口地理坐标</w:t>
            </w:r>
          </w:p>
        </w:tc>
        <w:tc>
          <w:tcPr>
            <w:tcW w:w="1455" w:type="dxa"/>
            <w:vMerge w:val="restart"/>
            <w:shd w:val="clear" w:color="auto" w:fill="D8D8D8" w:themeFill="background1" w:themeFillShade="D9"/>
            <w:vAlign w:val="center"/>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45" w:type="dxa"/>
            <w:vMerge w:val="continue"/>
            <w:shd w:val="clear" w:color="auto" w:fill="D8D8D8" w:themeFill="background1" w:themeFillShade="D9"/>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700" w:type="dxa"/>
            <w:vMerge w:val="continue"/>
            <w:shd w:val="clear" w:color="auto" w:fill="D8D8D8" w:themeFill="background1" w:themeFillShade="D9"/>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2324"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东经</w:t>
            </w:r>
          </w:p>
        </w:tc>
        <w:tc>
          <w:tcPr>
            <w:tcW w:w="2326"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北纬</w:t>
            </w:r>
          </w:p>
        </w:tc>
        <w:tc>
          <w:tcPr>
            <w:tcW w:w="1455" w:type="dxa"/>
            <w:vMerge w:val="continue"/>
            <w:shd w:val="clear" w:color="auto" w:fill="D8D8D8" w:themeFill="background1" w:themeFillShade="D9"/>
            <w:vAlign w:val="center"/>
          </w:tcPr>
          <w:p>
            <w:pPr>
              <w:spacing w:line="300" w:lineRule="exact"/>
              <w:jc w:val="center"/>
              <w:rPr>
                <w:rFonts w:ascii="宋体" w:hAnsi="宋体" w:eastAsia="宋体" w:cs="宋体"/>
                <w:color w:val="0D0D0D" w:themeColor="text1" w:themeTint="F2"/>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45"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吉克水库</w:t>
            </w:r>
          </w:p>
        </w:tc>
        <w:tc>
          <w:tcPr>
            <w:tcW w:w="1700"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地表水型</w:t>
            </w:r>
          </w:p>
        </w:tc>
        <w:tc>
          <w:tcPr>
            <w:tcW w:w="2324"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104°14'04"</w:t>
            </w:r>
          </w:p>
        </w:tc>
        <w:tc>
          <w:tcPr>
            <w:tcW w:w="2326"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25°25'22"</w:t>
            </w:r>
          </w:p>
        </w:tc>
        <w:tc>
          <w:tcPr>
            <w:tcW w:w="1455" w:type="dxa"/>
            <w:shd w:val="clear" w:color="auto" w:fill="auto"/>
            <w:vAlign w:val="center"/>
          </w:tcPr>
          <w:p>
            <w:pPr>
              <w:spacing w:line="300" w:lineRule="exact"/>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在用</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53" w:name="_Toc10729974"/>
      <w:bookmarkStart w:id="54" w:name="_Toc12456061"/>
      <w:bookmarkStart w:id="55" w:name="_Toc27509918"/>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5</w:t>
      </w:r>
      <w:r>
        <w:rPr>
          <w:color w:val="0D0D0D" w:themeColor="text1" w:themeTint="F2"/>
          <w:sz w:val="28"/>
          <w:szCs w:val="28"/>
          <w14:textFill>
            <w14:solidFill>
              <w14:schemeClr w14:val="tx1">
                <w14:lumMod w14:val="95000"/>
                <w14:lumOff w14:val="5000"/>
              </w14:schemeClr>
            </w14:solidFill>
          </w14:textFill>
        </w:rPr>
        <w:t>.1</w:t>
      </w:r>
      <w:r>
        <w:rPr>
          <w:rFonts w:hint="eastAsia"/>
          <w:color w:val="0D0D0D" w:themeColor="text1" w:themeTint="F2"/>
          <w:sz w:val="28"/>
          <w:szCs w:val="28"/>
          <w14:textFill>
            <w14:solidFill>
              <w14:schemeClr w14:val="tx1">
                <w14:lumMod w14:val="95000"/>
                <w14:lumOff w14:val="5000"/>
              </w14:schemeClr>
            </w14:solidFill>
          </w14:textFill>
        </w:rPr>
        <w:t xml:space="preserve"> </w:t>
      </w:r>
      <w:bookmarkEnd w:id="53"/>
      <w:bookmarkEnd w:id="54"/>
      <w:r>
        <w:rPr>
          <w:rFonts w:hint="eastAsia"/>
          <w:color w:val="0D0D0D" w:themeColor="text1" w:themeTint="F2"/>
          <w:sz w:val="28"/>
          <w:szCs w:val="28"/>
          <w14:textFill>
            <w14:solidFill>
              <w14:schemeClr w14:val="tx1">
                <w14:lumMod w14:val="95000"/>
                <w14:lumOff w14:val="5000"/>
              </w14:schemeClr>
            </w14:solidFill>
          </w14:textFill>
        </w:rPr>
        <w:t>水库概况</w:t>
      </w:r>
      <w:bookmarkEnd w:id="55"/>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吉克水库是洋箐小河上一座梯级水库，属小（一）型水库规模，水库上游有上吉克小（二）型水库，下游顺次有迤黑小（一）型、青松小（二）型，田边小（一）型三座水库。吉克水库原设计总库容135万m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，根据中华人民共和国国家《防洪标准》（GB50201</w:t>
      </w: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94）和部颁《水利水电工程等级划分及洪水标准（山区、丘陵区部份）SL252-2000》及其补充规定，本工程属小（一）型规模，工程等别为</w:t>
      </w:r>
      <w:r>
        <w:rPr>
          <w:rFonts w:hint="eastAsia" w:ascii="宋体" w:hAnsi="宋体" w:eastAsia="宋体" w:cs="宋体"/>
          <w:color w:val="0D0D0D" w:themeColor="text1" w:themeTint="F2"/>
          <w:sz w:val="28"/>
          <w:szCs w:val="28"/>
          <w:lang w:val="en-IE"/>
          <w14:textFill>
            <w14:solidFill>
              <w14:schemeClr w14:val="tx1">
                <w14:lumMod w14:val="95000"/>
                <w14:lumOff w14:val="5000"/>
              </w14:schemeClr>
            </w14:solidFill>
          </w14:textFill>
        </w:rPr>
        <w:t>Ⅳ</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等，工程主要建筑物大坝、溢洪道、输水隧洞级别为</w:t>
      </w:r>
      <w:r>
        <w:rPr>
          <w:rFonts w:hint="eastAsia" w:ascii="宋体" w:hAnsi="宋体" w:eastAsia="宋体" w:cs="宋体"/>
          <w:color w:val="0D0D0D" w:themeColor="text1" w:themeTint="F2"/>
          <w:sz w:val="28"/>
          <w:szCs w:val="28"/>
          <w:lang w:val="en-IE"/>
          <w14:textFill>
            <w14:solidFill>
              <w14:schemeClr w14:val="tx1">
                <w14:lumMod w14:val="95000"/>
                <w14:lumOff w14:val="5000"/>
              </w14:schemeClr>
            </w14:solidFill>
          </w14:textFill>
        </w:rPr>
        <w:t>Ⅳ</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级，次要和临时建筑物为V级。该水库洪水设计标准按30年一遇洪水设计，300年一遇洪水校核。工程于1956年春开工建设，经多年断续施工，至1959年冬完成，现坝高29m，坝顶高程2099m，水库控制径流面积3.43km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，坝轴河底高程2070m，河道平均坡降30.6‰，水库正常蓄水位2095.8m，正常库容110.83万m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，校核洪水位2098.1m，总库容135万m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输水隧洞布置于大坝左岸，隧洞洞身长142m，进出口连接段长27.5m，净空1.5×1.8m，进口高程2074m，出口高程2073.11m，其轴线走向为N23°E。溢洪道为开敞式宽顶堰溢洪道，堰顶高程为2095.8m，与正常蓄水位同高，溢洪道堰顶宽4.0m，水库设计洪水标准为P=3.33%时，设计洪水位为2097.4m，相应库容为127.5万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,下泄流量11.48m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/s；水库校核洪水标准P=0.33%，校核洪水位为2098.1m，最大下泄流量19.15m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/s。</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上吉克水库是一座以灌溉为主兼顾防洪的小（二）型水库，水库始建于1978年10月，经多年的施工，续建配套，1981年竣工并投入使用运行。水库控制径流面积1.73km</w:t>
      </w:r>
      <w:r>
        <w:rPr>
          <w:rFonts w:hint="eastAsia"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，下游防洪保护人口500人，道路15.5km，农田灌溉300亩。根据国家《防洪标准》（GB50201-94），水规（1989）21号水利部印发《水利枢纽工程险加固近期应用洪水标准意见》的通知，上吉克水库总库容23.23万</w:t>
      </w:r>
      <w:r>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vertAlign w:val="superscript"/>
          <w:lang w:val="en-IE"/>
          <w14:textFill>
            <w14:solidFill>
              <w14:schemeClr w14:val="tx1">
                <w14:lumMod w14:val="95000"/>
                <w14:lumOff w14:val="5000"/>
              </w14:schemeClr>
            </w14:solidFill>
          </w14:textFill>
        </w:rPr>
        <w:t>3</w:t>
      </w: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属小（二）型工程，工程级别是V等，大坝级别为5级，正常运用洪水标准为20年一遇，非常运用洪水标准为200年一遇。水库枢纽工程由大坝、溢洪道、输水隧洞组成。大坝为均质土坝，坝高23.5m，坝顶高程为2153.5m，坝顶长97m，坝顶宽5m。改造溢洪道为河岸式溢洪道，溢洪道布置在右岸山体垭口处，溢洪堰顶高程2151m，溢洪道控制段轴线与坝轴线垂直相交呈72°，溢洪道由进水口、控制段、泄槽段组成，全长94.6m。进水口长7m，进水口高程2150.5m，控制段长5m，堰顶高程2151m，堰宽4m；泄槽段长82.6m，末端与河底相接。输水涵洞位于大坝左岸，水库输水涵洞为圬工拱涵，断面尺寸1.0×1.5，其中拱高0.5m；涵洞全长88.2m，底坡为1/200，出口高程2135.559m，涵洞出口为陡坡，尾水经陡坡自然下泄后进入吉克水库。</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总库容135万m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调节库容</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108.98万m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，正常蓄水位2095.8m，死水位2074m</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，设计洪水位为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2097.4</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m，校核洪水位为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2098.1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m；上吉克水库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总库容</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23.23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调节库容18.59</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，正常蓄水位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2151.00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m，死水位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2136.00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，设计洪水位为2152.92m，校核洪水位为2153.45m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2.5-2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吉克水库及上吉克水库</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设计基本参数</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2187"/>
        <w:gridCol w:w="1579"/>
        <w:gridCol w:w="2351"/>
        <w:gridCol w:w="2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4"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序号</w:t>
            </w:r>
          </w:p>
        </w:tc>
        <w:tc>
          <w:tcPr>
            <w:tcW w:w="2187"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参数</w:t>
            </w:r>
          </w:p>
        </w:tc>
        <w:tc>
          <w:tcPr>
            <w:tcW w:w="1579"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单位</w:t>
            </w:r>
          </w:p>
        </w:tc>
        <w:tc>
          <w:tcPr>
            <w:tcW w:w="2351" w:type="dxa"/>
            <w:shd w:val="clear" w:color="auto" w:fill="D8D8D8" w:themeFill="background1" w:themeFillShade="D9"/>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吉克水库</w:t>
            </w:r>
          </w:p>
        </w:tc>
        <w:tc>
          <w:tcPr>
            <w:tcW w:w="2349" w:type="dxa"/>
            <w:shd w:val="clear" w:color="auto" w:fill="D8D8D8" w:themeFill="background1" w:themeFillShade="D9"/>
            <w:vAlign w:val="center"/>
          </w:tcPr>
          <w:p>
            <w:pPr>
              <w:widowControl/>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上吉克水库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4"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2187"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正常蓄水位</w:t>
            </w:r>
          </w:p>
        </w:tc>
        <w:tc>
          <w:tcPr>
            <w:tcW w:w="1579"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235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2095.8</w:t>
            </w:r>
          </w:p>
        </w:tc>
        <w:tc>
          <w:tcPr>
            <w:tcW w:w="234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2151.00</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4"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2187"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死水位</w:t>
            </w:r>
          </w:p>
        </w:tc>
        <w:tc>
          <w:tcPr>
            <w:tcW w:w="1579"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235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2074</w:t>
            </w:r>
          </w:p>
        </w:tc>
        <w:tc>
          <w:tcPr>
            <w:tcW w:w="234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4"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2187"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设计洪水位</w:t>
            </w:r>
          </w:p>
        </w:tc>
        <w:tc>
          <w:tcPr>
            <w:tcW w:w="1579"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235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2097.4</w:t>
            </w:r>
          </w:p>
        </w:tc>
        <w:tc>
          <w:tcPr>
            <w:tcW w:w="234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2152.92</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4"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2187"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校核洪水位</w:t>
            </w:r>
          </w:p>
        </w:tc>
        <w:tc>
          <w:tcPr>
            <w:tcW w:w="1579"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p>
        </w:tc>
        <w:tc>
          <w:tcPr>
            <w:tcW w:w="235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2098.1</w:t>
            </w:r>
          </w:p>
        </w:tc>
        <w:tc>
          <w:tcPr>
            <w:tcW w:w="234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2153.45</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4"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2187"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调节库容</w:t>
            </w:r>
          </w:p>
        </w:tc>
        <w:tc>
          <w:tcPr>
            <w:tcW w:w="1579"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235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108.98</w:t>
            </w:r>
          </w:p>
        </w:tc>
        <w:tc>
          <w:tcPr>
            <w:tcW w:w="234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18.59</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4"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2187"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eastAsia="仿宋"/>
                <w:color w:val="0D0D0D" w:themeColor="text1" w:themeTint="F2"/>
                <w:sz w:val="24"/>
                <w:szCs w:val="24"/>
                <w14:textFill>
                  <w14:solidFill>
                    <w14:schemeClr w14:val="tx1">
                      <w14:lumMod w14:val="95000"/>
                      <w14:lumOff w14:val="5000"/>
                    </w14:schemeClr>
                  </w14:solidFill>
                </w14:textFill>
              </w:rPr>
              <w:t>总库容</w:t>
            </w:r>
          </w:p>
        </w:tc>
        <w:tc>
          <w:tcPr>
            <w:tcW w:w="1579"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235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135</w:t>
            </w:r>
          </w:p>
        </w:tc>
        <w:tc>
          <w:tcPr>
            <w:tcW w:w="234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23.23</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84"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2187" w:type="dxa"/>
            <w:shd w:val="clear" w:color="auto" w:fill="auto"/>
            <w:vAlign w:val="center"/>
          </w:tcPr>
          <w:p>
            <w:pPr>
              <w:widowControl/>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死库容</w:t>
            </w:r>
          </w:p>
        </w:tc>
        <w:tc>
          <w:tcPr>
            <w:tcW w:w="1579"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万m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p>
        </w:tc>
        <w:tc>
          <w:tcPr>
            <w:tcW w:w="235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1.85</w:t>
            </w:r>
          </w:p>
        </w:tc>
        <w:tc>
          <w:tcPr>
            <w:tcW w:w="2349"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0.92</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 xml:space="preserve">      </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56" w:name="_Toc27509919"/>
      <w:bookmarkStart w:id="57" w:name="_Toc12456062"/>
      <w:bookmarkStart w:id="58" w:name="_Toc10729975"/>
      <w:bookmarkStart w:id="59" w:name="_Toc524596427"/>
      <w:bookmarkStart w:id="60" w:name="_Toc478742807"/>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5</w:t>
      </w:r>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 xml:space="preserve"> 供</w:t>
      </w:r>
      <w:r>
        <w:rPr>
          <w:color w:val="0D0D0D" w:themeColor="text1" w:themeTint="F2"/>
          <w:sz w:val="28"/>
          <w:szCs w:val="28"/>
          <w14:textFill>
            <w14:solidFill>
              <w14:schemeClr w14:val="tx1">
                <w14:lumMod w14:val="95000"/>
                <w14:lumOff w14:val="5000"/>
              </w14:schemeClr>
            </w14:solidFill>
          </w14:textFill>
        </w:rPr>
        <w:t>水情况</w:t>
      </w:r>
      <w:bookmarkEnd w:id="56"/>
      <w:bookmarkEnd w:id="57"/>
      <w:bookmarkEnd w:id="58"/>
      <w:bookmarkEnd w:id="59"/>
      <w:bookmarkEnd w:id="60"/>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吉克水库为富源县墨红镇自来水厂水源点，年供水量</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36.5</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年，供水人口约</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0.6</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万人。</w:t>
      </w:r>
    </w:p>
    <w:p>
      <w:pPr>
        <w:spacing w:line="480" w:lineRule="exact"/>
        <w:jc w:val="center"/>
        <w:rPr>
          <w:rFonts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  </w:t>
      </w:r>
      <w:r>
        <w:rPr>
          <w:rFonts w:hint="eastAsia" w:ascii="Times New Roman" w:hAnsi="Times New Roman" w:eastAsia="仿宋" w:cs="Times New Roman"/>
          <w:b/>
          <w:bCs/>
          <w:color w:val="0D0D0D" w:themeColor="text1" w:themeTint="F2"/>
          <w:sz w:val="28"/>
          <w:szCs w:val="28"/>
          <w14:textFill>
            <w14:solidFill>
              <w14:schemeClr w14:val="tx1">
                <w14:lumMod w14:val="95000"/>
                <w14:lumOff w14:val="5000"/>
              </w14:schemeClr>
            </w14:solidFill>
          </w14:textFill>
        </w:rPr>
        <w:t>吉克水库供水情况统计表</w:t>
      </w:r>
    </w:p>
    <w:tbl>
      <w:tblPr>
        <w:tblStyle w:val="45"/>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6"/>
        <w:gridCol w:w="3754"/>
        <w:gridCol w:w="3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526"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水源地名称</w:t>
            </w:r>
          </w:p>
        </w:tc>
        <w:tc>
          <w:tcPr>
            <w:tcW w:w="3754"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供</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水量（万</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m</w:t>
            </w:r>
            <w:r>
              <w:rPr>
                <w:rFonts w:hint="eastAsia"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w:t>
            </w:r>
          </w:p>
        </w:tc>
        <w:tc>
          <w:tcPr>
            <w:tcW w:w="3370" w:type="dxa"/>
            <w:shd w:val="clear" w:color="auto" w:fill="D8D8D8" w:themeFill="background1" w:themeFillShade="D9"/>
            <w:vAlign w:val="center"/>
          </w:tcPr>
          <w:p>
            <w:pPr>
              <w:spacing w:line="300" w:lineRule="exact"/>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供水</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人口（万人）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 w:hRule="atLeast"/>
        </w:trPr>
        <w:tc>
          <w:tcPr>
            <w:tcW w:w="2526"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吉克水库</w:t>
            </w:r>
          </w:p>
        </w:tc>
        <w:tc>
          <w:tcPr>
            <w:tcW w:w="3754"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36.5</w:t>
            </w:r>
          </w:p>
        </w:tc>
        <w:tc>
          <w:tcPr>
            <w:tcW w:w="3370" w:type="dxa"/>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w:t>
            </w:r>
          </w:p>
        </w:tc>
      </w:tr>
    </w:tbl>
    <w:p>
      <w:pPr>
        <w:pStyle w:val="3"/>
        <w:rPr>
          <w:color w:val="0D0D0D" w:themeColor="text1" w:themeTint="F2"/>
          <w14:textFill>
            <w14:solidFill>
              <w14:schemeClr w14:val="tx1">
                <w14:lumMod w14:val="95000"/>
                <w14:lumOff w14:val="5000"/>
              </w14:schemeClr>
            </w14:solidFill>
          </w14:textFill>
        </w:rPr>
      </w:pPr>
      <w:bookmarkStart w:id="61" w:name="_Toc10729976"/>
      <w:bookmarkStart w:id="62" w:name="_Toc12456063"/>
      <w:bookmarkStart w:id="63" w:name="_Toc27509920"/>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6 饮用水</w:t>
      </w:r>
      <w:r>
        <w:rPr>
          <w:color w:val="0D0D0D" w:themeColor="text1" w:themeTint="F2"/>
          <w14:textFill>
            <w14:solidFill>
              <w14:schemeClr w14:val="tx1">
                <w14:lumMod w14:val="95000"/>
                <w14:lumOff w14:val="5000"/>
              </w14:schemeClr>
            </w14:solidFill>
          </w14:textFill>
        </w:rPr>
        <w:t>水源地</w:t>
      </w:r>
      <w:r>
        <w:rPr>
          <w:rFonts w:hint="eastAsia"/>
          <w:color w:val="0D0D0D" w:themeColor="text1" w:themeTint="F2"/>
          <w14:textFill>
            <w14:solidFill>
              <w14:schemeClr w14:val="tx1">
                <w14:lumMod w14:val="95000"/>
                <w14:lumOff w14:val="5000"/>
              </w14:schemeClr>
            </w14:solidFill>
          </w14:textFill>
        </w:rPr>
        <w:t>的</w:t>
      </w:r>
      <w:r>
        <w:rPr>
          <w:color w:val="0D0D0D" w:themeColor="text1" w:themeTint="F2"/>
          <w14:textFill>
            <w14:solidFill>
              <w14:schemeClr w14:val="tx1">
                <w14:lumMod w14:val="95000"/>
                <w14:lumOff w14:val="5000"/>
              </w14:schemeClr>
            </w14:solidFill>
          </w14:textFill>
        </w:rPr>
        <w:t>水质状况</w:t>
      </w:r>
      <w:bookmarkEnd w:id="61"/>
      <w:r>
        <w:rPr>
          <w:rFonts w:hint="eastAsia"/>
          <w:color w:val="0D0D0D" w:themeColor="text1" w:themeTint="F2"/>
          <w14:textFill>
            <w14:solidFill>
              <w14:schemeClr w14:val="tx1">
                <w14:lumMod w14:val="95000"/>
                <w14:lumOff w14:val="5000"/>
              </w14:schemeClr>
            </w14:solidFill>
          </w14:textFill>
        </w:rPr>
        <w:t>调查评价</w:t>
      </w:r>
      <w:bookmarkEnd w:id="62"/>
      <w:bookmarkEnd w:id="63"/>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墨红镇</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2019年11月由曲靖市生态环境局</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富源分局</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委托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云南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蓝</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硕</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信息咨询</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有限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公司</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对其水质开展1次监测，本区划引用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监测数据对墨红镇吉克水库水环境质量进行评估。</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64" w:name="_Toc27509921"/>
      <w:bookmarkStart w:id="65" w:name="_Toc27063954"/>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.1 评价指标、时段、监测布点</w:t>
      </w:r>
      <w:bookmarkEnd w:id="64"/>
      <w:bookmarkEnd w:id="65"/>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 xml:space="preserve">.1.1 </w:t>
      </w:r>
      <w:r>
        <w:rPr>
          <w:rFonts w:hint="eastAsia"/>
          <w:color w:val="0D0D0D" w:themeColor="text1" w:themeTint="F2"/>
          <w:sz w:val="28"/>
          <w14:textFill>
            <w14:solidFill>
              <w14:schemeClr w14:val="tx1">
                <w14:lumMod w14:val="95000"/>
                <w14:lumOff w14:val="5000"/>
              </w14:schemeClr>
            </w14:solidFill>
          </w14:textFill>
        </w:rPr>
        <w:t>评价指标</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由</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曲靖市生态环境局富源分局委托云南蓝硕环境信息咨询有限公司对其水质开展1次监测，主要对</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）表1的24项指标包括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水温、pH、</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溶解氧、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高锰酸盐指数、化学需氧量（COD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cr</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）、氨氮、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总氮</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铜</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氟化物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、硒、</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汞</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六价铬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氰化物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、挥发酚、石油类、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阴离子表面活性剂（</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LAS</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）、硫化物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、粪大肠菌群</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，表2的5项指标包括</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硫酸盐、氯化物、硝酸盐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氮</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、铁、锰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，及气温、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气压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、电导率、叶绿素</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和透明度5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项指标，共3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项指标进行监测。</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墨红镇吉克水库水质目标按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水质标准。本区划根据常规监测评价结果，结合流域现状主要污染源，对所有已开展的监测因子进行水质类别评价，选取pH、溶解氧、高锰酸盐指数、化学需氧量（COD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）、氨氮、总磷、总氮、铜、锌、氟化物、硒、砷、汞、镉、六价铬、铅、氰化物、挥发酚、石油类、阴离子表面活性剂（LAS）、硫化物等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项指标采用单因子指数法进行水质评价。</w:t>
      </w:r>
    </w:p>
    <w:p>
      <w:pPr>
        <w:spacing w:line="480" w:lineRule="exact"/>
        <w:jc w:val="cente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6</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主要指标</w:t>
      </w:r>
      <w:r>
        <w:rPr>
          <w:rFonts w:ascii="Times New Roman" w:hAnsi="Times New Roman" w:eastAsia="仿宋" w:cs="Times New Roman"/>
          <w:b/>
          <w:color w:val="0D0D0D" w:themeColor="text1" w:themeTint="F2"/>
          <w:sz w:val="28"/>
          <w:szCs w:val="24"/>
          <w14:textFill>
            <w14:solidFill>
              <w14:schemeClr w14:val="tx1">
                <w14:lumMod w14:val="95000"/>
                <w14:lumOff w14:val="5000"/>
              </w14:schemeClr>
            </w14:solidFill>
          </w14:textFill>
        </w:rPr>
        <w:t>地表水环境质量标准限值</w:t>
      </w:r>
    </w:p>
    <w:p>
      <w:pPr>
        <w:spacing w:line="480" w:lineRule="exact"/>
        <w:jc w:val="right"/>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单位：mg/L（除pH</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、粪大肠菌群</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78"/>
        <w:gridCol w:w="3194"/>
        <w:gridCol w:w="2374"/>
        <w:gridCol w:w="996"/>
        <w:gridCol w:w="876"/>
        <w:gridCol w:w="816"/>
        <w:gridCol w:w="8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blHeader/>
          <w:jc w:val="center"/>
        </w:trPr>
        <w:tc>
          <w:tcPr>
            <w:tcW w:w="5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ind w:right="-130" w:rightChars="-62"/>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序号</w:t>
            </w:r>
          </w:p>
        </w:tc>
        <w:tc>
          <w:tcPr>
            <w:tcW w:w="319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参数</w:t>
            </w:r>
          </w:p>
        </w:tc>
        <w:tc>
          <w:tcPr>
            <w:tcW w:w="237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w:t>
            </w:r>
          </w:p>
        </w:tc>
        <w:tc>
          <w:tcPr>
            <w:tcW w:w="99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2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II</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3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III</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1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4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IV</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c>
          <w:tcPr>
            <w:tcW w:w="81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300" w:lineRule="exact"/>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5 \* ROMAN</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t>V</w:t>
            </w:r>
            <w:r>
              <w:rPr>
                <w:rFonts w:ascii="Times New Roman" w:hAnsi="Times New Roman" w:eastAsia="宋体" w:cs="宋体"/>
                <w:b/>
                <w:color w:val="0D0D0D" w:themeColor="text1" w:themeTint="F2"/>
                <w:sz w:val="24"/>
                <w:szCs w:val="24"/>
                <w14:textFill>
                  <w14:solidFill>
                    <w14:schemeClr w14:val="tx1">
                      <w14:lumMod w14:val="95000"/>
                      <w14:lumOff w14:val="5000"/>
                    </w14:schemeClr>
                  </w14:solidFill>
                </w14:textFill>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pH值(无量纲)</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溶解氧≥</w:t>
            </w:r>
          </w:p>
        </w:tc>
        <w:tc>
          <w:tcPr>
            <w:tcW w:w="23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饱和率90%（或7.5）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高锰酸盐指数≤</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化学需氧量（COD）≤</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五日生化需氧量（BOD</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5</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氨氮（NH</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3</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-N ）≤</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总磷（以P计）≤</w:t>
            </w:r>
          </w:p>
        </w:tc>
        <w:tc>
          <w:tcPr>
            <w:tcW w:w="237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0.025</w:t>
            </w:r>
          </w:p>
        </w:tc>
        <w:tc>
          <w:tcPr>
            <w:tcW w:w="87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16"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8</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总氮（湖、库，以N计）≤</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9</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铜</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锌</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11</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氟化物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12</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硒</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13</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砷</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汞</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镉</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六价铬</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17</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铅</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18</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氰化物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19</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挥发酚</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0.002</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0.01</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石油类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21</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阴离子表面活性剂</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22</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硫化物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0.05</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0.2</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0.5</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23</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粪大肠菌群（个</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/L</w:t>
            </w:r>
            <w:r>
              <w:rPr>
                <w:rFonts w:hint="eastAsia" w:ascii="仿宋" w:hAnsi="仿宋" w:eastAsia="仿宋"/>
                <w:color w:val="0D0D0D" w:themeColor="text1" w:themeTint="F2"/>
                <w:sz w:val="24"/>
                <w:szCs w:val="24"/>
                <w14:textFill>
                  <w14:solidFill>
                    <w14:schemeClr w14:val="tx1">
                      <w14:lumMod w14:val="95000"/>
                      <w14:lumOff w14:val="5000"/>
                    </w14:schemeClr>
                  </w14:solidFill>
                </w14:textFill>
              </w:rPr>
              <w:t>）</w:t>
            </w:r>
          </w:p>
        </w:tc>
        <w:tc>
          <w:tcPr>
            <w:tcW w:w="23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w:t>
            </w:r>
          </w:p>
        </w:tc>
        <w:tc>
          <w:tcPr>
            <w:tcW w:w="99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2000</w:t>
            </w:r>
          </w:p>
        </w:tc>
        <w:tc>
          <w:tcPr>
            <w:tcW w:w="8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10000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20000</w:t>
            </w:r>
          </w:p>
        </w:tc>
        <w:tc>
          <w:tcPr>
            <w:tcW w:w="81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24</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硫酸盐（以SO</w:t>
            </w:r>
            <w:r>
              <w:rPr>
                <w:rFonts w:hint="eastAsia"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4</w:t>
            </w:r>
            <w:r>
              <w:rPr>
                <w:rFonts w:hint="eastAsia"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计）</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饮用水</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氯化物（以Cl</w:t>
            </w:r>
            <w:r>
              <w:rPr>
                <w:rFonts w:hint="eastAsia"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计）</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饮用水</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26</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硝酸盐（以N计）</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27</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铁</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28</w:t>
            </w:r>
          </w:p>
        </w:tc>
        <w:tc>
          <w:tcPr>
            <w:tcW w:w="319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 w:hAnsi="仿宋"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锰</w:t>
            </w:r>
          </w:p>
        </w:tc>
        <w:tc>
          <w:tcPr>
            <w:tcW w:w="5878" w:type="dxa"/>
            <w:gridSpan w:val="5"/>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集中式生活饮用水标准限值≤0.1</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.1.2 评价时段</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墨红镇吉克水库采用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次监测结果进行评价。</w:t>
      </w: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 xml:space="preserve">.1.3 </w:t>
      </w:r>
      <w:r>
        <w:rPr>
          <w:rFonts w:hint="eastAsia"/>
          <w:color w:val="0D0D0D" w:themeColor="text1" w:themeTint="F2"/>
          <w:sz w:val="28"/>
          <w14:textFill>
            <w14:solidFill>
              <w14:schemeClr w14:val="tx1">
                <w14:lumMod w14:val="95000"/>
                <w14:lumOff w14:val="5000"/>
              </w14:schemeClr>
            </w14:solidFill>
          </w14:textFill>
        </w:rPr>
        <w:t>监测</w:t>
      </w:r>
      <w:r>
        <w:rPr>
          <w:color w:val="0D0D0D" w:themeColor="text1" w:themeTint="F2"/>
          <w:sz w:val="28"/>
          <w14:textFill>
            <w14:solidFill>
              <w14:schemeClr w14:val="tx1">
                <w14:lumMod w14:val="95000"/>
                <w14:lumOff w14:val="5000"/>
              </w14:schemeClr>
            </w14:solidFill>
          </w14:textFill>
        </w:rPr>
        <w:t>点</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水源地现状水质监测点为墨红镇吉克水库。</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66" w:name="_Toc27509922"/>
      <w:bookmarkStart w:id="67" w:name="_Toc27063955"/>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.2 评价方法</w:t>
      </w:r>
      <w:bookmarkEnd w:id="66"/>
      <w:bookmarkEnd w:id="67"/>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本区划</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采用功能</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类别</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评价法</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和单因子指数法</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进行评价，并筛选出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墨红镇吉克水库</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的主要污染物。</w:t>
      </w:r>
    </w:p>
    <w:p>
      <w:pPr>
        <w:widowControl/>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）功能类别评价</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法</w:t>
      </w:r>
    </w:p>
    <w:p>
      <w:pPr>
        <w:widowControl/>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以水质监测结果，对照</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）中表1、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表2和表3，判断检测指标所达到水环境水质功能类别。</w:t>
      </w:r>
    </w:p>
    <w:p>
      <w:pPr>
        <w:widowControl/>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单因子指数法</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pH因子：S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min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max</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-7）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pHj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—监测点j的pH的标准指数；</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—监测断面j的pH实测值；</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min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、pH</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max</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—水质标准pH值的上下限值。</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因子：</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10</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9DO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 xml:space="preserve">                    </w:t>
      </w:r>
      <w:r>
        <w:rPr>
          <w:rFonts w:hint="eastAsia"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lang w:val="pt-BR"/>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lang w:val="pt-BR"/>
          <w14:textFill>
            <w14:solidFill>
              <w14:schemeClr w14:val="tx1">
                <w14:lumMod w14:val="95000"/>
                <w14:lumOff w14:val="5000"/>
              </w14:schemeClr>
            </w14:solidFill>
          </w14:textFill>
        </w:rPr>
        <w:t>s</w:t>
      </w:r>
      <w:r>
        <w:rPr>
          <w:rFonts w:hint="eastAsia"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lang w:val="pt-BR"/>
          <w14:textFill>
            <w14:solidFill>
              <w14:schemeClr w14:val="tx1">
                <w14:lumMod w14:val="95000"/>
                <w14:lumOff w14:val="5000"/>
              </w14:schemeClr>
            </w14:solidFill>
          </w14:textFill>
        </w:rPr>
        <w:t xml:space="preserve">         </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468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31.6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tabs>
          <w:tab w:val="left" w:pos="5992"/>
        </w:tabs>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S</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DOj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w:t>
      </w:r>
      <w:r>
        <w:rPr>
          <w:rFonts w:hint="eastAsia" w:ascii="Times New Roman" w:hAnsi="Times New Roman" w:eastAsia="仿宋"/>
          <w:i/>
          <w:iCs/>
          <w:color w:val="0D0D0D" w:themeColor="text1" w:themeTint="F2"/>
          <w:sz w:val="28"/>
          <w:szCs w:val="28"/>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的标准指数；</w:t>
      </w:r>
    </w:p>
    <w:p>
      <w:pPr>
        <w:tabs>
          <w:tab w:val="left" w:pos="748"/>
        </w:tabs>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—监测断面</w:t>
      </w:r>
      <w:r>
        <w:rPr>
          <w:rFonts w:hint="eastAsia" w:ascii="Times New Roman" w:hAnsi="Times New Roman" w:eastAsia="仿宋"/>
          <w:i/>
          <w:iCs/>
          <w:color w:val="0D0D0D" w:themeColor="text1" w:themeTint="F2"/>
          <w:sz w:val="28"/>
          <w:szCs w:val="28"/>
          <w14:textFill>
            <w14:solidFill>
              <w14:schemeClr w14:val="tx1">
                <w14:lumMod w14:val="95000"/>
                <w14:lumOff w14:val="5000"/>
              </w14:schemeClr>
            </w14:solidFill>
          </w14:textFill>
        </w:rPr>
        <w:t>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DO</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实测值；</w:t>
      </w:r>
    </w:p>
    <w:p>
      <w:pPr>
        <w:tabs>
          <w:tab w:val="left" w:pos="724"/>
          <w:tab w:val="left" w:pos="5992"/>
        </w:tabs>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f</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—监测水温条件下饱和溶解氧浓度；</w:t>
      </w:r>
    </w:p>
    <w:p>
      <w:pPr>
        <w:adjustRightInd w:val="0"/>
        <w:snapToGrid w:val="0"/>
        <w:spacing w:line="360" w:lineRule="auto"/>
        <w:ind w:firstLine="980" w:firstLineChars="35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i/>
          <w:iCs/>
          <w:color w:val="0D0D0D" w:themeColor="text1" w:themeTint="F2"/>
          <w:sz w:val="28"/>
          <w:szCs w:val="28"/>
          <w14:textFill>
            <w14:solidFill>
              <w14:schemeClr w14:val="tx1">
                <w14:lumMod w14:val="95000"/>
                <w14:lumOff w14:val="5000"/>
              </w14:schemeClr>
            </w14:solidFill>
          </w14:textFill>
        </w:rPr>
        <w:t xml:space="preserve">  DO</w:t>
      </w:r>
      <w:r>
        <w:rPr>
          <w:rFonts w:ascii="Times New Roman" w:hAnsi="Times New Roman" w:eastAsia="仿宋"/>
          <w:i/>
          <w:iCs/>
          <w:color w:val="0D0D0D" w:themeColor="text1" w:themeTint="F2"/>
          <w:sz w:val="28"/>
          <w:szCs w:val="28"/>
          <w:vertAlign w:val="subscript"/>
          <w14:textFill>
            <w14:solidFill>
              <w14:schemeClr w14:val="tx1">
                <w14:lumMod w14:val="95000"/>
                <w14:lumOff w14:val="5000"/>
              </w14:schemeClr>
            </w14:solidFill>
          </w14:textFill>
        </w:rPr>
        <w:t>s</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—地表水溶解氧浓度质量标准。</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其它因子：S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ni</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式中：S</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—污染因子i在监测断面j的标准指数；</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—污染因子i在监测点j的平均浓度；</w:t>
      </w:r>
    </w:p>
    <w:p>
      <w:pPr>
        <w:adjustRightInd w:val="0"/>
        <w:snapToGrid w:val="0"/>
        <w:spacing w:line="360" w:lineRule="auto"/>
        <w:ind w:firstLine="1120" w:firstLineChars="4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ni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—污染因子i在水质标准中的限值。</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当某污染因子的标准指数大于1时，表明水体中该污染因子浓度已超过标准限值。标准指数越大，超过标准的程度越高，污染越严重。</w:t>
      </w:r>
    </w:p>
    <w:p>
      <w:pPr>
        <w:widowControl/>
        <w:adjustRightInd w:val="0"/>
        <w:snapToGrid w:val="0"/>
        <w:spacing w:line="360" w:lineRule="auto"/>
        <w:ind w:firstLine="42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营养状态评价</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本区划通过总氮（TN）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5项指标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综合营养状态指数，对水源地水库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富营养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状态进行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1）综合营养状态指数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综合营养状态指数采用卡尔森指数方法，计算公式如下：</w:t>
      </w:r>
    </w:p>
    <w:p>
      <w:pPr>
        <w:adjustRightInd w:val="0"/>
        <w:snapToGrid w:val="0"/>
        <w:spacing w:line="360" w:lineRule="auto"/>
        <w:ind w:firstLine="560" w:firstLineChars="200"/>
        <w:jc w:val="cente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object>
          <v:shape id="_x0000_i1025" o:spt="75" type="#_x0000_t75" style="height:35.25pt;width:96pt;" o:ole="t" fillcolor="#FFFFFF"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式中：TLI（∑）—综合营养状态指数；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Wj—第j种参数的营养状态指数的相关权重；</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TLI（j）—代表第j种参数的营养状态指数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，包括总氮（TN）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参数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hla作为基准参数，则第j种参数的归一化的相关权重计算公式为：</w:t>
      </w:r>
    </w:p>
    <w:p>
      <w:pPr>
        <w:adjustRightInd w:val="0"/>
        <w:snapToGrid w:val="0"/>
        <w:spacing w:line="360" w:lineRule="auto"/>
        <w:ind w:firstLine="560" w:firstLineChars="200"/>
        <w:jc w:val="cente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object>
          <v:shape id="_x0000_i1026" o:spt="75" type="#_x0000_t75" style="height:51pt;width:58.5pt;" o:ole="t" fillcolor="#FFFFFF" filled="f" o:preferrelative="t" stroked="f" coordsize="21600,21600">
            <v:path/>
            <v:fill on="f" focussize="0,0"/>
            <v:stroke on="f" joinstyle="miter"/>
            <v:imagedata r:id="rId15" o:title=""/>
            <o:lock v:ext="edit" aspectratio="t"/>
            <w10:wrap type="none"/>
            <w10:anchorlock/>
          </v:shape>
          <o:OLEObject Type="Embed" ProgID="Equation.3" ShapeID="_x0000_i1026" DrawAspect="Content" ObjectID="_1468075726" r:id="rId14">
            <o:LockedField>false</o:LockedField>
          </o:OLEObject>
        </w:objec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—第j种参数与基准参数Chla的相关系数；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m—评价参数的个数。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中国湖泊（水库）Chla与其它参数之间的相关关系r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及r</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表2.6-2  中国湖泊（水库）部分参数与Chla的相关关系r</w:t>
      </w:r>
      <w:r>
        <w:rPr>
          <w:rFonts w:ascii="Times New Roman" w:hAnsi="Times New Roman" w:eastAsia="仿宋" w:cs="Times New Roman"/>
          <w:b/>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及r</w:t>
      </w:r>
      <w:r>
        <w:rPr>
          <w:rFonts w:ascii="Times New Roman" w:hAnsi="Times New Roman" w:eastAsia="仿宋" w:cs="Times New Roman"/>
          <w:b/>
          <w:color w:val="0D0D0D" w:themeColor="text1" w:themeTint="F2"/>
          <w:sz w:val="28"/>
          <w:szCs w:val="28"/>
          <w:vertAlign w:val="subscript"/>
          <w14:textFill>
            <w14:solidFill>
              <w14:schemeClr w14:val="tx1">
                <w14:lumMod w14:val="95000"/>
                <w14:lumOff w14:val="5000"/>
              </w14:schemeClr>
            </w14:solidFill>
          </w14:textFill>
        </w:rPr>
        <w:t>ij</w:t>
      </w:r>
      <w:r>
        <w:rPr>
          <w:rFonts w:ascii="Times New Roman" w:hAnsi="Times New Roman" w:eastAsia="仿宋" w:cs="Times New Roman"/>
          <w:b/>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值</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1609"/>
        <w:gridCol w:w="1608"/>
        <w:gridCol w:w="1608"/>
        <w:gridCol w:w="1608"/>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9"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参数</w:t>
            </w:r>
          </w:p>
        </w:tc>
        <w:tc>
          <w:tcPr>
            <w:tcW w:w="1609"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Chla</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TP</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TN</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SD</w:t>
            </w:r>
          </w:p>
        </w:tc>
        <w:tc>
          <w:tcPr>
            <w:tcW w:w="1608" w:type="dxa"/>
            <w:shd w:val="clear" w:color="auto" w:fill="D8D8D8" w:themeFill="background1" w:themeFillShade="D9"/>
            <w:vAlign w:val="center"/>
          </w:tcPr>
          <w:p>
            <w:pPr>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COD</w:t>
            </w:r>
            <w:r>
              <w:rPr>
                <w:rFonts w:ascii="Times New Roman" w:hAnsi="Times New Roman" w:eastAsia="仿宋"/>
                <w:b/>
                <w:color w:val="0D0D0D" w:themeColor="text1" w:themeTint="F2"/>
                <w:sz w:val="24"/>
                <w:szCs w:val="24"/>
                <w:vertAlign w:val="subscript"/>
                <w14:textFill>
                  <w14:solidFill>
                    <w14:schemeClr w14:val="tx1">
                      <w14:lumMod w14:val="95000"/>
                      <w14:lumOff w14:val="5000"/>
                    </w14:schemeClr>
                  </w14:solidFill>
                </w14:textFill>
              </w:rPr>
              <w:t>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ij</w:t>
            </w:r>
          </w:p>
        </w:tc>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0.84</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0.82</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-0.83</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ij</w:t>
            </w:r>
            <w:r>
              <w:rPr>
                <w:rFonts w:ascii="Times New Roman" w:hAnsi="Times New Roman" w:eastAsia="仿宋"/>
                <w:color w:val="0D0D0D" w:themeColor="text1" w:themeTint="F2"/>
                <w:sz w:val="24"/>
                <w:szCs w:val="24"/>
                <w:vertAlign w:val="superscript"/>
                <w14:textFill>
                  <w14:solidFill>
                    <w14:schemeClr w14:val="tx1">
                      <w14:lumMod w14:val="95000"/>
                      <w14:lumOff w14:val="5000"/>
                    </w14:schemeClr>
                  </w14:solidFill>
                </w14:textFill>
              </w:rPr>
              <w:t>2</w:t>
            </w:r>
          </w:p>
        </w:tc>
        <w:tc>
          <w:tcPr>
            <w:tcW w:w="1609"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0.7056</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0.6724</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0.6889</w:t>
            </w:r>
          </w:p>
        </w:tc>
        <w:tc>
          <w:tcPr>
            <w:tcW w:w="160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0.6889</w:t>
            </w:r>
          </w:p>
        </w:tc>
      </w:tr>
    </w:tbl>
    <w:p>
      <w:pPr>
        <w:widowControl/>
        <w:adjustRightInd w:val="0"/>
        <w:snapToGrid w:val="0"/>
        <w:spacing w:before="156" w:beforeLines="50"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2）单个项目营养状态指数</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总氮（TN）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总磷（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TP</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透明度</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（SD）</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叶绿素a（Chla）、</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酸盐指数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参数单项营养状态指数计算公式如下：</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hla）=10（2.5+1.086lnChla）</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TLI（TP）=10（9.436+1.624lnTP）</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TLI（TN）=10（5.453+1.694lnTN）</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TLI（SD）=10（5.118-1.94lnSD）</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TLI（COD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）=10（0.109+2.661lnCOD</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Mn</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式中：Chla单位为mg/m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，SD单位为m；其它项目单位均为mg/L。</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3）湖泊水库营养状态分级</w:t>
      </w:r>
    </w:p>
    <w:p>
      <w:pPr>
        <w:widowControl/>
        <w:adjustRightInd w:val="0"/>
        <w:snapToGrid w:val="0"/>
        <w:spacing w:line="360" w:lineRule="auto"/>
        <w:ind w:firstLine="42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100的一系列连续数字对湖泊营养状态进行分级，包括：贫营养、中营养、富营养、轻度富营养、中度富营养和重度富营养，与污染程度关系如表2.6-3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表2.6-3   水质类别与评分值对应表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289"/>
        <w:gridCol w:w="3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营养状态分级</w:t>
            </w:r>
          </w:p>
        </w:tc>
        <w:tc>
          <w:tcPr>
            <w:tcW w:w="3289"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评分值TLI（∑）</w:t>
            </w:r>
          </w:p>
        </w:tc>
        <w:tc>
          <w:tcPr>
            <w:tcW w:w="3071" w:type="dxa"/>
            <w:shd w:val="clear" w:color="auto" w:fill="D8D8D8" w:themeFill="background1" w:themeFillShade="D9"/>
            <w:vAlign w:val="center"/>
          </w:tcPr>
          <w:p>
            <w:pPr>
              <w:spacing w:line="380" w:lineRule="exact"/>
              <w:ind w:firstLine="482"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定性评价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贫营养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0＜TLI（∑）≤30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30＜TLI（∑）≤50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轻度富营养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50＜TLI（∑）≤60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轻度污染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widowControl/>
              <w:spacing w:line="360" w:lineRule="exact"/>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中度富营养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60＜TLI（∑）≤70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中度污染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3290" w:type="dxa"/>
            <w:vAlign w:val="center"/>
          </w:tcPr>
          <w:p>
            <w:pPr>
              <w:spacing w:line="380" w:lineRule="exact"/>
              <w:ind w:firstLine="480" w:firstLineChars="20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重度富营养</w:t>
            </w:r>
          </w:p>
        </w:tc>
        <w:tc>
          <w:tcPr>
            <w:tcW w:w="3289"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70＜TLI（∑）≤100</w:t>
            </w:r>
          </w:p>
        </w:tc>
        <w:tc>
          <w:tcPr>
            <w:tcW w:w="3071" w:type="dxa"/>
            <w:vAlign w:val="center"/>
          </w:tcPr>
          <w:p>
            <w:pPr>
              <w:spacing w:line="380" w:lineRule="exact"/>
              <w:ind w:firstLine="480" w:firstLineChars="20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重度污染</w:t>
            </w:r>
          </w:p>
        </w:tc>
      </w:tr>
    </w:tbl>
    <w:p>
      <w:pPr>
        <w:widowControl/>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t>主要污染</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因子筛选</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点水质超过</w: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instrText xml:space="preserve"> = 3 \* ROMAN </w:instrTex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Times New Roman"/>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类标准的项目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全部作为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主要污染项目（pH、溶解氧不参与计算）。</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对单因子评价结果进行排序，对于</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标准指数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位于前3位的污染因子，或标准指数大于0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的污染因子，均列为主要污染项目；对标准指数大于0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，小于0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的污染因子列为潜在污染项目。</w:t>
      </w:r>
    </w:p>
    <w:p>
      <w:pPr>
        <w:pStyle w:val="4"/>
        <w:spacing w:before="0" w:after="0" w:line="415" w:lineRule="auto"/>
        <w:rPr>
          <w:color w:val="0D0D0D" w:themeColor="text1" w:themeTint="F2"/>
          <w:sz w:val="28"/>
          <w:szCs w:val="28"/>
          <w14:textFill>
            <w14:solidFill>
              <w14:schemeClr w14:val="tx1">
                <w14:lumMod w14:val="95000"/>
                <w14:lumOff w14:val="5000"/>
              </w14:schemeClr>
            </w14:solidFill>
          </w14:textFill>
        </w:rPr>
      </w:pPr>
      <w:bookmarkStart w:id="68" w:name="_Toc27509923"/>
      <w:bookmarkStart w:id="69" w:name="_Toc27063956"/>
      <w:r>
        <w:rPr>
          <w:color w:val="0D0D0D" w:themeColor="text1" w:themeTint="F2"/>
          <w:sz w:val="28"/>
          <w:szCs w:val="28"/>
          <w14:textFill>
            <w14:solidFill>
              <w14:schemeClr w14:val="tx1">
                <w14:lumMod w14:val="95000"/>
                <w14:lumOff w14:val="5000"/>
              </w14:schemeClr>
            </w14:solidFill>
          </w14:textFill>
        </w:rPr>
        <w:t>2.</w:t>
      </w:r>
      <w:r>
        <w:rPr>
          <w:rFonts w:hint="eastAsia"/>
          <w:color w:val="0D0D0D" w:themeColor="text1" w:themeTint="F2"/>
          <w:sz w:val="28"/>
          <w:szCs w:val="28"/>
          <w14:textFill>
            <w14:solidFill>
              <w14:schemeClr w14:val="tx1">
                <w14:lumMod w14:val="95000"/>
                <w14:lumOff w14:val="5000"/>
              </w14:schemeClr>
            </w14:solidFill>
          </w14:textFill>
        </w:rPr>
        <w:t>6</w:t>
      </w:r>
      <w:r>
        <w:rPr>
          <w:color w:val="0D0D0D" w:themeColor="text1" w:themeTint="F2"/>
          <w:sz w:val="28"/>
          <w:szCs w:val="28"/>
          <w14:textFill>
            <w14:solidFill>
              <w14:schemeClr w14:val="tx1">
                <w14:lumMod w14:val="95000"/>
                <w14:lumOff w14:val="5000"/>
              </w14:schemeClr>
            </w14:solidFill>
          </w14:textFill>
        </w:rPr>
        <w:t>.</w:t>
      </w:r>
      <w:r>
        <w:rPr>
          <w:rFonts w:hint="eastAsia"/>
          <w:color w:val="0D0D0D" w:themeColor="text1" w:themeTint="F2"/>
          <w:sz w:val="28"/>
          <w:szCs w:val="28"/>
          <w14:textFill>
            <w14:solidFill>
              <w14:schemeClr w14:val="tx1">
                <w14:lumMod w14:val="95000"/>
                <w14:lumOff w14:val="5000"/>
              </w14:schemeClr>
            </w14:solidFill>
          </w14:textFill>
        </w:rPr>
        <w:t>3</w:t>
      </w:r>
      <w:r>
        <w:rPr>
          <w:color w:val="0D0D0D" w:themeColor="text1" w:themeTint="F2"/>
          <w:sz w:val="28"/>
          <w:szCs w:val="28"/>
          <w14:textFill>
            <w14:solidFill>
              <w14:schemeClr w14:val="tx1">
                <w14:lumMod w14:val="95000"/>
                <w14:lumOff w14:val="5000"/>
              </w14:schemeClr>
            </w14:solidFill>
          </w14:textFill>
        </w:rPr>
        <w:t xml:space="preserve"> </w:t>
      </w:r>
      <w:r>
        <w:rPr>
          <w:rFonts w:hint="eastAsia"/>
          <w:color w:val="0D0D0D" w:themeColor="text1" w:themeTint="F2"/>
          <w:sz w:val="28"/>
          <w:szCs w:val="28"/>
          <w14:textFill>
            <w14:solidFill>
              <w14:schemeClr w14:val="tx1">
                <w14:lumMod w14:val="95000"/>
                <w14:lumOff w14:val="5000"/>
              </w14:schemeClr>
            </w14:solidFill>
          </w14:textFill>
        </w:rPr>
        <w:t>水质</w:t>
      </w:r>
      <w:r>
        <w:rPr>
          <w:color w:val="0D0D0D" w:themeColor="text1" w:themeTint="F2"/>
          <w:sz w:val="28"/>
          <w:szCs w:val="28"/>
          <w14:textFill>
            <w14:solidFill>
              <w14:schemeClr w14:val="tx1">
                <w14:lumMod w14:val="95000"/>
                <w14:lumOff w14:val="5000"/>
              </w14:schemeClr>
            </w14:solidFill>
          </w14:textFill>
        </w:rPr>
        <w:t>评价结果</w:t>
      </w:r>
      <w:bookmarkEnd w:id="68"/>
      <w:bookmarkEnd w:id="69"/>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.1 水质</w:t>
      </w:r>
      <w:r>
        <w:rPr>
          <w:rFonts w:hint="eastAsia"/>
          <w:color w:val="0D0D0D" w:themeColor="text1" w:themeTint="F2"/>
          <w:sz w:val="28"/>
          <w14:textFill>
            <w14:solidFill>
              <w14:schemeClr w14:val="tx1">
                <w14:lumMod w14:val="95000"/>
                <w14:lumOff w14:val="5000"/>
              </w14:schemeClr>
            </w14:solidFill>
          </w14:textFill>
        </w:rPr>
        <w:t>功能类别</w:t>
      </w:r>
      <w:r>
        <w:rPr>
          <w:color w:val="0D0D0D" w:themeColor="text1" w:themeTint="F2"/>
          <w:sz w:val="28"/>
          <w14:textFill>
            <w14:solidFill>
              <w14:schemeClr w14:val="tx1">
                <w14:lumMod w14:val="95000"/>
                <w14:lumOff w14:val="5000"/>
              </w14:schemeClr>
            </w14:solidFill>
          </w14:textFill>
        </w:rPr>
        <w:t>现状</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基本项目评价</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结果</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墨红镇吉克水库2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次监测结果统计如下。对照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）表1中的标准限值，墨红镇吉克水库除总氮外，其他监测项目均能满足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水质标准限值</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要求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（水温和pH值不参与水质功能类别评价）。</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-4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吉克水库2019年常规监测基本项目</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水质所达功能评价表</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4597"/>
        <w:gridCol w:w="1968"/>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136" w:type="dxa"/>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4597" w:type="dxa"/>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3917" w:type="dxa"/>
            <w:gridSpan w:val="2"/>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019</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136" w:type="dxa"/>
            <w:vMerge w:val="continue"/>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4597" w:type="dxa"/>
            <w:vMerge w:val="continue"/>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196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监测值（mg/L）</w:t>
            </w:r>
          </w:p>
        </w:tc>
        <w:tc>
          <w:tcPr>
            <w:tcW w:w="1949"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水温（</w:t>
            </w:r>
            <w:r>
              <w:rPr>
                <w:rFonts w:hint="eastAsia" w:ascii="宋体" w:hAnsi="宋体" w:eastAsia="宋体" w:cs="宋体"/>
                <w:color w:val="0D0D0D" w:themeColor="text1" w:themeTint="F2"/>
                <w:kern w:val="0"/>
                <w:sz w:val="24"/>
                <w:szCs w:val="24"/>
                <w:lang w:bidi="ar"/>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w:t>
            </w:r>
          </w:p>
        </w:tc>
        <w:tc>
          <w:tcPr>
            <w:tcW w:w="1968"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15</w:t>
            </w:r>
          </w:p>
        </w:tc>
        <w:tc>
          <w:tcPr>
            <w:tcW w:w="1949" w:type="dxa"/>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值（无量纲）</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8.23</w:t>
            </w:r>
          </w:p>
        </w:tc>
        <w:tc>
          <w:tcPr>
            <w:tcW w:w="1949" w:type="dxa"/>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s="Times New Roman"/>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溶解氧</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6.5</w:t>
            </w:r>
          </w:p>
        </w:tc>
        <w:tc>
          <w:tcPr>
            <w:tcW w:w="1949"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高锰酸盐指数</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1.5</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COD</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cr</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4</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BOD</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5</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0.8</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氨氮</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0.17</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总磷</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0.019</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总氮</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1.82</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铜</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锌</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0.05L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氟化物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0.09</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硒</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砷</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0.0003L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汞</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镉</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六价铬</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铅</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氰化物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0.004L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挥发酚</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0.0007</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石油类</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阴离子表面活性剂</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0.06</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23</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硫化物</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0.005L</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136"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w:t>
            </w:r>
          </w:p>
        </w:tc>
        <w:tc>
          <w:tcPr>
            <w:tcW w:w="4597"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粪大肠菌群（个</w:t>
            </w: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/L</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w:t>
            </w:r>
          </w:p>
        </w:tc>
        <w:tc>
          <w:tcPr>
            <w:tcW w:w="1968" w:type="dxa"/>
            <w:tcBorders>
              <w:top w:val="nil"/>
              <w:left w:val="single" w:color="auto" w:sz="4" w:space="0"/>
              <w:bottom w:val="single" w:color="auto" w:sz="4" w:space="0"/>
              <w:right w:val="single" w:color="auto" w:sz="4" w:space="0"/>
            </w:tcBorders>
            <w:shd w:val="clear" w:color="auto" w:fill="auto"/>
            <w:noWrap/>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616</w:t>
            </w:r>
          </w:p>
        </w:tc>
        <w:tc>
          <w:tcPr>
            <w:tcW w:w="1949"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仿宋" w:hAnsi="仿宋"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仿宋" w:hAnsi="仿宋" w:eastAsia="仿宋"/>
                <w:color w:val="0D0D0D" w:themeColor="text1" w:themeTint="F2"/>
                <w:sz w:val="22"/>
                <w14:textFill>
                  <w14:solidFill>
                    <w14:schemeClr w14:val="tx1">
                      <w14:lumMod w14:val="95000"/>
                      <w14:lumOff w14:val="5000"/>
                    </w14:schemeClr>
                  </w14:solidFill>
                </w14:textFill>
              </w:rPr>
              <w:t>Ⅱ类</w:t>
            </w:r>
          </w:p>
        </w:tc>
      </w:tr>
    </w:tbl>
    <w:p>
      <w:pPr>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补充项目评价</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结果</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根据墨红镇吉克水库2019年1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监测结果，所有集中式饮用水地表水源地补充项目均满足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）表2集中式生活饮用水地表水源地标准限值要求。</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-5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吉克水库2019年常规监测补充项目达标</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评价表</w:t>
      </w:r>
    </w:p>
    <w:tbl>
      <w:tblPr>
        <w:tblStyle w:val="45"/>
        <w:tblW w:w="96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06"/>
        <w:gridCol w:w="2772"/>
        <w:gridCol w:w="1531"/>
        <w:gridCol w:w="2911"/>
        <w:gridCol w:w="153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906"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2772"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1531" w:type="dxa"/>
            <w:vMerge w:val="restart"/>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标准限值</w:t>
            </w:r>
          </w:p>
        </w:tc>
        <w:tc>
          <w:tcPr>
            <w:tcW w:w="4441" w:type="dxa"/>
            <w:gridSpan w:val="2"/>
            <w:tcBorders>
              <w:bottom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906"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2772"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1531" w:type="dxa"/>
            <w:vMerge w:val="continue"/>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2911" w:type="dxa"/>
            <w:tcBorders>
              <w:top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值（mg/L）</w:t>
            </w:r>
          </w:p>
        </w:tc>
        <w:tc>
          <w:tcPr>
            <w:tcW w:w="1530" w:type="dxa"/>
            <w:tcBorders>
              <w:top w:val="single" w:color="auto" w:sz="4" w:space="0"/>
            </w:tcBorders>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达标评价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2772"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硫酸盐</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250</w:t>
            </w:r>
          </w:p>
        </w:tc>
        <w:tc>
          <w:tcPr>
            <w:tcW w:w="2911"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8L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氯化物</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250</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10L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硝酸盐氮</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10</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铁</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0.3</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06"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2772"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锰</w:t>
            </w:r>
          </w:p>
        </w:tc>
        <w:tc>
          <w:tcPr>
            <w:tcW w:w="1531"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0.1</w:t>
            </w:r>
          </w:p>
        </w:tc>
        <w:tc>
          <w:tcPr>
            <w:tcW w:w="2911"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0.01L</w:t>
            </w:r>
          </w:p>
        </w:tc>
        <w:tc>
          <w:tcPr>
            <w:tcW w:w="1530"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14:textFill>
                  <w14:solidFill>
                    <w14:schemeClr w14:val="tx1">
                      <w14:lumMod w14:val="95000"/>
                      <w14:lumOff w14:val="5000"/>
                    </w14:schemeClr>
                  </w14:solidFill>
                </w14:textFill>
              </w:rPr>
              <w:t>达标</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.2 单因子指数评价</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根据墨红镇吉克水库常规监测水质功能类别评价结果，结合墨红镇吉克水库流域现状主要污染源，选取选取pH、溶解氧、高锰酸盐指数、化学需氧量（COD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C</w:t>
      </w:r>
      <w:r>
        <w:rPr>
          <w:rFonts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r</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）、五日生化需氧量（BOD</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）、氨氮、总磷、总氮、铜、锌、氟化物、硒、砷、汞、镉、六价铬、铅、氰化物、挥发酚、石油类、阴离子表面活性剂（LAS）、硫化物等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项指标进行单因子指数法水质评价。墨红镇吉克水库水质按</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中</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标准和集中式饮用水地表水源地补充项目标准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结果详见表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4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-6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吉</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克</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单因子指数法评价结果表</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4194"/>
        <w:gridCol w:w="3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644" w:type="dxa"/>
            <w:shd w:val="clear" w:color="auto" w:fill="BEBEBE" w:themeFill="background1" w:themeFillShade="BF"/>
            <w:noWrap/>
            <w:vAlign w:val="center"/>
          </w:tcPr>
          <w:p>
            <w:pPr>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序号</w:t>
            </w:r>
          </w:p>
        </w:tc>
        <w:tc>
          <w:tcPr>
            <w:tcW w:w="4194" w:type="dxa"/>
            <w:shd w:val="clear" w:color="auto" w:fill="BEBEBE" w:themeFill="background1" w:themeFillShade="BF"/>
            <w:noWrap/>
            <w:vAlign w:val="center"/>
          </w:tcPr>
          <w:p>
            <w:pPr>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监测因子</w:t>
            </w:r>
          </w:p>
        </w:tc>
        <w:tc>
          <w:tcPr>
            <w:tcW w:w="3812" w:type="dxa"/>
            <w:shd w:val="clear" w:color="auto" w:fill="BEBEBE" w:themeFill="background1" w:themeFillShade="BF"/>
            <w:vAlign w:val="center"/>
          </w:tcPr>
          <w:p>
            <w:pPr>
              <w:widowControl/>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019</w:t>
            </w: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年11月</w:t>
            </w:r>
          </w:p>
          <w:p>
            <w:pPr>
              <w:jc w:val="center"/>
              <w:textAlignment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单因子评价指数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pH</w:t>
            </w: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值（无量纲）</w:t>
            </w:r>
          </w:p>
        </w:tc>
        <w:tc>
          <w:tcPr>
            <w:tcW w:w="3812"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溶解氧</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高锰酸盐指数</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COD</w:t>
            </w:r>
            <w:r>
              <w:rPr>
                <w:rFonts w:hint="eastAsia"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C</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r</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lang w:bidi="ar"/>
                <w14:textFill>
                  <w14:solidFill>
                    <w14:schemeClr w14:val="tx1">
                      <w14:lumMod w14:val="95000"/>
                      <w14:lumOff w14:val="5000"/>
                    </w14:schemeClr>
                  </w14:solidFill>
                </w14:textFill>
              </w:rPr>
              <w:t>BOD</w:t>
            </w:r>
            <w:r>
              <w:rPr>
                <w:rFonts w:ascii="Times New Roman" w:hAnsi="Times New Roman" w:eastAsia="宋体" w:cs="Times New Roman"/>
                <w:color w:val="0D0D0D" w:themeColor="text1" w:themeTint="F2"/>
                <w:kern w:val="0"/>
                <w:sz w:val="24"/>
                <w:szCs w:val="24"/>
                <w:vertAlign w:val="subscript"/>
                <w:lang w:bidi="ar"/>
                <w14:textFill>
                  <w14:solidFill>
                    <w14:schemeClr w14:val="tx1">
                      <w14:lumMod w14:val="95000"/>
                      <w14:lumOff w14:val="5000"/>
                    </w14:schemeClr>
                  </w14:solidFill>
                </w14:textFill>
              </w:rPr>
              <w:t>5</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氨氮</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总磷</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总氮</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铜</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锌</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氟化物</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硒</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砷</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汞</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镉</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六价铬</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铅</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氰化物</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19</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挥发酚</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石油类</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阴离子表面活性剂</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644"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w:t>
            </w:r>
          </w:p>
        </w:tc>
        <w:tc>
          <w:tcPr>
            <w:tcW w:w="4194" w:type="dxa"/>
            <w:shd w:val="clear" w:color="auto" w:fill="auto"/>
            <w:noWrap/>
            <w:vAlign w:val="center"/>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lang w:bidi="ar"/>
                <w14:textFill>
                  <w14:solidFill>
                    <w14:schemeClr w14:val="tx1">
                      <w14:lumMod w14:val="95000"/>
                      <w14:lumOff w14:val="5000"/>
                    </w14:schemeClr>
                  </w14:solidFill>
                </w14:textFill>
              </w:rPr>
              <w:t>硫化物</w:t>
            </w:r>
          </w:p>
        </w:tc>
        <w:tc>
          <w:tcPr>
            <w:tcW w:w="3812" w:type="dxa"/>
            <w:tcBorders>
              <w:top w:val="nil"/>
              <w:left w:val="single" w:color="auto" w:sz="4" w:space="0"/>
              <w:bottom w:val="single" w:color="auto" w:sz="4" w:space="0"/>
              <w:right w:val="single" w:color="auto" w:sz="4" w:space="0"/>
            </w:tcBorders>
            <w:shd w:val="clear" w:color="auto" w:fill="auto"/>
            <w:vAlign w:val="bottom"/>
          </w:tcPr>
          <w:p>
            <w:pPr>
              <w:widowControl/>
              <w:jc w:val="center"/>
              <w:textAlignment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t>0.01</w:t>
            </w:r>
          </w:p>
        </w:tc>
      </w:tr>
    </w:tbl>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对照《地表水环境质量标准》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标准限值</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要求，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除总氮外，其他指标单因子评价指数均小于1，即达到</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水质标准。总氮的监测值为1.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82mg/L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单因子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评价指数为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82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大于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为主要污染物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因子。溶解氧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监测值为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mg/L，其单因子评价指数为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0.7</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，大于0.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，为潜在污染物因子。</w:t>
      </w:r>
    </w:p>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rFonts w:hint="eastAsia"/>
          <w:color w:val="0D0D0D" w:themeColor="text1" w:themeTint="F2"/>
          <w:sz w:val="28"/>
          <w14:textFill>
            <w14:solidFill>
              <w14:schemeClr w14:val="tx1">
                <w14:lumMod w14:val="95000"/>
                <w14:lumOff w14:val="5000"/>
              </w14:schemeClr>
            </w14:solidFill>
          </w14:textFill>
        </w:rPr>
        <w:t>2.6.3.3</w:t>
      </w:r>
      <w:r>
        <w:rPr>
          <w:color w:val="0D0D0D" w:themeColor="text1" w:themeTint="F2"/>
          <w:sz w:val="28"/>
          <w14:textFill>
            <w14:solidFill>
              <w14:schemeClr w14:val="tx1">
                <w14:lumMod w14:val="95000"/>
                <w14:lumOff w14:val="5000"/>
              </w14:schemeClr>
            </w14:solidFill>
          </w14:textFill>
        </w:rPr>
        <w:t>水库营养状态评价</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按照水库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营养状态评价模式，</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墨红镇吉克水库2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年11月的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评价分数均低于50，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37.49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，处于中营养状态，从营养状态评价水库水质良好。墨红镇吉克水库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营养状态评价情况见表2.6-7。</w:t>
      </w:r>
    </w:p>
    <w:p>
      <w:pPr>
        <w:spacing w:line="360" w:lineRule="auto"/>
        <w:jc w:val="center"/>
        <w:outlineLvl w:val="5"/>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表2.6-7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墨红镇吉克水库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营养状态评价汇总表</w:t>
      </w:r>
    </w:p>
    <w:tbl>
      <w:tblPr>
        <w:tblStyle w:val="45"/>
        <w:tblW w:w="910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336"/>
        <w:gridCol w:w="3385"/>
        <w:gridCol w:w="33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336" w:type="dxa"/>
            <w:vMerge w:val="restart"/>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评价参数</w:t>
            </w:r>
          </w:p>
        </w:tc>
        <w:tc>
          <w:tcPr>
            <w:tcW w:w="3385"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监测结果</w:t>
            </w:r>
          </w:p>
        </w:tc>
        <w:tc>
          <w:tcPr>
            <w:tcW w:w="3386"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营养状态指数（TLI</w:t>
            </w:r>
            <w:r>
              <w:rPr>
                <w:rFonts w:ascii="Times New Roman" w:hAnsi="Times New Roman" w:eastAsia="仿宋" w:cs="Times New Roman"/>
                <w:b/>
                <w:color w:val="0D0D0D" w:themeColor="text1" w:themeTint="F2"/>
                <w:sz w:val="24"/>
                <w:szCs w:val="24"/>
                <w:vertAlign w:val="subscript"/>
                <w14:textFill>
                  <w14:solidFill>
                    <w14:schemeClr w14:val="tx1">
                      <w14:lumMod w14:val="95000"/>
                      <w14:lumOff w14:val="5000"/>
                    </w14:schemeClr>
                  </w14:solidFill>
                </w14:textFill>
              </w:rPr>
              <w:t>j</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336" w:type="dxa"/>
            <w:vMerge w:val="continue"/>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p>
        </w:tc>
        <w:tc>
          <w:tcPr>
            <w:tcW w:w="3385"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c>
          <w:tcPr>
            <w:tcW w:w="3386" w:type="dxa"/>
            <w:shd w:val="clear" w:color="auto" w:fill="D8D8D8" w:themeFill="background1" w:themeFillShade="D9"/>
            <w:vAlign w:val="center"/>
          </w:tcPr>
          <w:p>
            <w:pPr>
              <w:snapToGrid w:val="0"/>
              <w:jc w:val="center"/>
              <w:outlineLvl w:val="5"/>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2019年11月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33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透明度(cm)</w:t>
            </w:r>
          </w:p>
        </w:tc>
        <w:tc>
          <w:tcPr>
            <w:tcW w:w="3385"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125</w:t>
            </w:r>
          </w:p>
        </w:tc>
        <w:tc>
          <w:tcPr>
            <w:tcW w:w="3386"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8.59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33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叶绿素a (mg/m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3385"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0.002L</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33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总氮(mg/L)</w:t>
            </w:r>
          </w:p>
        </w:tc>
        <w:tc>
          <w:tcPr>
            <w:tcW w:w="3385"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1.82</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11.58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33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总磷(mg/L)</w:t>
            </w:r>
          </w:p>
        </w:tc>
        <w:tc>
          <w:tcPr>
            <w:tcW w:w="3385"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0.019</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5.64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233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高锰酸盐指数(mg/L)</w:t>
            </w:r>
          </w:p>
        </w:tc>
        <w:tc>
          <w:tcPr>
            <w:tcW w:w="3385" w:type="dxa"/>
            <w:vAlign w:val="center"/>
          </w:tcPr>
          <w:p>
            <w:pPr>
              <w:widowControl/>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5721"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综合指数</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37.49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5721"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营养状态分级</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中营养化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5721" w:type="dxa"/>
            <w:gridSpan w:val="2"/>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定性评价</w:t>
            </w:r>
          </w:p>
        </w:tc>
        <w:tc>
          <w:tcPr>
            <w:tcW w:w="3386" w:type="dxa"/>
            <w:vAlign w:val="center"/>
          </w:tcPr>
          <w:p>
            <w:pPr>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良好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9107" w:type="dxa"/>
            <w:gridSpan w:val="3"/>
            <w:vAlign w:val="center"/>
          </w:tcPr>
          <w:p>
            <w:pPr>
              <w:snapToGrid w:val="0"/>
              <w:jc w:val="lef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*根据《水环境监测规范》（SL219-98），当测定结果低于分析方法的最低检出浓度时，按1/2最低检出浓度值参与统计处理。</w:t>
            </w:r>
          </w:p>
        </w:tc>
      </w:tr>
    </w:tbl>
    <w:p>
      <w:pPr>
        <w:pStyle w:val="5"/>
        <w:spacing w:line="377" w:lineRule="auto"/>
        <w:ind w:firstLine="281" w:firstLineChars="100"/>
        <w:rPr>
          <w:color w:val="0D0D0D" w:themeColor="text1" w:themeTint="F2"/>
          <w:sz w:val="28"/>
          <w14:textFill>
            <w14:solidFill>
              <w14:schemeClr w14:val="tx1">
                <w14:lumMod w14:val="95000"/>
                <w14:lumOff w14:val="5000"/>
              </w14:schemeClr>
            </w14:solidFill>
          </w14:textFill>
        </w:rPr>
      </w:pPr>
      <w:r>
        <w:rPr>
          <w:color w:val="0D0D0D" w:themeColor="text1" w:themeTint="F2"/>
          <w:sz w:val="28"/>
          <w14:textFill>
            <w14:solidFill>
              <w14:schemeClr w14:val="tx1">
                <w14:lumMod w14:val="95000"/>
                <w14:lumOff w14:val="5000"/>
              </w14:schemeClr>
            </w14:solidFill>
          </w14:textFill>
        </w:rPr>
        <w:t>2.</w:t>
      </w:r>
      <w:r>
        <w:rPr>
          <w:rFonts w:hint="eastAsia"/>
          <w:color w:val="0D0D0D" w:themeColor="text1" w:themeTint="F2"/>
          <w:sz w:val="28"/>
          <w14:textFill>
            <w14:solidFill>
              <w14:schemeClr w14:val="tx1">
                <w14:lumMod w14:val="95000"/>
                <w14:lumOff w14:val="5000"/>
              </w14:schemeClr>
            </w14:solidFill>
          </w14:textFill>
        </w:rPr>
        <w:t>6</w:t>
      </w:r>
      <w:r>
        <w:rPr>
          <w:color w:val="0D0D0D" w:themeColor="text1" w:themeTint="F2"/>
          <w:sz w:val="28"/>
          <w14:textFill>
            <w14:solidFill>
              <w14:schemeClr w14:val="tx1">
                <w14:lumMod w14:val="95000"/>
                <w14:lumOff w14:val="5000"/>
              </w14:schemeClr>
            </w14:solidFill>
          </w14:textFill>
        </w:rPr>
        <w:t>.</w:t>
      </w:r>
      <w:r>
        <w:rPr>
          <w:rFonts w:hint="eastAsia"/>
          <w:color w:val="0D0D0D" w:themeColor="text1" w:themeTint="F2"/>
          <w:sz w:val="28"/>
          <w14:textFill>
            <w14:solidFill>
              <w14:schemeClr w14:val="tx1">
                <w14:lumMod w14:val="95000"/>
                <w14:lumOff w14:val="5000"/>
              </w14:schemeClr>
            </w14:solidFill>
          </w14:textFill>
        </w:rPr>
        <w:t>3</w:t>
      </w:r>
      <w:r>
        <w:rPr>
          <w:color w:val="0D0D0D" w:themeColor="text1" w:themeTint="F2"/>
          <w:sz w:val="28"/>
          <w14:textFill>
            <w14:solidFill>
              <w14:schemeClr w14:val="tx1">
                <w14:lumMod w14:val="95000"/>
                <w14:lumOff w14:val="5000"/>
              </w14:schemeClr>
            </w14:solidFill>
          </w14:textFill>
        </w:rPr>
        <w:t>.4 主要污染物</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根据前述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评价</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墨红镇吉克水库各项监测指标均达到</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《地表水环境质量标准》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）中</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标准、集中式饮用水地表水源地补充项目标准限值要求。墨红镇吉克水库除总氮外，其他指标单因子评价指数均小于1，即达到III类水质标准。总氮的监测值为1.82mg/L，其单因子评价指数为1.82，大于0.8，为主要污染物因子。溶解氧的监测值为6.5mg/L，其单因子评价指数为0.7，大于0.6，为潜在污染物因子。指标分析如下。</w:t>
      </w:r>
    </w:p>
    <w:p>
      <w:pPr>
        <w:pStyle w:val="55"/>
        <w:widowControl/>
        <w:adjustRightInd w:val="0"/>
        <w:snapToGrid w:val="0"/>
        <w:spacing w:line="360" w:lineRule="auto"/>
        <w:ind w:firstLine="562"/>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（1）总氮</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根据墨红镇吉克水库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次水质监测结果，总氮监测值在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1.90mg/L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，超过</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23 \* ROMAN</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宋体" w:cs="宋体"/>
          <w:color w:val="0D0D0D" w:themeColor="text1" w:themeTint="F2"/>
          <w:sz w:val="28"/>
          <w:szCs w:val="28"/>
          <w14:textFill>
            <w14:solidFill>
              <w14:schemeClr w14:val="tx1">
                <w14:lumMod w14:val="95000"/>
                <w14:lumOff w14:val="5000"/>
              </w14:schemeClr>
            </w14:solidFill>
          </w14:textFill>
        </w:rPr>
        <w:fldChar w:fldCharType="end"/>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类水质标准0.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倍。总氮是墨红镇吉克水库的主要污染物。水环境中，总氮主要包括硝酸盐氮、亚硝酸盐氮、氨氮等，其中氨氮主要来源于生活污水、畜禽粪便和水土流失，硝酸盐氮主要来源于种植面源（化肥）和水土流失。</w:t>
      </w:r>
    </w:p>
    <w:p>
      <w:pPr>
        <w:pStyle w:val="55"/>
        <w:widowControl/>
        <w:adjustRightInd w:val="0"/>
        <w:snapToGrid w:val="0"/>
        <w:spacing w:line="360" w:lineRule="auto"/>
        <w:ind w:firstLine="200" w:firstLineChars="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（2）溶解氧</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溶解氧主要表征水体受污染程度。墨红镇吉克水库富营养化状态总体处于贫营养，水质总体优。2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019</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年11月</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溶解氧值为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6.5mg/L</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，满足</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begin"/>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3 \* ROMAN</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instrText xml:space="preserve"> </w:instrTex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separate"/>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III</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fldChar w:fldCharType="end"/>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水质标准限值。溶解氧的单因子评价指数为0.7，大于0.6，为潜在污染物因子。</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综上分析，总氮为墨红镇吉克水库的主要污染物，溶解氧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为潜在污染物。</w:t>
      </w:r>
    </w:p>
    <w:p>
      <w:pPr>
        <w:pStyle w:val="3"/>
        <w:rPr>
          <w:color w:val="0D0D0D" w:themeColor="text1" w:themeTint="F2"/>
          <w14:textFill>
            <w14:solidFill>
              <w14:schemeClr w14:val="tx1">
                <w14:lumMod w14:val="95000"/>
                <w14:lumOff w14:val="5000"/>
              </w14:schemeClr>
            </w14:solidFill>
          </w14:textFill>
        </w:rPr>
      </w:pPr>
      <w:bookmarkStart w:id="70" w:name="_Toc12456067"/>
      <w:bookmarkStart w:id="71" w:name="_Toc10729980"/>
      <w:bookmarkStart w:id="72" w:name="_Toc27509924"/>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7</w:t>
      </w:r>
      <w:r>
        <w:rPr>
          <w:color w:val="0D0D0D" w:themeColor="text1" w:themeTint="F2"/>
          <w14:textFill>
            <w14:solidFill>
              <w14:schemeClr w14:val="tx1">
                <w14:lumMod w14:val="95000"/>
                <w14:lumOff w14:val="5000"/>
              </w14:schemeClr>
            </w14:solidFill>
          </w14:textFill>
        </w:rPr>
        <w:t xml:space="preserve"> </w:t>
      </w:r>
      <w:r>
        <w:rPr>
          <w:rFonts w:hint="eastAsia"/>
          <w:color w:val="0D0D0D" w:themeColor="text1" w:themeTint="F2"/>
          <w14:textFill>
            <w14:solidFill>
              <w14:schemeClr w14:val="tx1">
                <w14:lumMod w14:val="95000"/>
                <w14:lumOff w14:val="5000"/>
              </w14:schemeClr>
            </w14:solidFill>
          </w14:textFill>
        </w:rPr>
        <w:t>饮用水</w:t>
      </w:r>
      <w:r>
        <w:rPr>
          <w:color w:val="0D0D0D" w:themeColor="text1" w:themeTint="F2"/>
          <w14:textFill>
            <w14:solidFill>
              <w14:schemeClr w14:val="tx1">
                <w14:lumMod w14:val="95000"/>
                <w14:lumOff w14:val="5000"/>
              </w14:schemeClr>
            </w14:solidFill>
          </w14:textFill>
        </w:rPr>
        <w:t>水源地</w:t>
      </w:r>
      <w:r>
        <w:rPr>
          <w:rFonts w:hint="eastAsia"/>
          <w:color w:val="0D0D0D" w:themeColor="text1" w:themeTint="F2"/>
          <w14:textFill>
            <w14:solidFill>
              <w14:schemeClr w14:val="tx1">
                <w14:lumMod w14:val="95000"/>
                <w14:lumOff w14:val="5000"/>
              </w14:schemeClr>
            </w14:solidFill>
          </w14:textFill>
        </w:rPr>
        <w:t>周边及上游污染源调查</w:t>
      </w:r>
      <w:bookmarkEnd w:id="70"/>
      <w:bookmarkEnd w:id="71"/>
      <w:bookmarkEnd w:id="7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73" w:name="_Hlk1792902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通过现场踏勘及资料收集，对吉克水库水源地周边及上游范围内的污染源进行调查，从点源、面源、流动源进行分析。</w:t>
      </w:r>
    </w:p>
    <w:bookmarkEnd w:id="73"/>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74" w:name="_Toc18506526"/>
      <w:bookmarkStart w:id="75" w:name="_Toc25679061"/>
      <w:bookmarkStart w:id="76" w:name="_Toc27509925"/>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.1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点源</w:t>
      </w:r>
      <w:bookmarkEnd w:id="74"/>
      <w:bookmarkEnd w:id="75"/>
      <w:bookmarkEnd w:id="76"/>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77" w:name="_Hlk1792905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调查分析可知，吉克水库水源地保护区范围内无城镇生活污水排放口、规模化畜禽养殖场（小区）等点源存在。目前，在一级保护区内仅存在一个采石场，采石场运营会造成水源区植被破坏及水土流失，以及机械设备运行过程中可能发生燃油泄漏，构成水源地污染风险。</w:t>
      </w:r>
    </w:p>
    <w:p>
      <w:pPr>
        <w:widowControl/>
        <w:jc w:val="center"/>
        <w:rPr>
          <w:rFonts w:ascii="宋体" w:hAnsi="宋体" w:eastAsia="宋体" w:cs="宋体"/>
          <w:color w:val="0D0D0D" w:themeColor="text1" w:themeTint="F2"/>
          <w:kern w:val="0"/>
          <w:sz w:val="24"/>
          <w:szCs w:val="24"/>
          <w14:textFill>
            <w14:solidFill>
              <w14:schemeClr w14:val="tx1">
                <w14:lumMod w14:val="95000"/>
                <w14:lumOff w14:val="5000"/>
              </w14:schemeClr>
            </w14:solidFill>
          </w14:textFill>
        </w:rPr>
      </w:pPr>
      <w:r>
        <w:rPr>
          <w:rFonts w:ascii="宋体" w:hAnsi="宋体" w:eastAsia="宋体" w:cs="宋体"/>
          <w:color w:val="0D0D0D" w:themeColor="text1" w:themeTint="F2"/>
          <w:kern w:val="0"/>
          <w:sz w:val="24"/>
          <w:szCs w:val="24"/>
          <w14:textFill>
            <w14:solidFill>
              <w14:schemeClr w14:val="tx1">
                <w14:lumMod w14:val="95000"/>
                <w14:lumOff w14:val="5000"/>
              </w14:schemeClr>
            </w14:solidFill>
          </w14:textFill>
        </w:rPr>
        <mc:AlternateContent>
          <mc:Choice Requires="wps">
            <w:drawing>
              <wp:anchor distT="0" distB="0" distL="114300" distR="114300" simplePos="0" relativeHeight="251659264" behindDoc="0" locked="0" layoutInCell="1" allowOverlap="1">
                <wp:simplePos x="0" y="0"/>
                <wp:positionH relativeFrom="column">
                  <wp:posOffset>669925</wp:posOffset>
                </wp:positionH>
                <wp:positionV relativeFrom="paragraph">
                  <wp:posOffset>2573020</wp:posOffset>
                </wp:positionV>
                <wp:extent cx="775970" cy="393065"/>
                <wp:effectExtent l="0" t="285750" r="328930" b="26035"/>
                <wp:wrapNone/>
                <wp:docPr id="34" name="矩形标注 34"/>
                <wp:cNvGraphicFramePr/>
                <a:graphic xmlns:a="http://schemas.openxmlformats.org/drawingml/2006/main">
                  <a:graphicData uri="http://schemas.microsoft.com/office/word/2010/wordprocessingShape">
                    <wps:wsp>
                      <wps:cNvSpPr/>
                      <wps:spPr>
                        <a:xfrm>
                          <a:off x="0" y="0"/>
                          <a:ext cx="775970" cy="393065"/>
                        </a:xfrm>
                        <a:prstGeom prst="wedgeRectCallout">
                          <a:avLst>
                            <a:gd name="adj1" fmla="val 87072"/>
                            <a:gd name="adj2" fmla="val -118024"/>
                          </a:avLst>
                        </a:prstGeom>
                        <a:noFill/>
                        <a:ln w="25400" cap="flat" cmpd="sng" algn="ctr">
                          <a:solidFill>
                            <a:srgbClr val="FFFFFF"/>
                          </a:solidFill>
                          <a:prstDash val="solid"/>
                        </a:ln>
                        <a:effectLst/>
                      </wps:spPr>
                      <wps:txbx>
                        <w:txbxContent>
                          <w:p>
                            <w:pPr>
                              <w:jc w:val="center"/>
                              <w:rPr>
                                <w:color w:val="FFFFFF"/>
                              </w:rPr>
                            </w:pPr>
                            <w:r>
                              <w:rPr>
                                <w:rFonts w:hint="eastAsia"/>
                                <w:color w:val="FFFFFF"/>
                              </w:rPr>
                              <w:t>采石场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2.75pt;margin-top:202.6pt;height:30.95pt;width:61.1pt;z-index:251659264;v-text-anchor:middle;mso-width-relative:page;mso-height-relative:page;" filled="f" stroked="t" coordsize="21600,21600" o:gfxdata="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AI0jaNYAAAALAQAADwAAAAAA&#10;AAABACAAAAAiAAAAZHJzL2Rvd25yZXYueG1sUEsBAhQAFAAAAAgAh07iQAAsyO6HAgAA5QQAAA4A&#10;AAAAAAAAAQAgAAAAJQEAAGRycy9lMm9Eb2MueG1sUEsFBgAAAAAGAAYAWQEAAB4GAAAAAA==&#10;" adj="29608,-14693">
                <v:fill on="f" focussize="0,0"/>
                <v:stroke weight="2pt" color="#FFFFFF" joinstyle="round"/>
                <v:imagedata o:title=""/>
                <o:lock v:ext="edit" aspectratio="f"/>
                <v:textbox>
                  <w:txbxContent>
                    <w:p>
                      <w:pPr>
                        <w:jc w:val="center"/>
                        <w:rPr>
                          <w:color w:val="FFFFFF"/>
                        </w:rPr>
                      </w:pPr>
                      <w:r>
                        <w:rPr>
                          <w:rFonts w:hint="eastAsia"/>
                          <w:color w:val="FFFFFF"/>
                        </w:rPr>
                        <w:t>采石场</w:t>
                      </w:r>
                    </w:p>
                  </w:txbxContent>
                </v:textbox>
              </v:shape>
            </w:pict>
          </mc:Fallback>
        </mc:AlternateContent>
      </w:r>
      <w:r>
        <w:rPr>
          <w:rFonts w:ascii="宋体" w:hAnsi="宋体" w:eastAsia="宋体" w:cs="宋体"/>
          <w:color w:val="0D0D0D" w:themeColor="text1" w:themeTint="F2"/>
          <w:kern w:val="0"/>
          <w:sz w:val="24"/>
          <w:szCs w:val="24"/>
          <w14:textFill>
            <w14:solidFill>
              <w14:schemeClr w14:val="tx1">
                <w14:lumMod w14:val="95000"/>
                <w14:lumOff w14:val="5000"/>
              </w14:schemeClr>
            </w14:solidFill>
          </w14:textFill>
        </w:rPr>
        <w:drawing>
          <wp:inline distT="0" distB="0" distL="0" distR="0">
            <wp:extent cx="5114925" cy="3143250"/>
            <wp:effectExtent l="0" t="0" r="9525" b="0"/>
            <wp:docPr id="3" name="图片 3" descr="C:\Users\Administrator\AppData\Roaming\Tencent\Users\925377262\QQ\WinTemp\RichOle\4MEDP0U1}0){STB7HY{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Tencent\Users\925377262\QQ\WinTemp\RichOle\4MEDP0U1}0){STB7HY{8)(2.png"/>
                    <pic:cNvPicPr>
                      <a:picLocks noChangeAspect="1" noChangeArrowheads="1"/>
                    </pic:cNvPicPr>
                  </pic:nvPicPr>
                  <pic:blipFill>
                    <a:blip r:embed="rId16">
                      <a:extLst>
                        <a:ext uri="{28A0092B-C50C-407E-A947-70E740481C1C}">
                          <a14:useLocalDpi xmlns:a14="http://schemas.microsoft.com/office/drawing/2010/main" val="0"/>
                        </a:ext>
                      </a:extLst>
                    </a:blip>
                    <a:srcRect b="19117"/>
                    <a:stretch>
                      <a:fillRect/>
                    </a:stretch>
                  </pic:blipFill>
                  <pic:spPr>
                    <a:xfrm>
                      <a:off x="0" y="0"/>
                      <a:ext cx="5114925" cy="3143250"/>
                    </a:xfrm>
                    <a:prstGeom prst="rect">
                      <a:avLst/>
                    </a:prstGeom>
                    <a:noFill/>
                    <a:ln>
                      <a:noFill/>
                    </a:ln>
                  </pic:spPr>
                </pic:pic>
              </a:graphicData>
            </a:graphic>
          </wp:inline>
        </w:drawing>
      </w:r>
    </w:p>
    <w:p>
      <w:pPr>
        <w:widowControl/>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图2.7-1  吉克水库一级保护区内采石场</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78" w:name="_Toc18506527"/>
      <w:bookmarkStart w:id="79" w:name="_Toc25679062"/>
      <w:bookmarkStart w:id="80" w:name="_Toc27509926"/>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面源</w:t>
      </w:r>
      <w:bookmarkEnd w:id="78"/>
      <w:bookmarkEnd w:id="79"/>
      <w:bookmarkEnd w:id="80"/>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bookmarkStart w:id="81" w:name="_Hlk1792908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根据调查可知，吉克水库水源地保护区范围内主要为面源污染，由村庄生活污水、村庄生活垃圾、畜禽养殖、农田种植、水土流失等污染组成。</w:t>
      </w:r>
    </w:p>
    <w:bookmarkEnd w:id="81"/>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bookmarkStart w:id="82" w:name="_Toc10729981"/>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2.1</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农村生活污水</w:t>
      </w:r>
      <w:bookmarkEnd w:id="82"/>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经统计，吉克水库保护区范围内涉及吉克村委会的上吉克村，59户201人，居住在一级保护区内。</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采用人均排污系数法核算农村生活污水及污染物排放量。参考第一次全国污染源普查中西南区污染物排放系数，见下表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-1  农村人均生活污水排污系数</w:t>
      </w:r>
    </w:p>
    <w:tbl>
      <w:tblPr>
        <w:tblStyle w:val="44"/>
        <w:tblW w:w="965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58"/>
        <w:gridCol w:w="1676"/>
        <w:gridCol w:w="1629"/>
        <w:gridCol w:w="1629"/>
        <w:gridCol w:w="1629"/>
        <w:gridCol w:w="16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458"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指标</w:t>
            </w:r>
          </w:p>
        </w:tc>
        <w:tc>
          <w:tcPr>
            <w:tcW w:w="167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污水量（L/cap.d）</w:t>
            </w:r>
          </w:p>
        </w:tc>
        <w:tc>
          <w:tcPr>
            <w:tcW w:w="162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COD（g/cap.d）</w:t>
            </w:r>
          </w:p>
        </w:tc>
        <w:tc>
          <w:tcPr>
            <w:tcW w:w="162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-N（g/cap.d）</w:t>
            </w:r>
          </w:p>
        </w:tc>
        <w:tc>
          <w:tcPr>
            <w:tcW w:w="162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（g/cap.d）</w:t>
            </w:r>
          </w:p>
        </w:tc>
        <w:tc>
          <w:tcPr>
            <w:tcW w:w="162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（g/cap.d）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1458"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排放系数</w:t>
            </w:r>
          </w:p>
        </w:tc>
        <w:tc>
          <w:tcPr>
            <w:tcW w:w="1676"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24.48</w:t>
            </w:r>
          </w:p>
        </w:tc>
        <w:tc>
          <w:tcPr>
            <w:tcW w:w="162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19.68</w:t>
            </w:r>
          </w:p>
        </w:tc>
        <w:tc>
          <w:tcPr>
            <w:tcW w:w="162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0.08</w:t>
            </w:r>
          </w:p>
        </w:tc>
        <w:tc>
          <w:tcPr>
            <w:tcW w:w="162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0.40</w:t>
            </w:r>
          </w:p>
        </w:tc>
        <w:tc>
          <w:tcPr>
            <w:tcW w:w="162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0.22</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同时根据部门收资及现场调查，吉克水库保护区内的上吉克村未建农村生活污水集中处理设施。</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根据保护区范围内人口统计结果及排污系数计算，吉克水库保护区范围内污水、化学需氧量、氨氮、总氮、总磷排放量分别为1795.98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1.444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0.006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0.029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t/a和</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t/a。如下表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所示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吉克水库保护区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范围内</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农村</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生活污水污染物排放量</w:t>
      </w:r>
    </w:p>
    <w:tbl>
      <w:tblPr>
        <w:tblStyle w:val="44"/>
        <w:tblW w:w="9650" w:type="dxa"/>
        <w:jc w:val="center"/>
        <w:tblInd w:w="-3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863"/>
        <w:gridCol w:w="899"/>
        <w:gridCol w:w="939"/>
        <w:gridCol w:w="996"/>
        <w:gridCol w:w="996"/>
        <w:gridCol w:w="965"/>
        <w:gridCol w:w="965"/>
        <w:gridCol w:w="965"/>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097"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863"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行政村</w:t>
            </w:r>
          </w:p>
        </w:tc>
        <w:tc>
          <w:tcPr>
            <w:tcW w:w="89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自然村</w:t>
            </w:r>
          </w:p>
        </w:tc>
        <w:tc>
          <w:tcPr>
            <w:tcW w:w="93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人口</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w:t>
            </w:r>
          </w:p>
        </w:tc>
        <w:tc>
          <w:tcPr>
            <w:tcW w:w="99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污水产生量（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9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污水排放量（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97"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一级保护区</w:t>
            </w:r>
          </w:p>
        </w:tc>
        <w:tc>
          <w:tcPr>
            <w:tcW w:w="863"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吉克村</w:t>
            </w:r>
          </w:p>
        </w:tc>
        <w:tc>
          <w:tcPr>
            <w:tcW w:w="89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上吉克村</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201</w:t>
            </w:r>
          </w:p>
        </w:tc>
        <w:tc>
          <w:tcPr>
            <w:tcW w:w="996"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1795.98</w:t>
            </w:r>
          </w:p>
        </w:tc>
        <w:tc>
          <w:tcPr>
            <w:tcW w:w="996"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1795.98</w:t>
            </w:r>
          </w:p>
        </w:tc>
        <w:tc>
          <w:tcPr>
            <w:tcW w:w="965"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1.444</w:t>
            </w:r>
          </w:p>
        </w:tc>
        <w:tc>
          <w:tcPr>
            <w:tcW w:w="965"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0.006</w:t>
            </w:r>
          </w:p>
        </w:tc>
        <w:tc>
          <w:tcPr>
            <w:tcW w:w="965"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0.029</w:t>
            </w:r>
          </w:p>
        </w:tc>
        <w:tc>
          <w:tcPr>
            <w:tcW w:w="965"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0.016</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农村生活垃圾</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经统计，吉克水库保护区范围内涉及吉克村委会的上吉克村，59户201人，居住在一级保护区内。</w:t>
      </w:r>
    </w:p>
    <w:p>
      <w:pPr>
        <w:adjustRightInd w:val="0"/>
        <w:snapToGrid w:val="0"/>
        <w:spacing w:line="360" w:lineRule="auto"/>
        <w:ind w:firstLine="560" w:firstLineChars="200"/>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采用人均排污系数法核算农村生活垃圾及污染物排放量，参考第一次全国污染源普查中西南区污染物排放系数，见下表</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7</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农村人均生活垃圾排</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放</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系数</w:t>
      </w:r>
    </w:p>
    <w:tbl>
      <w:tblPr>
        <w:tblStyle w:val="44"/>
        <w:tblW w:w="965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45"/>
        <w:gridCol w:w="1523"/>
        <w:gridCol w:w="1519"/>
        <w:gridCol w:w="1519"/>
        <w:gridCol w:w="1523"/>
        <w:gridCol w:w="15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2045"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指标</w:t>
            </w:r>
          </w:p>
        </w:tc>
        <w:tc>
          <w:tcPr>
            <w:tcW w:w="1523"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生活垃圾（kg/p.d）</w:t>
            </w:r>
          </w:p>
        </w:tc>
        <w:tc>
          <w:tcPr>
            <w:tcW w:w="1519"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（g/p.d）</w:t>
            </w:r>
          </w:p>
        </w:tc>
        <w:tc>
          <w:tcPr>
            <w:tcW w:w="1519"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bCs/>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-N（g/p.d）</w:t>
            </w:r>
          </w:p>
        </w:tc>
        <w:tc>
          <w:tcPr>
            <w:tcW w:w="1523"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（g/p.d）</w:t>
            </w:r>
          </w:p>
        </w:tc>
        <w:tc>
          <w:tcPr>
            <w:tcW w:w="1521" w:type="dxa"/>
            <w:shd w:val="clear" w:color="auto" w:fill="D8D8D8" w:themeFill="background1" w:themeFillShade="D9"/>
            <w:vAlign w:val="center"/>
          </w:tcPr>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spacing w:line="240" w:lineRule="exact"/>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（g/p.d）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2045"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产生系数</w:t>
            </w:r>
          </w:p>
        </w:tc>
        <w:tc>
          <w:tcPr>
            <w:tcW w:w="1523"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0.351</w:t>
            </w:r>
          </w:p>
        </w:tc>
        <w:tc>
          <w:tcPr>
            <w:tcW w:w="1519"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35.1</w:t>
            </w:r>
          </w:p>
        </w:tc>
        <w:tc>
          <w:tcPr>
            <w:tcW w:w="1519"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1.053</w:t>
            </w:r>
          </w:p>
        </w:tc>
        <w:tc>
          <w:tcPr>
            <w:tcW w:w="1523"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1.755</w:t>
            </w:r>
          </w:p>
        </w:tc>
        <w:tc>
          <w:tcPr>
            <w:tcW w:w="1521" w:type="dxa"/>
            <w:tcBorders>
              <w:bottom w:val="single" w:color="000000" w:sz="4" w:space="0"/>
            </w:tcBorders>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0.702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4" w:hRule="atLeast"/>
          <w:jc w:val="center"/>
        </w:trPr>
        <w:tc>
          <w:tcPr>
            <w:tcW w:w="2045"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排放系数</w:t>
            </w:r>
          </w:p>
        </w:tc>
        <w:tc>
          <w:tcPr>
            <w:tcW w:w="1523"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0.16</w:t>
            </w:r>
          </w:p>
        </w:tc>
        <w:tc>
          <w:tcPr>
            <w:tcW w:w="1519"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15.80</w:t>
            </w:r>
          </w:p>
        </w:tc>
        <w:tc>
          <w:tcPr>
            <w:tcW w:w="1519"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0.47</w:t>
            </w:r>
          </w:p>
        </w:tc>
        <w:tc>
          <w:tcPr>
            <w:tcW w:w="1523"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0.79</w:t>
            </w:r>
          </w:p>
        </w:tc>
        <w:tc>
          <w:tcPr>
            <w:tcW w:w="1521" w:type="dxa"/>
            <w:vAlign w:val="center"/>
          </w:tcPr>
          <w:p>
            <w:pPr>
              <w:spacing w:line="240" w:lineRule="exact"/>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0.32</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根据现场调查了解生活垃圾收集清运情况，本次核算已建设生活垃圾收集处理设施的村落生活垃圾收集处理率取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人口统计结果及排污系数计算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生活垃圾、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、氨氮、总氮、总磷排放量分别为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11.74 </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1.159</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0.034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0.058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0.023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具体数据见下表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2.7-4</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吉克水库保护区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范围内</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农村</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生活垃圾污染物排放量</w:t>
      </w:r>
    </w:p>
    <w:tbl>
      <w:tblPr>
        <w:tblStyle w:val="44"/>
        <w:tblW w:w="9650" w:type="dxa"/>
        <w:jc w:val="center"/>
        <w:tblInd w:w="-2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920"/>
        <w:gridCol w:w="959"/>
        <w:gridCol w:w="939"/>
        <w:gridCol w:w="976"/>
        <w:gridCol w:w="977"/>
        <w:gridCol w:w="965"/>
        <w:gridCol w:w="965"/>
        <w:gridCol w:w="965"/>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01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920"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行政村</w:t>
            </w:r>
          </w:p>
        </w:tc>
        <w:tc>
          <w:tcPr>
            <w:tcW w:w="95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自然村</w:t>
            </w:r>
          </w:p>
        </w:tc>
        <w:tc>
          <w:tcPr>
            <w:tcW w:w="939"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人口</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（人）</w:t>
            </w:r>
          </w:p>
        </w:tc>
        <w:tc>
          <w:tcPr>
            <w:tcW w:w="976"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产生量（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77"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排放量（</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965"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01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一级保护区</w:t>
            </w:r>
          </w:p>
        </w:tc>
        <w:tc>
          <w:tcPr>
            <w:tcW w:w="920"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吉克村</w:t>
            </w:r>
          </w:p>
        </w:tc>
        <w:tc>
          <w:tcPr>
            <w:tcW w:w="959"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上吉克村</w:t>
            </w:r>
          </w:p>
        </w:tc>
        <w:tc>
          <w:tcPr>
            <w:tcW w:w="939"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201</w:t>
            </w:r>
          </w:p>
        </w:tc>
        <w:tc>
          <w:tcPr>
            <w:tcW w:w="976"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11.74</w:t>
            </w:r>
          </w:p>
        </w:tc>
        <w:tc>
          <w:tcPr>
            <w:tcW w:w="977"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11.74</w:t>
            </w:r>
          </w:p>
        </w:tc>
        <w:tc>
          <w:tcPr>
            <w:tcW w:w="965"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1.159</w:t>
            </w:r>
          </w:p>
        </w:tc>
        <w:tc>
          <w:tcPr>
            <w:tcW w:w="965"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0.034</w:t>
            </w:r>
          </w:p>
        </w:tc>
        <w:tc>
          <w:tcPr>
            <w:tcW w:w="965"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0.058</w:t>
            </w:r>
          </w:p>
        </w:tc>
        <w:tc>
          <w:tcPr>
            <w:tcW w:w="965" w:type="dxa"/>
            <w:vAlign w:val="center"/>
          </w:tcPr>
          <w:p>
            <w:pPr>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0.023</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3 农业种植污染</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经统计，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内耕地面积总计为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48.15hm</w:t>
      </w:r>
      <w:r>
        <w:rPr>
          <w:rFonts w:hint="eastAsia"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旱地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27.04hm</w:t>
      </w:r>
      <w:r>
        <w:rPr>
          <w:rFonts w:hint="eastAsia"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21.11hm</w:t>
      </w:r>
      <w:r>
        <w:rPr>
          <w:rFonts w:hint="eastAsia"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。耕地种植施用大量的化肥农药，污染物流失对水源地造成污染。吉克水库保护区范围内耕地面积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具体数据见表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2.7-5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吉克水库保护区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范围内耕地面积</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9"/>
        <w:gridCol w:w="2567"/>
        <w:gridCol w:w="2565"/>
        <w:gridCol w:w="2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59" w:type="dxa"/>
            <w:shd w:val="clear" w:color="auto" w:fill="D8D8D8" w:themeFill="background1" w:themeFillShade="D9"/>
            <w:vAlign w:val="center"/>
          </w:tcPr>
          <w:p>
            <w:pPr>
              <w:widowControl/>
              <w:adjustRightInd w:val="0"/>
              <w:snapToGrid w:val="0"/>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保护区</w:t>
            </w:r>
          </w:p>
        </w:tc>
        <w:tc>
          <w:tcPr>
            <w:tcW w:w="2567" w:type="dxa"/>
            <w:shd w:val="clear" w:color="auto" w:fill="D8D8D8" w:themeFill="background1" w:themeFillShade="D9"/>
            <w:vAlign w:val="center"/>
          </w:tcPr>
          <w:p>
            <w:pPr>
              <w:widowControl/>
              <w:adjustRightInd w:val="0"/>
              <w:snapToGrid w:val="0"/>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旱地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c>
          <w:tcPr>
            <w:tcW w:w="2565" w:type="dxa"/>
            <w:shd w:val="clear" w:color="auto" w:fill="D8D8D8" w:themeFill="background1" w:themeFillShade="D9"/>
            <w:vAlign w:val="center"/>
          </w:tcPr>
          <w:p>
            <w:pPr>
              <w:widowControl/>
              <w:adjustRightInd w:val="0"/>
              <w:snapToGrid w:val="0"/>
              <w:jc w:val="center"/>
              <w:rPr>
                <w:rFonts w:eastAsia="仿宋"/>
                <w:b/>
                <w:color w:val="0D0D0D" w:themeColor="text1" w:themeTint="F2"/>
                <w:sz w:val="24"/>
                <w:szCs w:val="24"/>
                <w14:textFill>
                  <w14:solidFill>
                    <w14:schemeClr w14:val="tx1">
                      <w14:lumMod w14:val="95000"/>
                      <w14:lumOff w14:val="5000"/>
                    </w14:schemeClr>
                  </w14:solidFill>
                </w14:textFill>
              </w:rPr>
            </w:pPr>
            <w:r>
              <w:rPr>
                <w:rFonts w:hint="eastAsia" w:eastAsia="仿宋"/>
                <w:b/>
                <w:color w:val="0D0D0D" w:themeColor="text1" w:themeTint="F2"/>
                <w:sz w:val="24"/>
                <w:szCs w:val="24"/>
                <w14:textFill>
                  <w14:solidFill>
                    <w14:schemeClr w14:val="tx1">
                      <w14:lumMod w14:val="95000"/>
                      <w14:lumOff w14:val="5000"/>
                    </w14:schemeClr>
                  </w14:solidFill>
                </w14:textFill>
              </w:rPr>
              <w:t>水田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c>
          <w:tcPr>
            <w:tcW w:w="2559" w:type="dxa"/>
            <w:shd w:val="clear" w:color="auto" w:fill="D8D8D8" w:themeFill="background1" w:themeFillShade="D9"/>
            <w:vAlign w:val="center"/>
          </w:tcPr>
          <w:p>
            <w:pPr>
              <w:widowControl/>
              <w:adjustRightInd w:val="0"/>
              <w:snapToGrid w:val="0"/>
              <w:jc w:val="center"/>
              <w:rPr>
                <w:rFonts w:eastAsia="仿宋"/>
                <w:b/>
                <w:color w:val="0D0D0D" w:themeColor="text1" w:themeTint="F2"/>
                <w:sz w:val="24"/>
                <w:szCs w:val="24"/>
                <w14:textFill>
                  <w14:solidFill>
                    <w14:schemeClr w14:val="tx1">
                      <w14:lumMod w14:val="95000"/>
                      <w14:lumOff w14:val="5000"/>
                    </w14:schemeClr>
                  </w14:solidFill>
                </w14:textFill>
              </w:rPr>
            </w:pPr>
            <w:r>
              <w:rPr>
                <w:rFonts w:eastAsia="仿宋"/>
                <w:b/>
                <w:color w:val="0D0D0D" w:themeColor="text1" w:themeTint="F2"/>
                <w:sz w:val="24"/>
                <w:szCs w:val="24"/>
                <w14:textFill>
                  <w14:solidFill>
                    <w14:schemeClr w14:val="tx1">
                      <w14:lumMod w14:val="95000"/>
                      <w14:lumOff w14:val="5000"/>
                    </w14:schemeClr>
                  </w14:solidFill>
                </w14:textFill>
              </w:rPr>
              <w:t>耕地面积</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59"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一级保护区</w:t>
            </w:r>
          </w:p>
        </w:tc>
        <w:tc>
          <w:tcPr>
            <w:tcW w:w="2567" w:type="dxa"/>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17.45</w:t>
            </w:r>
          </w:p>
        </w:tc>
        <w:tc>
          <w:tcPr>
            <w:tcW w:w="2565"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3.68</w:t>
            </w:r>
          </w:p>
        </w:tc>
        <w:tc>
          <w:tcPr>
            <w:tcW w:w="2559"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59"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二级保护区</w:t>
            </w:r>
          </w:p>
        </w:tc>
        <w:tc>
          <w:tcPr>
            <w:tcW w:w="2567" w:type="dxa"/>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9.59</w:t>
            </w:r>
          </w:p>
        </w:tc>
        <w:tc>
          <w:tcPr>
            <w:tcW w:w="2565"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17.43</w:t>
            </w:r>
          </w:p>
        </w:tc>
        <w:tc>
          <w:tcPr>
            <w:tcW w:w="2559"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959"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合计</w:t>
            </w:r>
          </w:p>
        </w:tc>
        <w:tc>
          <w:tcPr>
            <w:tcW w:w="2567" w:type="dxa"/>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27.04</w:t>
            </w:r>
          </w:p>
        </w:tc>
        <w:tc>
          <w:tcPr>
            <w:tcW w:w="2565"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21.11</w:t>
            </w:r>
          </w:p>
        </w:tc>
        <w:tc>
          <w:tcPr>
            <w:tcW w:w="2559" w:type="dxa"/>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48.15</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由于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范围内化肥统计数据不详实，运用第一次全国污染源普查成果，使用流域内耕地面积污染流失的平均强度，并根据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富源县</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的具体情况进行修正，得到旱地肥料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、总氮、总磷、氨氮的流失系数分别为1.5kg/亩、0.824kg/亩、0.095kg/亩、0.105kg/亩，水田肥料</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化学需氧量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、总氮、总磷、氨氮的流失系数分别为1.1kg/亩、1.316kg/亩、0.112kg/亩、0.194kg/亩。流失量具体见表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sectPr>
          <w:footerReference r:id="rId8" w:type="default"/>
          <w:pgSz w:w="11906" w:h="16838"/>
          <w:pgMar w:top="1440" w:right="1236" w:bottom="1440" w:left="1236" w:header="851" w:footer="992" w:gutter="0"/>
          <w:pgNumType w:fmt="numberInDash"/>
          <w:cols w:space="0" w:num="1"/>
          <w:docGrid w:type="lines" w:linePitch="312" w:charSpace="0"/>
        </w:sectPr>
      </w:pP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吉克水库保护区范围</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内种植业污染排放情况</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1946"/>
        <w:gridCol w:w="1947"/>
        <w:gridCol w:w="1947"/>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890"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保护区</w:t>
            </w:r>
          </w:p>
        </w:tc>
        <w:tc>
          <w:tcPr>
            <w:tcW w:w="1946"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947"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947"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920"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90" w:type="dxa"/>
            <w:shd w:val="clear" w:color="auto" w:fill="auto"/>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一级保护区</w:t>
            </w:r>
          </w:p>
        </w:tc>
        <w:tc>
          <w:tcPr>
            <w:tcW w:w="1946"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0.453</w:t>
            </w:r>
          </w:p>
        </w:tc>
        <w:tc>
          <w:tcPr>
            <w:tcW w:w="1947"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0.038</w:t>
            </w:r>
          </w:p>
        </w:tc>
        <w:tc>
          <w:tcPr>
            <w:tcW w:w="1947"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0.288</w:t>
            </w:r>
          </w:p>
        </w:tc>
        <w:tc>
          <w:tcPr>
            <w:tcW w:w="1920"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90" w:type="dxa"/>
            <w:shd w:val="clear" w:color="auto" w:fill="auto"/>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二级保护区</w:t>
            </w:r>
          </w:p>
        </w:tc>
        <w:tc>
          <w:tcPr>
            <w:tcW w:w="1946"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0.503</w:t>
            </w:r>
          </w:p>
        </w:tc>
        <w:tc>
          <w:tcPr>
            <w:tcW w:w="1947"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0.066</w:t>
            </w:r>
          </w:p>
        </w:tc>
        <w:tc>
          <w:tcPr>
            <w:tcW w:w="1947"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0.463</w:t>
            </w:r>
          </w:p>
        </w:tc>
        <w:tc>
          <w:tcPr>
            <w:tcW w:w="1920"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890" w:type="dxa"/>
            <w:shd w:val="clear" w:color="auto" w:fill="auto"/>
            <w:vAlign w:val="center"/>
          </w:tcPr>
          <w:p>
            <w:pPr>
              <w:adjustRightInd w:val="0"/>
              <w:snapToGrid w:val="0"/>
              <w:jc w:val="center"/>
              <w:rPr>
                <w:rFonts w:eastAsia="仿宋"/>
                <w:color w:val="0D0D0D" w:themeColor="text1" w:themeTint="F2"/>
                <w:sz w:val="24"/>
                <w:szCs w:val="24"/>
                <w14:textFill>
                  <w14:solidFill>
                    <w14:schemeClr w14:val="tx1">
                      <w14:lumMod w14:val="95000"/>
                      <w14:lumOff w14:val="5000"/>
                    </w14:schemeClr>
                  </w14:solidFill>
                </w14:textFill>
              </w:rPr>
            </w:pPr>
            <w:r>
              <w:rPr>
                <w:rFonts w:hint="eastAsia" w:eastAsia="仿宋"/>
                <w:color w:val="0D0D0D" w:themeColor="text1" w:themeTint="F2"/>
                <w:sz w:val="24"/>
                <w:szCs w:val="24"/>
                <w14:textFill>
                  <w14:solidFill>
                    <w14:schemeClr w14:val="tx1">
                      <w14:lumMod w14:val="95000"/>
                      <w14:lumOff w14:val="5000"/>
                    </w14:schemeClr>
                  </w14:solidFill>
                </w14:textFill>
              </w:rPr>
              <w:t>合计</w:t>
            </w:r>
          </w:p>
        </w:tc>
        <w:tc>
          <w:tcPr>
            <w:tcW w:w="1946" w:type="dxa"/>
            <w:shd w:val="clear" w:color="auto" w:fill="auto"/>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0.957</w:t>
            </w:r>
          </w:p>
        </w:tc>
        <w:tc>
          <w:tcPr>
            <w:tcW w:w="1947"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0.104</w:t>
            </w:r>
          </w:p>
        </w:tc>
        <w:tc>
          <w:tcPr>
            <w:tcW w:w="1947"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0.751</w:t>
            </w:r>
          </w:p>
        </w:tc>
        <w:tc>
          <w:tcPr>
            <w:tcW w:w="1920" w:type="dxa"/>
            <w:vAlign w:val="bottom"/>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0.074</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bookmarkStart w:id="83" w:name="_Toc10729984"/>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4 畜禽养殖污染</w:t>
      </w:r>
      <w:bookmarkEnd w:id="83"/>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经统计，吉克水库保护区年末出栏肉猪340头、肉牛28头、肉羊75头、鸡910羽，均分布在一级保护区。</w:t>
      </w:r>
    </w:p>
    <w:p>
      <w:pPr>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畜禽养殖污染物产生量计算采用产污系数法，其中粪便、尿液量产生系数参照《农业农村部办公厅关于做好畜禽粪污资源化跟踪监测工作的通知（农办牧〔2018〕28号）》中肉猪、肉牛、肉鸡、肉羊标准；COD、NH</w:t>
      </w:r>
      <w:r>
        <w:rPr>
          <w:rFonts w:hint="eastAsia" w:ascii="Times New Roman" w:hAnsi="Times New Roman" w:eastAsia="仿宋"/>
          <w:color w:val="0D0D0D" w:themeColor="text1" w:themeTint="F2"/>
          <w:sz w:val="28"/>
          <w:szCs w:val="28"/>
          <w:vertAlign w:val="subscript"/>
          <w14:textFill>
            <w14:solidFill>
              <w14:schemeClr w14:val="tx1">
                <w14:lumMod w14:val="95000"/>
                <w14:lumOff w14:val="5000"/>
              </w14:schemeClr>
            </w14:solidFill>
          </w14:textFill>
        </w:rPr>
        <w:t>3</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-N、TN、TP产生系数以《第一次全国污染源普查畜禽养殖产排污系数手册》（2008年）西南地区相关参数为依据，大牲畜选用肉牛育肥标准、猪选用生猪育肥标准、家禽采用肉鸡标准，畜禽养殖产污系数见表2.7-7。</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2.7-7</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畜禽养殖污染产生量计算系数</w:t>
      </w:r>
    </w:p>
    <w:tbl>
      <w:tblPr>
        <w:tblStyle w:val="44"/>
        <w:tblW w:w="9650" w:type="dxa"/>
        <w:jc w:val="center"/>
        <w:tblInd w:w="0" w:type="dxa"/>
        <w:tblLayout w:type="fixed"/>
        <w:tblCellMar>
          <w:top w:w="0" w:type="dxa"/>
          <w:left w:w="108" w:type="dxa"/>
          <w:bottom w:w="0" w:type="dxa"/>
          <w:right w:w="108" w:type="dxa"/>
        </w:tblCellMar>
      </w:tblPr>
      <w:tblGrid>
        <w:gridCol w:w="1453"/>
        <w:gridCol w:w="1639"/>
        <w:gridCol w:w="1403"/>
        <w:gridCol w:w="1357"/>
        <w:gridCol w:w="1237"/>
        <w:gridCol w:w="1185"/>
        <w:gridCol w:w="1376"/>
      </w:tblGrid>
      <w:tr>
        <w:tblPrEx>
          <w:tblLayout w:type="fixed"/>
          <w:tblCellMar>
            <w:top w:w="0" w:type="dxa"/>
            <w:left w:w="108" w:type="dxa"/>
            <w:bottom w:w="0" w:type="dxa"/>
            <w:right w:w="108" w:type="dxa"/>
          </w:tblCellMar>
        </w:tblPrEx>
        <w:trPr>
          <w:trHeight w:val="340" w:hRule="atLeast"/>
          <w:tblHeader/>
          <w:jc w:val="center"/>
        </w:trPr>
        <w:tc>
          <w:tcPr>
            <w:tcW w:w="145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种类</w:t>
            </w:r>
          </w:p>
        </w:tc>
        <w:tc>
          <w:tcPr>
            <w:tcW w:w="1639"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粪便</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（kg/天/头、只）</w:t>
            </w:r>
          </w:p>
        </w:tc>
        <w:tc>
          <w:tcPr>
            <w:tcW w:w="1403"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尿液量</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（kg/天/头、只）</w:t>
            </w:r>
          </w:p>
        </w:tc>
        <w:tc>
          <w:tcPr>
            <w:tcW w:w="1357"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COD</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c>
          <w:tcPr>
            <w:tcW w:w="1237"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NH</w:t>
            </w:r>
            <w:r>
              <w:rPr>
                <w:rFonts w:ascii="Times New Roman" w:hAnsi="Times New Roman" w:eastAsia="仿宋"/>
                <w:b/>
                <w:color w:val="0D0D0D" w:themeColor="text1" w:themeTint="F2"/>
                <w:sz w:val="24"/>
                <w:szCs w:val="24"/>
                <w:vertAlign w:val="subscript"/>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-N</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c>
          <w:tcPr>
            <w:tcW w:w="1185"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TN</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c>
          <w:tcPr>
            <w:tcW w:w="1376"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TP</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（g/天/头、只）</w:t>
            </w:r>
          </w:p>
        </w:tc>
      </w:tr>
      <w:tr>
        <w:tblPrEx>
          <w:tblLayout w:type="fixed"/>
          <w:tblCellMar>
            <w:top w:w="0" w:type="dxa"/>
            <w:left w:w="108" w:type="dxa"/>
            <w:bottom w:w="0" w:type="dxa"/>
            <w:right w:w="108" w:type="dxa"/>
          </w:tblCellMar>
        </w:tblPrEx>
        <w:trPr>
          <w:trHeight w:val="340" w:hRule="atLeast"/>
          <w:jc w:val="center"/>
        </w:trPr>
        <w:tc>
          <w:tcPr>
            <w:tcW w:w="145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大牲畜</w:t>
            </w:r>
          </w:p>
        </w:tc>
        <w:tc>
          <w:tcPr>
            <w:tcW w:w="16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12.1</w:t>
            </w:r>
          </w:p>
        </w:tc>
        <w:tc>
          <w:tcPr>
            <w:tcW w:w="140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8.32</w:t>
            </w:r>
          </w:p>
        </w:tc>
        <w:tc>
          <w:tcPr>
            <w:tcW w:w="135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2235.21</w:t>
            </w:r>
          </w:p>
        </w:tc>
        <w:tc>
          <w:tcPr>
            <w:tcW w:w="123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72.87</w:t>
            </w:r>
          </w:p>
        </w:tc>
        <w:tc>
          <w:tcPr>
            <w:tcW w:w="118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104.1</w:t>
            </w:r>
          </w:p>
        </w:tc>
        <w:tc>
          <w:tcPr>
            <w:tcW w:w="13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10.17</w:t>
            </w:r>
          </w:p>
        </w:tc>
      </w:tr>
      <w:tr>
        <w:tblPrEx>
          <w:tblLayout w:type="fixed"/>
          <w:tblCellMar>
            <w:top w:w="0" w:type="dxa"/>
            <w:left w:w="108" w:type="dxa"/>
            <w:bottom w:w="0" w:type="dxa"/>
            <w:right w:w="108" w:type="dxa"/>
          </w:tblCellMar>
        </w:tblPrEx>
        <w:trPr>
          <w:trHeight w:val="340" w:hRule="atLeast"/>
          <w:jc w:val="center"/>
        </w:trPr>
        <w:tc>
          <w:tcPr>
            <w:tcW w:w="145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猪</w:t>
            </w:r>
          </w:p>
        </w:tc>
        <w:tc>
          <w:tcPr>
            <w:tcW w:w="16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w:t>
            </w:r>
          </w:p>
        </w:tc>
        <w:tc>
          <w:tcPr>
            <w:tcW w:w="140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2.53</w:t>
            </w:r>
          </w:p>
        </w:tc>
        <w:tc>
          <w:tcPr>
            <w:tcW w:w="135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403.67</w:t>
            </w:r>
          </w:p>
        </w:tc>
        <w:tc>
          <w:tcPr>
            <w:tcW w:w="123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13.818</w:t>
            </w:r>
          </w:p>
        </w:tc>
        <w:tc>
          <w:tcPr>
            <w:tcW w:w="118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19.74</w:t>
            </w:r>
          </w:p>
        </w:tc>
        <w:tc>
          <w:tcPr>
            <w:tcW w:w="13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4.84</w:t>
            </w:r>
          </w:p>
        </w:tc>
      </w:tr>
      <w:tr>
        <w:tblPrEx>
          <w:tblLayout w:type="fixed"/>
          <w:tblCellMar>
            <w:top w:w="0" w:type="dxa"/>
            <w:left w:w="108" w:type="dxa"/>
            <w:bottom w:w="0" w:type="dxa"/>
            <w:right w:w="108" w:type="dxa"/>
          </w:tblCellMar>
        </w:tblPrEx>
        <w:trPr>
          <w:trHeight w:val="340" w:hRule="atLeast"/>
          <w:jc w:val="center"/>
        </w:trPr>
        <w:tc>
          <w:tcPr>
            <w:tcW w:w="145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羊</w:t>
            </w:r>
          </w:p>
        </w:tc>
        <w:tc>
          <w:tcPr>
            <w:tcW w:w="16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0.69</w:t>
            </w:r>
          </w:p>
        </w:tc>
        <w:tc>
          <w:tcPr>
            <w:tcW w:w="140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0.41</w:t>
            </w:r>
          </w:p>
        </w:tc>
        <w:tc>
          <w:tcPr>
            <w:tcW w:w="135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45.014</w:t>
            </w:r>
          </w:p>
        </w:tc>
        <w:tc>
          <w:tcPr>
            <w:tcW w:w="123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2.186</w:t>
            </w:r>
          </w:p>
        </w:tc>
        <w:tc>
          <w:tcPr>
            <w:tcW w:w="118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3.123</w:t>
            </w:r>
          </w:p>
        </w:tc>
        <w:tc>
          <w:tcPr>
            <w:tcW w:w="13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1.233</w:t>
            </w:r>
          </w:p>
        </w:tc>
      </w:tr>
      <w:tr>
        <w:tblPrEx>
          <w:tblLayout w:type="fixed"/>
          <w:tblCellMar>
            <w:top w:w="0" w:type="dxa"/>
            <w:left w:w="108" w:type="dxa"/>
            <w:bottom w:w="0" w:type="dxa"/>
            <w:right w:w="108" w:type="dxa"/>
          </w:tblCellMar>
        </w:tblPrEx>
        <w:trPr>
          <w:trHeight w:val="340" w:hRule="atLeast"/>
          <w:jc w:val="center"/>
        </w:trPr>
        <w:tc>
          <w:tcPr>
            <w:tcW w:w="1453"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家禽</w:t>
            </w:r>
          </w:p>
        </w:tc>
        <w:tc>
          <w:tcPr>
            <w:tcW w:w="1639"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0.06</w:t>
            </w:r>
          </w:p>
        </w:tc>
        <w:tc>
          <w:tcPr>
            <w:tcW w:w="1403"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35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13.05</w:t>
            </w:r>
          </w:p>
        </w:tc>
        <w:tc>
          <w:tcPr>
            <w:tcW w:w="1237"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0.497</w:t>
            </w:r>
          </w:p>
        </w:tc>
        <w:tc>
          <w:tcPr>
            <w:tcW w:w="1185"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0.71</w:t>
            </w:r>
          </w:p>
        </w:tc>
        <w:tc>
          <w:tcPr>
            <w:tcW w:w="1376" w:type="dxa"/>
            <w:tcBorders>
              <w:top w:val="nil"/>
              <w:left w:val="nil"/>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0.06</w:t>
            </w: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畜禽养殖专业户污染排污系数根据《第一次全国污染源普查畜禽养殖产排污系数手册》（2008年）西南地区相关参数为依据，大牲畜选用肉牛育肥标准、猪选用生猪育肥标准，选取西南地区干清粪工艺系数。畜禽养殖污染物排放经村落环境综合整治，散养流失粪尿土壤净化槽、氧化塘湿地等各种处理工艺处理，确定</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本次核算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综合削减率约为88%</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污染物外排量</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为化学需氧量</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9.412</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氨氮0.322</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总氮0.460</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总磷0.091</w:t>
      </w:r>
      <w:r>
        <w:rPr>
          <w:rFonts w:ascii="Times New Roman" w:hAnsi="Times New Roman" w:eastAsia="仿宋"/>
          <w:bCs/>
          <w:color w:val="0D0D0D" w:themeColor="text1" w:themeTint="F2"/>
          <w:sz w:val="28"/>
          <w:szCs w:val="28"/>
          <w14:textFill>
            <w14:solidFill>
              <w14:schemeClr w14:val="tx1">
                <w14:lumMod w14:val="95000"/>
                <w14:lumOff w14:val="5000"/>
              </w14:schemeClr>
            </w14:solidFill>
          </w14:textFill>
        </w:rPr>
        <w:t xml:space="preserve"> t/a</w:t>
      </w:r>
      <w:r>
        <w:rPr>
          <w:rFonts w:hint="eastAsia" w:ascii="Times New Roman" w:hAnsi="Times New Roman" w:eastAsia="仿宋"/>
          <w:bCs/>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2.7-8</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吉克水库保护区范围内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养殖污染排放情况统计</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191"/>
        <w:gridCol w:w="1191"/>
        <w:gridCol w:w="1191"/>
        <w:gridCol w:w="1191"/>
        <w:gridCol w:w="1191"/>
        <w:gridCol w:w="1191"/>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317"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191"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类别</w:t>
            </w:r>
          </w:p>
        </w:tc>
        <w:tc>
          <w:tcPr>
            <w:tcW w:w="1191" w:type="dxa"/>
            <w:shd w:val="clear" w:color="auto" w:fill="D8D8D8" w:themeFill="background1" w:themeFillShade="D9"/>
            <w:vAlign w:val="center"/>
          </w:tcPr>
          <w:p>
            <w:pPr>
              <w:adjustRightInd w:val="0"/>
              <w:snapToGrid w:val="0"/>
              <w:jc w:val="center"/>
              <w:rPr>
                <w:rFonts w:ascii="仿宋" w:hAnsi="仿宋" w:eastAsia="仿宋"/>
                <w:b/>
                <w:bCs/>
                <w:color w:val="0D0D0D" w:themeColor="text1" w:themeTint="F2"/>
                <w:sz w:val="22"/>
                <w14:textFill>
                  <w14:solidFill>
                    <w14:schemeClr w14:val="tx1">
                      <w14:lumMod w14:val="95000"/>
                      <w14:lumOff w14:val="5000"/>
                    </w14:schemeClr>
                  </w14:solidFill>
                </w14:textFill>
              </w:rPr>
            </w:pPr>
            <w:r>
              <w:rPr>
                <w:rFonts w:hint="eastAsia" w:ascii="仿宋" w:hAnsi="仿宋" w:eastAsia="仿宋"/>
                <w:b/>
                <w:bCs/>
                <w:color w:val="0D0D0D" w:themeColor="text1" w:themeTint="F2"/>
                <w:sz w:val="22"/>
                <w14:textFill>
                  <w14:solidFill>
                    <w14:schemeClr w14:val="tx1">
                      <w14:lumMod w14:val="95000"/>
                      <w14:lumOff w14:val="5000"/>
                    </w14:schemeClr>
                  </w14:solidFill>
                </w14:textFill>
              </w:rPr>
              <w:t>粪便</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91" w:type="dxa"/>
            <w:shd w:val="clear" w:color="auto" w:fill="D8D8D8" w:themeFill="background1" w:themeFillShade="D9"/>
            <w:vAlign w:val="center"/>
          </w:tcPr>
          <w:p>
            <w:pPr>
              <w:adjustRightInd w:val="0"/>
              <w:snapToGrid w:val="0"/>
              <w:jc w:val="center"/>
              <w:rPr>
                <w:rFonts w:ascii="仿宋" w:hAnsi="仿宋" w:eastAsia="仿宋"/>
                <w:b/>
                <w:bCs/>
                <w:color w:val="0D0D0D" w:themeColor="text1" w:themeTint="F2"/>
                <w:sz w:val="22"/>
                <w14:textFill>
                  <w14:solidFill>
                    <w14:schemeClr w14:val="tx1">
                      <w14:lumMod w14:val="95000"/>
                      <w14:lumOff w14:val="5000"/>
                    </w14:schemeClr>
                  </w14:solidFill>
                </w14:textFill>
              </w:rPr>
            </w:pPr>
            <w:r>
              <w:rPr>
                <w:rFonts w:hint="eastAsia" w:ascii="仿宋" w:hAnsi="仿宋" w:eastAsia="仿宋"/>
                <w:b/>
                <w:bCs/>
                <w:color w:val="0D0D0D" w:themeColor="text1" w:themeTint="F2"/>
                <w:sz w:val="22"/>
                <w14:textFill>
                  <w14:solidFill>
                    <w14:schemeClr w14:val="tx1">
                      <w14:lumMod w14:val="95000"/>
                      <w14:lumOff w14:val="5000"/>
                    </w14:schemeClr>
                  </w14:solidFill>
                </w14:textFill>
              </w:rPr>
              <w:t>尿液</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91"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COD</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91" w:type="dxa"/>
            <w:shd w:val="clear" w:color="auto" w:fill="D8D8D8" w:themeFill="background1" w:themeFillShade="D9"/>
            <w:vAlign w:val="center"/>
          </w:tcPr>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w:t>
            </w:r>
          </w:p>
          <w:p>
            <w:pPr>
              <w:adjustRightInd w:val="0"/>
              <w:snapToGrid w:val="0"/>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91"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TN</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c>
          <w:tcPr>
            <w:tcW w:w="1187" w:type="dxa"/>
            <w:shd w:val="clear" w:color="auto" w:fill="D8D8D8" w:themeFill="background1" w:themeFillShade="D9"/>
            <w:vAlign w:val="center"/>
          </w:tcPr>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t>TP</w:t>
            </w:r>
          </w:p>
          <w:p>
            <w:pPr>
              <w:adjustRightInd w:val="0"/>
              <w:snapToGrid w:val="0"/>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a</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317" w:type="dxa"/>
            <w:vMerge w:val="restart"/>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一级保护区</w:t>
            </w:r>
          </w:p>
        </w:tc>
        <w:tc>
          <w:tcPr>
            <w:tcW w:w="1191"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产生量</w:t>
            </w:r>
          </w:p>
        </w:tc>
        <w:tc>
          <w:tcPr>
            <w:tcW w:w="1191"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286.58</w:t>
            </w:r>
          </w:p>
        </w:tc>
        <w:tc>
          <w:tcPr>
            <w:tcW w:w="1191"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410.23</w:t>
            </w:r>
          </w:p>
        </w:tc>
        <w:tc>
          <w:tcPr>
            <w:tcW w:w="1191"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78.506</w:t>
            </w:r>
          </w:p>
        </w:tc>
        <w:tc>
          <w:tcPr>
            <w:tcW w:w="1191"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2.684</w:t>
            </w:r>
          </w:p>
        </w:tc>
        <w:tc>
          <w:tcPr>
            <w:tcW w:w="1191"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3.835</w:t>
            </w:r>
          </w:p>
        </w:tc>
        <w:tc>
          <w:tcPr>
            <w:tcW w:w="1187"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317" w:type="dxa"/>
            <w:vMerge w:val="continue"/>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91" w:type="dxa"/>
            <w:vAlign w:val="center"/>
          </w:tcPr>
          <w:p>
            <w:pPr>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排放量</w:t>
            </w:r>
          </w:p>
        </w:tc>
        <w:tc>
          <w:tcPr>
            <w:tcW w:w="1191"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w:t>
            </w:r>
          </w:p>
        </w:tc>
        <w:tc>
          <w:tcPr>
            <w:tcW w:w="1191"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t>——</w:t>
            </w:r>
          </w:p>
        </w:tc>
        <w:tc>
          <w:tcPr>
            <w:tcW w:w="1191"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9.421</w:t>
            </w:r>
          </w:p>
        </w:tc>
        <w:tc>
          <w:tcPr>
            <w:tcW w:w="1191"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0.322</w:t>
            </w:r>
          </w:p>
        </w:tc>
        <w:tc>
          <w:tcPr>
            <w:tcW w:w="1191"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0.460</w:t>
            </w:r>
          </w:p>
        </w:tc>
        <w:tc>
          <w:tcPr>
            <w:tcW w:w="1187" w:type="dxa"/>
            <w:vAlign w:val="center"/>
          </w:tcPr>
          <w:p>
            <w:pPr>
              <w:adjustRightInd w:val="0"/>
              <w:snapToGrid w:val="0"/>
              <w:jc w:val="center"/>
              <w:rPr>
                <w:rFonts w:ascii="Times New Roman" w:hAnsi="Times New Roman"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0.091</w:t>
            </w:r>
          </w:p>
        </w:tc>
      </w:tr>
    </w:tbl>
    <w:p>
      <w:pPr>
        <w:keepNext/>
        <w:keepLines/>
        <w:spacing w:line="377" w:lineRule="auto"/>
        <w:ind w:firstLine="281" w:firstLineChars="100"/>
        <w:outlineLvl w:val="3"/>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2.5</w:t>
      </w:r>
      <w:r>
        <w:rPr>
          <w:rFonts w:ascii="Times New Roman" w:hAnsi="Times New Roman" w:eastAsia="仿宋" w:cstheme="majorBidi"/>
          <w:b/>
          <w:bCs/>
          <w:color w:val="0D0D0D" w:themeColor="text1" w:themeTint="F2"/>
          <w:sz w:val="28"/>
          <w:szCs w:val="28"/>
          <w14:textFill>
            <w14:solidFill>
              <w14:schemeClr w14:val="tx1">
                <w14:lumMod w14:val="95000"/>
                <w14:lumOff w14:val="5000"/>
              </w14:schemeClr>
            </w14:solidFill>
          </w14:textFill>
        </w:rPr>
        <w:t xml:space="preserve"> 水土流失污染</w:t>
      </w:r>
    </w:p>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（1）水土流失现状测算方法</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目前云南省现有的水土流失现状图为2015年遥测成果，本区划通过对保护区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进行卫星影像解译，</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获取植被覆盖度矢量数据，并结合区域地形坡度矢量数据和土地利用现状矢量数据，根据《土壤侵蚀分类分级标准》（SL190-2007）对径流区内不同地类、不同植被覆盖度和不同坡度进行土壤侵蚀分级，分级依据详见下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.7-9。</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2.7-9</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bookmarkStart w:id="84" w:name="_Hlk527891143"/>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不同地面坡度条件下土壤侵蚀等级</w:t>
      </w:r>
      <w:bookmarkEnd w:id="84"/>
    </w:p>
    <w:tbl>
      <w:tblPr>
        <w:tblStyle w:val="45"/>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6"/>
        <w:gridCol w:w="1307"/>
        <w:gridCol w:w="1108"/>
        <w:gridCol w:w="1112"/>
        <w:gridCol w:w="1309"/>
        <w:gridCol w:w="1480"/>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63" w:type="dxa"/>
            <w:gridSpan w:val="2"/>
            <w:tcBorders>
              <w:bottom w:val="single" w:color="auto" w:sz="4" w:space="0"/>
              <w:tl2br w:val="single" w:color="auto" w:sz="4" w:space="0"/>
            </w:tcBorders>
            <w:shd w:val="clear" w:color="auto" w:fill="D8D8D8" w:themeFill="background1" w:themeFillShade="D9"/>
          </w:tcPr>
          <w:p>
            <w:pPr>
              <w:widowControl/>
              <w:snapToGrid w:val="0"/>
              <w:jc w:val="right"/>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地面坡度(°)</w:t>
            </w:r>
          </w:p>
          <w:p>
            <w:pPr>
              <w:widowControl/>
              <w:snapToGrid w:val="0"/>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地类</w:t>
            </w:r>
          </w:p>
        </w:tc>
        <w:tc>
          <w:tcPr>
            <w:tcW w:w="1108"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~8</w:t>
            </w:r>
          </w:p>
        </w:tc>
        <w:tc>
          <w:tcPr>
            <w:tcW w:w="1112"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8</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~15</w:t>
            </w:r>
          </w:p>
        </w:tc>
        <w:tc>
          <w:tcPr>
            <w:tcW w:w="1309"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5~25</w:t>
            </w:r>
          </w:p>
        </w:tc>
        <w:tc>
          <w:tcPr>
            <w:tcW w:w="1480"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5~35</w:t>
            </w:r>
          </w:p>
        </w:tc>
        <w:tc>
          <w:tcPr>
            <w:tcW w:w="1478" w:type="dxa"/>
            <w:tcBorders>
              <w:bottom w:val="single" w:color="auto" w:sz="4" w:space="0"/>
            </w:tcBorders>
            <w:shd w:val="clear" w:color="auto" w:fill="D8D8D8" w:themeFill="background1" w:themeFillShade="D9"/>
            <w:vAlign w:val="center"/>
          </w:tcPr>
          <w:p>
            <w:pPr>
              <w:widowControl/>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&gt;</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6" w:type="dxa"/>
            <w:vMerge w:val="restart"/>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非耕地</w:t>
            </w:r>
          </w:p>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林草盖度</w:t>
            </w:r>
          </w:p>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0~75</w:t>
            </w:r>
          </w:p>
        </w:tc>
        <w:tc>
          <w:tcPr>
            <w:tcW w:w="3529" w:type="dxa"/>
            <w:gridSpan w:val="3"/>
            <w:tcBorders>
              <w:top w:val="nil"/>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958" w:type="dxa"/>
            <w:gridSpan w:val="2"/>
            <w:tcBorders>
              <w:top w:val="nil"/>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5~60</w:t>
            </w:r>
          </w:p>
        </w:tc>
        <w:tc>
          <w:tcPr>
            <w:tcW w:w="1108" w:type="dxa"/>
            <w:tcBorders>
              <w:top w:val="nil"/>
              <w:left w:val="single" w:color="auto" w:sz="4" w:space="0"/>
              <w:bottom w:val="nil"/>
              <w:right w:val="nil"/>
            </w:tcBorders>
            <w:vAlign w:val="center"/>
          </w:tcPr>
          <w:p>
            <w:pPr>
              <w:widowControl/>
              <w:snapToGrid w:val="0"/>
              <w:jc w:val="righ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轻</w:t>
            </w:r>
          </w:p>
        </w:tc>
        <w:tc>
          <w:tcPr>
            <w:tcW w:w="1112" w:type="dxa"/>
            <w:tcBorders>
              <w:top w:val="nil"/>
              <w:left w:val="nil"/>
              <w:bottom w:val="single" w:color="auto" w:sz="4" w:space="0"/>
              <w:right w:val="single" w:color="auto" w:sz="4" w:space="0"/>
            </w:tcBorders>
            <w:vAlign w:val="center"/>
          </w:tcPr>
          <w:p>
            <w:pPr>
              <w:widowControl/>
              <w:snapToGrid w:val="0"/>
              <w:ind w:firstLine="120" w:firstLineChars="50"/>
              <w:jc w:val="lef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度</w:t>
            </w:r>
          </w:p>
        </w:tc>
        <w:tc>
          <w:tcPr>
            <w:tcW w:w="1309" w:type="dxa"/>
            <w:tcBorders>
              <w:top w:val="single" w:color="auto" w:sz="4" w:space="0"/>
              <w:left w:val="single" w:color="auto" w:sz="4" w:space="0"/>
              <w:bottom w:val="nil"/>
              <w:right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80"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78"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0~45</w:t>
            </w:r>
          </w:p>
        </w:tc>
        <w:tc>
          <w:tcPr>
            <w:tcW w:w="1108" w:type="dxa"/>
            <w:tcBorders>
              <w:top w:val="nil"/>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12" w:type="dxa"/>
            <w:tcBorders>
              <w:top w:val="single" w:color="auto" w:sz="4" w:space="0"/>
              <w:left w:val="single" w:color="auto" w:sz="4" w:space="0"/>
              <w:bottom w:val="nil"/>
              <w:right w:val="nil"/>
            </w:tcBorders>
            <w:vAlign w:val="center"/>
          </w:tcPr>
          <w:p>
            <w:pPr>
              <w:widowControl/>
              <w:snapToGrid w:val="0"/>
              <w:jc w:val="righ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中</w:t>
            </w:r>
          </w:p>
        </w:tc>
        <w:tc>
          <w:tcPr>
            <w:tcW w:w="1309" w:type="dxa"/>
            <w:tcBorders>
              <w:top w:val="nil"/>
              <w:left w:val="nil"/>
              <w:bottom w:val="single" w:color="auto" w:sz="4" w:space="0"/>
              <w:right w:val="single" w:color="auto" w:sz="4" w:space="0"/>
            </w:tcBorders>
            <w:vAlign w:val="center"/>
          </w:tcPr>
          <w:p>
            <w:pPr>
              <w:widowControl/>
              <w:snapToGrid w:val="0"/>
              <w:jc w:val="left"/>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度</w:t>
            </w:r>
          </w:p>
        </w:tc>
        <w:tc>
          <w:tcPr>
            <w:tcW w:w="1480"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c>
          <w:tcPr>
            <w:tcW w:w="1478"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极强烈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856"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7" w:type="dxa"/>
            <w:tcBorders>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&lt;</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30</w:t>
            </w:r>
          </w:p>
        </w:tc>
        <w:tc>
          <w:tcPr>
            <w:tcW w:w="1108" w:type="dxa"/>
            <w:tcBorders>
              <w:top w:val="single" w:color="auto" w:sz="4" w:space="0"/>
              <w:left w:val="single" w:color="auto" w:sz="4" w:space="0"/>
              <w:bottom w:val="single" w:color="auto" w:sz="4" w:space="0"/>
              <w:right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112" w:type="dxa"/>
            <w:tcBorders>
              <w:top w:val="nil"/>
              <w:left w:val="nil"/>
              <w:bottom w:val="single" w:color="auto" w:sz="4" w:space="0"/>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09" w:type="dxa"/>
            <w:vMerge w:val="restart"/>
            <w:tcBorders>
              <w:top w:val="single" w:color="auto" w:sz="4" w:space="0"/>
              <w:left w:val="single" w:color="auto" w:sz="4" w:space="0"/>
              <w:bottom w:val="nil"/>
              <w:right w:val="single" w:color="auto" w:sz="4" w:space="0"/>
            </w:tcBorders>
            <w:vAlign w:val="center"/>
          </w:tcPr>
          <w:p>
            <w:pPr>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强烈</w:t>
            </w:r>
          </w:p>
        </w:tc>
        <w:tc>
          <w:tcPr>
            <w:tcW w:w="1480"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极剧烈</w:t>
            </w:r>
          </w:p>
        </w:tc>
        <w:tc>
          <w:tcPr>
            <w:tcW w:w="1478" w:type="dxa"/>
            <w:vMerge w:val="restart"/>
            <w:tcBorders>
              <w:top w:val="single" w:color="auto" w:sz="4" w:space="0"/>
              <w:left w:val="single" w:color="auto" w:sz="4" w:space="0"/>
              <w:bottom w:val="nil"/>
              <w:right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剧烈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63" w:type="dxa"/>
            <w:gridSpan w:val="2"/>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坡耕地</w:t>
            </w:r>
          </w:p>
        </w:tc>
        <w:tc>
          <w:tcPr>
            <w:tcW w:w="1108" w:type="dxa"/>
            <w:tcBorders>
              <w:top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轻度</w:t>
            </w:r>
          </w:p>
        </w:tc>
        <w:tc>
          <w:tcPr>
            <w:tcW w:w="1112" w:type="dxa"/>
            <w:tcBorders>
              <w:top w:val="single" w:color="auto" w:sz="4" w:space="0"/>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中度</w:t>
            </w:r>
          </w:p>
        </w:tc>
        <w:tc>
          <w:tcPr>
            <w:tcW w:w="1309"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80"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78" w:type="dxa"/>
            <w:vMerge w:val="continue"/>
            <w:tcBorders>
              <w:top w:val="nil"/>
            </w:tcBorders>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利用GIS技术，对保护区范围进行土壤侵蚀分级后，结合富源县土壤侵蚀情况，确定各侵蚀强度、坡度和地类情景下的土壤侵蚀模数，从而计算吉克水库的平均侵蚀模数和年均土壤流失量。区域土壤侵蚀模数分级见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.7-10。</w:t>
      </w:r>
    </w:p>
    <w:p>
      <w:pPr>
        <w:adjustRightInd w:val="0"/>
        <w:snapToGrid w:val="0"/>
        <w:spacing w:line="400" w:lineRule="exac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表2.</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10</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不同土壤侵蚀等级的土壤侵蚀模数</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7"/>
        <w:gridCol w:w="1280"/>
        <w:gridCol w:w="1280"/>
        <w:gridCol w:w="1458"/>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2527"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土地利用类型</w:t>
            </w:r>
          </w:p>
        </w:tc>
        <w:tc>
          <w:tcPr>
            <w:tcW w:w="1280"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坡度</w:t>
            </w:r>
          </w:p>
        </w:tc>
        <w:tc>
          <w:tcPr>
            <w:tcW w:w="1280"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土壤侵蚀等级</w:t>
            </w:r>
          </w:p>
        </w:tc>
        <w:tc>
          <w:tcPr>
            <w:tcW w:w="1458"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土壤侵蚀模数</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w:t>
            </w:r>
          </w:p>
        </w:tc>
        <w:tc>
          <w:tcPr>
            <w:tcW w:w="3105"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取值依据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有林地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灌木林地</w:t>
            </w:r>
          </w:p>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疏林地</w:t>
            </w:r>
          </w:p>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果园</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林草覆盖度60~75%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荒草地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林草覆盖度45~60%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5~15°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15°~35°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强烈</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旱地（坡）</w:t>
            </w:r>
          </w:p>
          <w:p>
            <w:pPr>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独立工可用地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5~8°</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轻度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left"/>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中度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vMerge w:val="continue"/>
            <w:shd w:val="clear" w:color="auto" w:fill="auto"/>
            <w:vAlign w:val="center"/>
          </w:tcPr>
          <w:p>
            <w:pPr>
              <w:widowControl/>
              <w:jc w:val="left"/>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强烈</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6000</w:t>
            </w:r>
          </w:p>
        </w:tc>
        <w:tc>
          <w:tcPr>
            <w:tcW w:w="3105" w:type="dxa"/>
            <w:vMerge w:val="continue"/>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灌溉水田梯坪地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微度</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林草覆盖度一般＜30%，坡度一般小于5°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shd w:val="clear" w:color="auto" w:fill="auto"/>
            <w:vAlign w:val="center"/>
          </w:tcPr>
          <w:p>
            <w:pPr>
              <w:widowControl/>
              <w:ind w:left="-141" w:leftChars="-67" w:right="-101" w:rightChars="-48"/>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水域及水利设施用地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527"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村镇建设用地</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280"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58"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w:t>
            </w:r>
          </w:p>
        </w:tc>
        <w:tc>
          <w:tcPr>
            <w:tcW w:w="3105"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r>
    </w:tbl>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（2）吉克水库</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范围内水土流失现状</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根据解译成果，</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吉克水库</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范围总面积</w:t>
      </w:r>
      <w:bookmarkStart w:id="85" w:name="_Hlk20347912"/>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332.72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 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bookmarkEnd w:id="85"/>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，其中无明显侵蚀面积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53.06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15.95</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279.67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84.05</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%，其中轻度侵蚀面积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222.74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79.65</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中度侵蚀面积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45.85h</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16.40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强烈侵蚀面积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10.90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3.90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极强烈侵蚀面积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0.17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h</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，占水土流失面积的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0.06</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采用加权平均法计算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平均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土壤侵蚀模数为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1011.98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t/（km</w:t>
      </w:r>
      <w:r>
        <w:rPr>
          <w:rFonts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•a），年均土壤流失量约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 xml:space="preserve">3367.10 </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t/a。</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2.7-11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吉克水库保护区范围内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土壤侵蚀现状统计表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851"/>
        <w:gridCol w:w="1276"/>
        <w:gridCol w:w="1843"/>
        <w:gridCol w:w="1558"/>
        <w:gridCol w:w="1561"/>
        <w:gridCol w:w="1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trPr>
        <w:tc>
          <w:tcPr>
            <w:tcW w:w="4786" w:type="dxa"/>
            <w:gridSpan w:val="4"/>
            <w:vMerge w:val="restart"/>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水源地</w:t>
            </w:r>
          </w:p>
        </w:tc>
        <w:tc>
          <w:tcPr>
            <w:tcW w:w="4864" w:type="dxa"/>
            <w:gridSpan w:val="3"/>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吉克水库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trPr>
        <w:tc>
          <w:tcPr>
            <w:tcW w:w="4786" w:type="dxa"/>
            <w:gridSpan w:val="4"/>
            <w:vMerge w:val="continue"/>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一级保护区</w:t>
            </w:r>
          </w:p>
        </w:tc>
        <w:tc>
          <w:tcPr>
            <w:tcW w:w="1561"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二级保护区</w:t>
            </w:r>
          </w:p>
        </w:tc>
        <w:tc>
          <w:tcPr>
            <w:tcW w:w="1745"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786"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总面积（</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h</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69.72</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209.95</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943" w:type="dxa"/>
            <w:gridSpan w:val="3"/>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无明显侵蚀</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20.00</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33.06</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53.06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943" w:type="dxa"/>
            <w:gridSpan w:val="3"/>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占区域面积%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22.29</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13.60</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土壤侵蚀</w:t>
            </w:r>
          </w:p>
        </w:tc>
        <w:tc>
          <w:tcPr>
            <w:tcW w:w="2127" w:type="dxa"/>
            <w:gridSpan w:val="2"/>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总体情况</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69.72</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209.95</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279.67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2127" w:type="dxa"/>
            <w:gridSpan w:val="2"/>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占区域面积%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77.71</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86.40</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强度分级</w:t>
            </w:r>
          </w:p>
        </w:tc>
        <w:tc>
          <w:tcPr>
            <w:tcW w:w="127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轻度流失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44.91</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177.84</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222.74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64.41</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84.70</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中度流失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17.66</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28.19</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45.85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25.34</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13.43</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restart"/>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强烈流失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6.97</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3.92</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10.00</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1.87</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restart"/>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极</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强烈流失</w:t>
            </w: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面积（hm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0.17</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81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851"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6" w:type="dxa"/>
            <w:vMerge w:val="continue"/>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843"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占流失面积%</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0.25</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786"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平均土壤侵蚀模数（t/km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·a）</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1487.56</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836.39</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1011.98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4786" w:type="dxa"/>
            <w:gridSpan w:val="4"/>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年均土壤流失量（t/a）</w:t>
            </w:r>
          </w:p>
        </w:tc>
        <w:tc>
          <w:tcPr>
            <w:tcW w:w="1558" w:type="dxa"/>
            <w:shd w:val="clear" w:color="auto" w:fill="auto"/>
            <w:noWrap/>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1334.60</w:t>
            </w:r>
          </w:p>
        </w:tc>
        <w:tc>
          <w:tcPr>
            <w:tcW w:w="1561"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2032.49</w:t>
            </w:r>
          </w:p>
        </w:tc>
        <w:tc>
          <w:tcPr>
            <w:tcW w:w="1745" w:type="dxa"/>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3367.10</w:t>
            </w:r>
          </w:p>
        </w:tc>
      </w:tr>
    </w:tbl>
    <w:p>
      <w:pPr>
        <w:adjustRightInd w:val="0"/>
        <w:snapToGrid w:val="0"/>
        <w:spacing w:line="360" w:lineRule="auto"/>
        <w:ind w:firstLine="562" w:firstLineChars="200"/>
        <w:rPr>
          <w:rFonts w:ascii="Times New Roman" w:hAnsi="Times New Roman" w:eastAsia="仿宋"/>
          <w:b/>
          <w:bCs/>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8"/>
          <w:szCs w:val="28"/>
          <w14:textFill>
            <w14:solidFill>
              <w14:schemeClr w14:val="tx1">
                <w14:lumMod w14:val="95000"/>
                <w14:lumOff w14:val="5000"/>
              </w14:schemeClr>
            </w14:solidFill>
          </w14:textFill>
        </w:rPr>
        <w:t>（3）水土流失污染物入库量</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吉克水库保护区内水土流失现状，对保护区范围内的土壤氮磷含量进行综合分析，流失土壤中总氮含量取1.32g/kg，总磷含量取19.30mg/kg，化学需氧量含量取2.13%，按照20%的淋溶率计算水土流失污染物入库量。吉克水库保护区范围内水土流失污染物入库量，如下表2.7-12。</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2.7-12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吉克水库</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水土流失入库量估算</w:t>
      </w:r>
    </w:p>
    <w:tbl>
      <w:tblPr>
        <w:tblStyle w:val="44"/>
        <w:tblW w:w="9650" w:type="dxa"/>
        <w:tblInd w:w="0" w:type="dxa"/>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
      <w:tblGrid>
        <w:gridCol w:w="1790"/>
        <w:gridCol w:w="2044"/>
        <w:gridCol w:w="1922"/>
        <w:gridCol w:w="1343"/>
        <w:gridCol w:w="1343"/>
        <w:gridCol w:w="1208"/>
      </w:tblGrid>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blHeader/>
        </w:trPr>
        <w:tc>
          <w:tcPr>
            <w:tcW w:w="1790"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保护区</w:t>
            </w:r>
          </w:p>
        </w:tc>
        <w:tc>
          <w:tcPr>
            <w:tcW w:w="2044"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平均土壤侵蚀模数（t/km</w:t>
            </w:r>
            <w:r>
              <w:rPr>
                <w:rFonts w:ascii="Times New Roman" w:hAnsi="Times New Roman" w:eastAsia="仿宋" w:cs="Times New Roman"/>
                <w:b/>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·a）</w:t>
            </w:r>
          </w:p>
        </w:tc>
        <w:tc>
          <w:tcPr>
            <w:tcW w:w="1922"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年均土壤流失量（t/a）</w:t>
            </w:r>
          </w:p>
        </w:tc>
        <w:tc>
          <w:tcPr>
            <w:tcW w:w="1343"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COD</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c>
          <w:tcPr>
            <w:tcW w:w="1343"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TN</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c>
          <w:tcPr>
            <w:tcW w:w="1208" w:type="dxa"/>
            <w:shd w:val="clear" w:color="auto" w:fill="D8D8D8" w:themeFill="background1" w:themeFillShade="D9"/>
            <w:vAlign w:val="center"/>
          </w:tcPr>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TP</w:t>
            </w:r>
          </w:p>
          <w:p>
            <w:pPr>
              <w:widowControl/>
              <w:adjustRightInd w:val="0"/>
              <w:snapToGrid w:val="0"/>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（t/a）</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一级保护区</w:t>
            </w:r>
          </w:p>
        </w:tc>
        <w:tc>
          <w:tcPr>
            <w:tcW w:w="2044"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1487.56</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1334.60</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5.685</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0.352</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0.005</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二级保护区</w:t>
            </w:r>
          </w:p>
        </w:tc>
        <w:tc>
          <w:tcPr>
            <w:tcW w:w="2044"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836.39</w:t>
            </w:r>
          </w:p>
        </w:tc>
        <w:tc>
          <w:tcPr>
            <w:tcW w:w="1922"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2032.49</w:t>
            </w:r>
          </w:p>
        </w:tc>
        <w:tc>
          <w:tcPr>
            <w:tcW w:w="1343" w:type="dxa"/>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8.658</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0.537</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0.008</w:t>
            </w:r>
          </w:p>
        </w:tc>
      </w:tr>
      <w:tr>
        <w:tblPrEx>
          <w:tblBorders>
            <w:top w:val="single" w:color="231F20" w:sz="4" w:space="0"/>
            <w:left w:val="single" w:color="231F20" w:sz="4" w:space="0"/>
            <w:bottom w:val="single" w:color="231F20" w:sz="4" w:space="0"/>
            <w:right w:val="single" w:color="231F20" w:sz="4" w:space="0"/>
            <w:insideH w:val="single" w:color="231F20" w:sz="6" w:space="0"/>
            <w:insideV w:val="single" w:color="231F20" w:sz="6" w:space="0"/>
          </w:tblBorders>
          <w:tblLayout w:type="fixed"/>
          <w:tblCellMar>
            <w:top w:w="0" w:type="dxa"/>
            <w:left w:w="108" w:type="dxa"/>
            <w:bottom w:w="0" w:type="dxa"/>
            <w:right w:w="108" w:type="dxa"/>
          </w:tblCellMar>
        </w:tblPrEx>
        <w:trPr>
          <w:trHeight w:val="284" w:hRule="atLeast"/>
        </w:trPr>
        <w:tc>
          <w:tcPr>
            <w:tcW w:w="1790" w:type="dxa"/>
            <w:shd w:val="clear" w:color="auto" w:fill="auto"/>
            <w:vAlign w:val="center"/>
          </w:tcPr>
          <w:p>
            <w:pPr>
              <w:widowControl/>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2044" w:type="dxa"/>
            <w:vAlign w:val="center"/>
          </w:tcPr>
          <w:p>
            <w:pPr>
              <w:jc w:val="center"/>
              <w:rPr>
                <w:rFonts w:ascii="Times New Roman" w:hAnsi="Times New Roman" w:eastAsia="宋体"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1011.98</w:t>
            </w:r>
          </w:p>
        </w:tc>
        <w:tc>
          <w:tcPr>
            <w:tcW w:w="1922" w:type="dxa"/>
            <w:shd w:val="clear" w:color="auto" w:fill="auto"/>
            <w:vAlign w:val="center"/>
          </w:tcPr>
          <w:p>
            <w:pPr>
              <w:jc w:val="center"/>
              <w:rPr>
                <w:rFonts w:ascii="Times New Roman" w:hAnsi="Times New Roman" w:eastAsia="宋体"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t>3367.10</w:t>
            </w:r>
          </w:p>
        </w:tc>
        <w:tc>
          <w:tcPr>
            <w:tcW w:w="1343" w:type="dxa"/>
            <w:vAlign w:val="center"/>
          </w:tcPr>
          <w:p>
            <w:pPr>
              <w:jc w:val="center"/>
              <w:rPr>
                <w:rFonts w:ascii="Times New Roman" w:hAnsi="Times New Roman" w:eastAsia="宋体"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14.344</w:t>
            </w:r>
          </w:p>
        </w:tc>
        <w:tc>
          <w:tcPr>
            <w:tcW w:w="134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0.889</w:t>
            </w:r>
          </w:p>
        </w:tc>
        <w:tc>
          <w:tcPr>
            <w:tcW w:w="1208"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0.013</w:t>
            </w:r>
          </w:p>
        </w:tc>
      </w:tr>
    </w:tbl>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86" w:name="_Toc18506528"/>
      <w:bookmarkStart w:id="87" w:name="_Toc25679063"/>
      <w:bookmarkStart w:id="88" w:name="_Toc27509927"/>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bookmarkEnd w:id="86"/>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流动源</w:t>
      </w:r>
      <w:bookmarkEnd w:id="87"/>
      <w:bookmarkEnd w:id="88"/>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乡道Y204及连接上吉克村等各自然村道路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。其中，一级保护内乡道Y204穿越路段长约0.89km；二级保护区内乡道Y204穿越路段长约0.08km，二级保护区内其他乡村道路约0.84km。经调查访谈，保护区内道路</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未发现有运输危险化学品的车辆通行；由于所在地周边无大型种植户，农民使用农药多为零售、小剂量包装，运输车辆携带农药并破损泼洒至水体的概率很小，主要考虑机动车事故泄漏燃油风险。</w:t>
      </w:r>
    </w:p>
    <w:bookmarkEnd w:id="77"/>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89" w:name="_Toc25679064"/>
      <w:bookmarkStart w:id="90" w:name="_Toc18506529"/>
      <w:bookmarkStart w:id="91" w:name="_Toc27509928"/>
      <w:bookmarkStart w:id="92" w:name="_Toc12621594"/>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7</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4</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污染源汇总</w:t>
      </w:r>
      <w:bookmarkEnd w:id="89"/>
      <w:bookmarkEnd w:id="90"/>
      <w:bookmarkEnd w:id="91"/>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综合以上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统计分析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，吉克水库各级保护区内各类污染源情况见表2.7-13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从各级保护区分析，一级保护区内化学需氧量、氨氮、总氮、总磷排放量占比较大，在50%以上。二级保护区内各类污染物排放量在14.11%~45.68%之间。</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从各污染源分析，在一级保护区，化学需氧量主要污染源是畜禽养殖、水土流失，贡献率分别达到</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51.87%、31.30%；氨氮主要污染源是畜禽养殖，贡献率为80.40%；总氮主要污染源是畜禽养殖、水土流失，贡献率分别达到38.73%、29.65%；总磷主要污染源是畜禽养殖，贡献率为54.55%</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二级保护区内主要为农业种植及水土流失污染，化学需氧量主要污染源是水土流失，贡献率为94.51%；氨氮主要污染源是农业种植，贡献率为100%；总氮主要污染源是水土流失、农业种植，贡献率分别达到53.71%、46.29%；总磷主要污染源是农业种植，贡献率为84.55%。</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综上分析，吉克水库保护区范围内水污染防治重点为种养殖、水土流失，</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其次是农村生活污染源。</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2.7-13</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吉克水库保护区范围内</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污染源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汇总</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974"/>
        <w:gridCol w:w="1793"/>
        <w:gridCol w:w="1764"/>
        <w:gridCol w:w="1368"/>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blHeader/>
        </w:trPr>
        <w:tc>
          <w:tcPr>
            <w:tcW w:w="1417"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w:t>
            </w:r>
          </w:p>
        </w:tc>
        <w:tc>
          <w:tcPr>
            <w:tcW w:w="197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污染源构成</w:t>
            </w:r>
          </w:p>
        </w:tc>
        <w:tc>
          <w:tcPr>
            <w:tcW w:w="1793"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COD（t/a）</w:t>
            </w:r>
          </w:p>
        </w:tc>
        <w:tc>
          <w:tcPr>
            <w:tcW w:w="176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NH</w:t>
            </w:r>
            <w:r>
              <w:rPr>
                <w:rFonts w:ascii="Times New Roman" w:hAnsi="Times New Roman" w:eastAsia="仿宋" w:cs="Times New Roman"/>
                <w:b/>
                <w:color w:val="0D0D0D" w:themeColor="text1" w:themeTint="F2"/>
                <w:kern w:val="0"/>
                <w:sz w:val="24"/>
                <w:szCs w:val="24"/>
                <w:vertAlign w:val="subscript"/>
                <w14:textFill>
                  <w14:solidFill>
                    <w14:schemeClr w14:val="tx1">
                      <w14:lumMod w14:val="95000"/>
                      <w14:lumOff w14:val="5000"/>
                    </w14:schemeClr>
                  </w14:solidFill>
                </w14:textFill>
              </w:rPr>
              <w:t>3</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-N（t/a）</w:t>
            </w:r>
          </w:p>
        </w:tc>
        <w:tc>
          <w:tcPr>
            <w:tcW w:w="1368"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TN（t/a）</w:t>
            </w:r>
          </w:p>
        </w:tc>
        <w:tc>
          <w:tcPr>
            <w:tcW w:w="1334" w:type="dxa"/>
            <w:shd w:val="clear" w:color="auto" w:fill="D8D8D8" w:themeFill="background1" w:themeFillShade="D9"/>
            <w:noWrap/>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TP（t/a）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一级保护区</w:t>
            </w: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农村生活污水</w:t>
            </w:r>
          </w:p>
        </w:tc>
        <w:tc>
          <w:tcPr>
            <w:tcW w:w="1793"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1.444</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0.006</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0.029</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农村生活垃圾</w:t>
            </w:r>
          </w:p>
        </w:tc>
        <w:tc>
          <w:tcPr>
            <w:tcW w:w="1793"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1.159</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0.034</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0.058</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793"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0.453</w:t>
            </w:r>
          </w:p>
        </w:tc>
        <w:tc>
          <w:tcPr>
            <w:tcW w:w="1764"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0.038</w:t>
            </w:r>
          </w:p>
        </w:tc>
        <w:tc>
          <w:tcPr>
            <w:tcW w:w="1368"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0.288</w:t>
            </w:r>
          </w:p>
        </w:tc>
        <w:tc>
          <w:tcPr>
            <w:tcW w:w="1334"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畜禽养殖</w:t>
            </w:r>
          </w:p>
        </w:tc>
        <w:tc>
          <w:tcPr>
            <w:tcW w:w="1793"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9.421</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0.322</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0.460</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793"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5.685</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0.352</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18.162</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0.401</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1.188</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二级保护区</w:t>
            </w: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793"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0.503</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0.066</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0.463</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793" w:type="dxa"/>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8.658</w:t>
            </w:r>
          </w:p>
        </w:tc>
        <w:tc>
          <w:tcPr>
            <w:tcW w:w="176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368"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0.537</w:t>
            </w:r>
          </w:p>
        </w:tc>
        <w:tc>
          <w:tcPr>
            <w:tcW w:w="1334" w:type="dxa"/>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9.162</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0.066</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0.999</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restart"/>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保护区</w:t>
            </w: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农村生活污水</w:t>
            </w:r>
          </w:p>
        </w:tc>
        <w:tc>
          <w:tcPr>
            <w:tcW w:w="1793"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1.444</w:t>
            </w:r>
          </w:p>
        </w:tc>
        <w:tc>
          <w:tcPr>
            <w:tcW w:w="176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0.006</w:t>
            </w:r>
          </w:p>
        </w:tc>
        <w:tc>
          <w:tcPr>
            <w:tcW w:w="1368"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0.029</w:t>
            </w:r>
          </w:p>
        </w:tc>
        <w:tc>
          <w:tcPr>
            <w:tcW w:w="133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农村生活垃圾</w:t>
            </w:r>
          </w:p>
        </w:tc>
        <w:tc>
          <w:tcPr>
            <w:tcW w:w="1793"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1.159</w:t>
            </w:r>
          </w:p>
        </w:tc>
        <w:tc>
          <w:tcPr>
            <w:tcW w:w="176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0.034</w:t>
            </w:r>
          </w:p>
        </w:tc>
        <w:tc>
          <w:tcPr>
            <w:tcW w:w="1368"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0.058</w:t>
            </w:r>
          </w:p>
        </w:tc>
        <w:tc>
          <w:tcPr>
            <w:tcW w:w="133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农业种植</w:t>
            </w:r>
          </w:p>
        </w:tc>
        <w:tc>
          <w:tcPr>
            <w:tcW w:w="1793"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0.957</w:t>
            </w:r>
          </w:p>
        </w:tc>
        <w:tc>
          <w:tcPr>
            <w:tcW w:w="1764" w:type="dxa"/>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0.104</w:t>
            </w:r>
          </w:p>
        </w:tc>
        <w:tc>
          <w:tcPr>
            <w:tcW w:w="1368" w:type="dxa"/>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0.751</w:t>
            </w:r>
          </w:p>
        </w:tc>
        <w:tc>
          <w:tcPr>
            <w:tcW w:w="1334" w:type="dxa"/>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畜禽养殖</w:t>
            </w:r>
          </w:p>
        </w:tc>
        <w:tc>
          <w:tcPr>
            <w:tcW w:w="1793"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9.421</w:t>
            </w:r>
          </w:p>
        </w:tc>
        <w:tc>
          <w:tcPr>
            <w:tcW w:w="176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0.322</w:t>
            </w:r>
          </w:p>
        </w:tc>
        <w:tc>
          <w:tcPr>
            <w:tcW w:w="1368"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0.460</w:t>
            </w:r>
          </w:p>
        </w:tc>
        <w:tc>
          <w:tcPr>
            <w:tcW w:w="133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水土流失</w:t>
            </w:r>
          </w:p>
        </w:tc>
        <w:tc>
          <w:tcPr>
            <w:tcW w:w="1793" w:type="dxa"/>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14.344</w:t>
            </w:r>
          </w:p>
        </w:tc>
        <w:tc>
          <w:tcPr>
            <w:tcW w:w="176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w:t>
            </w:r>
          </w:p>
        </w:tc>
        <w:tc>
          <w:tcPr>
            <w:tcW w:w="1368"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0.889</w:t>
            </w:r>
          </w:p>
        </w:tc>
        <w:tc>
          <w:tcPr>
            <w:tcW w:w="1334" w:type="dxa"/>
            <w:shd w:val="clear" w:color="auto" w:fill="auto"/>
            <w:noWrap/>
            <w:vAlign w:val="center"/>
          </w:tcPr>
          <w:p>
            <w:pPr>
              <w:widowControl/>
              <w:jc w:val="center"/>
              <w:rPr>
                <w:rFonts w:ascii="Times New Roman" w:hAnsi="Times New Roman"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7" w:type="dxa"/>
            <w:vMerge w:val="continue"/>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p>
        </w:tc>
        <w:tc>
          <w:tcPr>
            <w:tcW w:w="1974" w:type="dxa"/>
            <w:shd w:val="clear" w:color="auto" w:fill="auto"/>
            <w:noWrap/>
            <w:vAlign w:val="center"/>
          </w:tcPr>
          <w:p>
            <w:pPr>
              <w:widowControl/>
              <w:jc w:val="cente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kern w:val="0"/>
                <w:sz w:val="24"/>
                <w:szCs w:val="24"/>
                <w14:textFill>
                  <w14:solidFill>
                    <w14:schemeClr w14:val="tx1">
                      <w14:lumMod w14:val="95000"/>
                      <w14:lumOff w14:val="5000"/>
                    </w14:schemeClr>
                  </w14:solidFill>
                </w14:textFill>
              </w:rPr>
              <w:t>小计</w:t>
            </w:r>
          </w:p>
        </w:tc>
        <w:tc>
          <w:tcPr>
            <w:tcW w:w="1793"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27.324</w:t>
            </w:r>
          </w:p>
        </w:tc>
        <w:tc>
          <w:tcPr>
            <w:tcW w:w="176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0.466</w:t>
            </w:r>
          </w:p>
        </w:tc>
        <w:tc>
          <w:tcPr>
            <w:tcW w:w="1368"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2.187</w:t>
            </w:r>
          </w:p>
        </w:tc>
        <w:tc>
          <w:tcPr>
            <w:tcW w:w="1334" w:type="dxa"/>
            <w:tcBorders>
              <w:top w:val="nil"/>
              <w:left w:val="nil"/>
              <w:bottom w:val="single" w:color="auto" w:sz="8" w:space="0"/>
              <w:right w:val="single" w:color="auto" w:sz="8" w:space="0"/>
            </w:tcBorders>
            <w:shd w:val="clear" w:color="auto" w:fill="auto"/>
            <w:noWrap/>
            <w:vAlign w:val="center"/>
          </w:tcPr>
          <w:p>
            <w:pPr>
              <w:widowControl/>
              <w:jc w:val="center"/>
              <w:rPr>
                <w:rFonts w:ascii="Times New Roman" w:hAnsi="Times New Roman" w:eastAsia="仿宋" w:cs="Times New Roman"/>
                <w:bCs/>
                <w:color w:val="0D0D0D" w:themeColor="text1" w:themeTint="F2"/>
                <w:sz w:val="24"/>
                <w:szCs w:val="24"/>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t>0.218</w:t>
            </w:r>
          </w:p>
        </w:tc>
      </w:tr>
    </w:tbl>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552950" cy="2819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552950" cy="2819400"/>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吉克水库各级保护区污染物贡献率分布图</w:t>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414520" cy="2735580"/>
            <wp:effectExtent l="0" t="0" r="508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414698" cy="2736000"/>
                    </a:xfrm>
                    <a:prstGeom prst="rect">
                      <a:avLst/>
                    </a:prstGeom>
                    <a:noFill/>
                    <a:ln>
                      <a:noFill/>
                    </a:ln>
                  </pic:spPr>
                </pic:pic>
              </a:graphicData>
            </a:graphic>
          </wp:inline>
        </w:drawing>
      </w:r>
      <w:r>
        <w:rPr>
          <w:color w:val="0D0D0D" w:themeColor="text1" w:themeTint="F2"/>
          <w14:textFill>
            <w14:solidFill>
              <w14:schemeClr w14:val="tx1">
                <w14:lumMod w14:val="95000"/>
                <w14:lumOff w14:val="5000"/>
              </w14:schemeClr>
            </w14:solidFill>
          </w14:textFill>
        </w:rPr>
        <w:t xml:space="preserve"> </w:t>
      </w:r>
      <w:r>
        <w:rPr>
          <w:color w:val="0D0D0D" w:themeColor="text1" w:themeTint="F2"/>
          <w14:textFill>
            <w14:solidFill>
              <w14:schemeClr w14:val="tx1">
                <w14:lumMod w14:val="95000"/>
                <w14:lumOff w14:val="5000"/>
              </w14:schemeClr>
            </w14:solidFill>
          </w14:textFill>
        </w:rPr>
        <w:drawing>
          <wp:inline distT="0" distB="0" distL="0" distR="0">
            <wp:extent cx="4414520" cy="2735580"/>
            <wp:effectExtent l="0" t="0" r="508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414698" cy="2736000"/>
                    </a:xfrm>
                    <a:prstGeom prst="rect">
                      <a:avLst/>
                    </a:prstGeom>
                    <a:noFill/>
                    <a:ln>
                      <a:noFill/>
                    </a:ln>
                  </pic:spPr>
                </pic:pic>
              </a:graphicData>
            </a:graphic>
          </wp:inline>
        </w:drawing>
      </w:r>
    </w:p>
    <w:p>
      <w:pPr>
        <w:adjustRightInd w:val="0"/>
        <w:snapToGrid w:val="0"/>
        <w:spacing w:line="360" w:lineRule="auto"/>
        <w:jc w:val="center"/>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drawing>
          <wp:inline distT="0" distB="0" distL="0" distR="0">
            <wp:extent cx="4414520" cy="2735580"/>
            <wp:effectExtent l="0" t="0" r="508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414698" cy="2736000"/>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图2.7-2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吉克水库各级保护区内各</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污染源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贡献率</w:t>
      </w:r>
    </w:p>
    <w:p>
      <w:pPr>
        <w:keepNext/>
        <w:keepLines/>
        <w:spacing w:before="340" w:after="330" w:line="578" w:lineRule="auto"/>
        <w:jc w:val="center"/>
        <w:outlineLvl w:val="0"/>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93" w:name="_Toc25679065"/>
      <w:bookmarkStart w:id="94" w:name="_Toc27509929"/>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2.8 饮用水水源地水环境风险分析</w:t>
      </w:r>
      <w:bookmarkEnd w:id="93"/>
      <w:bookmarkEnd w:id="94"/>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照《集中式饮用水水源环境保护指南（试行）》要求，采用风险值定性评价方法评价吉克水库饮用水水源地的环境风险。根据风险源所在保护区的影响程度和影响范围，按照固定源、流动源和非点源分别对水源存在的风险进行源项分析及评价。计算方法如下：</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固定源：Rp=P1+P2+P3；流动源：Rf=F1+F2+F3；非点源：Ry=Y1+Y2+Y3；</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式中：P、F、Y分别为固定源、流动源、非点源的评分值。</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一般来说，当Rp（或Rf、Ry）≤3时，作为可接受程度的背景值；当3＜Rp（或Rf、Ry）≤7时，应采取风险防范措施；当7＜Rp（或Rf、Ry）≤9时，应采取风险预警措施；当Rp（或Rf、Ry）＞9时，应采取风险应急措施。</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评价方法根据风险源指标及评分值，按照评分值叠加法对饮用水水源保护区内风险源进行定性评价，评价结果见表2.8-1。</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2.8-1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吉克水库饮用水水源地环境风险评价结果</w:t>
      </w:r>
    </w:p>
    <w:tbl>
      <w:tblPr>
        <w:tblStyle w:val="45"/>
        <w:tblW w:w="96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00"/>
        <w:gridCol w:w="2274"/>
        <w:gridCol w:w="1436"/>
        <w:gridCol w:w="1213"/>
        <w:gridCol w:w="1215"/>
        <w:gridCol w:w="1219"/>
        <w:gridCol w:w="109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1200"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源</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项</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类型</w:t>
            </w:r>
          </w:p>
        </w:tc>
        <w:tc>
          <w:tcPr>
            <w:tcW w:w="2274"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风险源</w:t>
            </w:r>
          </w:p>
        </w:tc>
        <w:tc>
          <w:tcPr>
            <w:tcW w:w="2649"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一级保护区</w:t>
            </w:r>
          </w:p>
        </w:tc>
        <w:tc>
          <w:tcPr>
            <w:tcW w:w="2434" w:type="dxa"/>
            <w:gridSpan w:val="2"/>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二级</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保护区</w:t>
            </w:r>
          </w:p>
        </w:tc>
        <w:tc>
          <w:tcPr>
            <w:tcW w:w="1093" w:type="dxa"/>
            <w:vMerge w:val="restart"/>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总分值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blHeader/>
        </w:trPr>
        <w:tc>
          <w:tcPr>
            <w:tcW w:w="1200"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74"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436" w:type="dxa"/>
            <w:tcBorders>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1213" w:type="dxa"/>
            <w:tcBorders>
              <w:lef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1215" w:type="dxa"/>
            <w:tcBorders>
              <w:righ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指标值</w:t>
            </w:r>
          </w:p>
        </w:tc>
        <w:tc>
          <w:tcPr>
            <w:tcW w:w="1219" w:type="dxa"/>
            <w:tcBorders>
              <w:left w:val="single" w:color="auto" w:sz="4" w:space="0"/>
            </w:tcBorders>
            <w:shd w:val="clear" w:color="auto" w:fill="D8D8D8" w:themeFill="background1" w:themeFillShade="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得分值</w:t>
            </w:r>
          </w:p>
        </w:tc>
        <w:tc>
          <w:tcPr>
            <w:tcW w:w="1093" w:type="dxa"/>
            <w:vMerge w:val="continue"/>
            <w:shd w:val="clear" w:color="auto" w:fill="D8D8D8" w:themeFill="background1" w:themeFillShade="D9"/>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200"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固定源（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Rp</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27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石油</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化工行业（</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个</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1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1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1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20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7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垃圾</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填埋场（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1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1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1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20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7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危险</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废弃物填埋场（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1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1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1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20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7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尾矿库</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1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1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1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20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7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加油站</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1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1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1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20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7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油品</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储罐（</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1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1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1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20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7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码头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吞吐量（</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万吨/年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1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1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1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20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7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污/废水</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处理设施（</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万吨/日</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1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1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1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200"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流动源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Rf</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w:t>
            </w:r>
          </w:p>
        </w:tc>
        <w:tc>
          <w:tcPr>
            <w:tcW w:w="227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陆运</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L＞2r</w:t>
            </w:r>
            <w:r>
              <w:rPr>
                <w:rFonts w:hint="eastAsia"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d</w:t>
            </w:r>
          </w:p>
        </w:tc>
        <w:tc>
          <w:tcPr>
            <w:tcW w:w="1213" w:type="dxa"/>
            <w:tcBorders>
              <w:bottom w:val="single" w:color="auto" w:sz="4" w:space="0"/>
            </w:tcBorders>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121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L&lt;r</w:t>
            </w:r>
            <w:r>
              <w:rPr>
                <w:rFonts w:ascii="Times New Roman" w:hAnsi="Times New Roman" w:eastAsia="仿宋"/>
                <w:color w:val="0D0D0D" w:themeColor="text1" w:themeTint="F2"/>
                <w:sz w:val="24"/>
                <w:szCs w:val="24"/>
                <w:vertAlign w:val="subscript"/>
                <w14:textFill>
                  <w14:solidFill>
                    <w14:schemeClr w14:val="tx1">
                      <w14:lumMod w14:val="95000"/>
                      <w14:lumOff w14:val="5000"/>
                    </w14:schemeClr>
                  </w14:solidFill>
                </w14:textFill>
              </w:rPr>
              <w:t>d</w:t>
            </w:r>
          </w:p>
        </w:tc>
        <w:tc>
          <w:tcPr>
            <w:tcW w:w="121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w:t>
            </w:r>
          </w:p>
        </w:tc>
        <w:tc>
          <w:tcPr>
            <w:tcW w:w="1093"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20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7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船舶</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13" w:type="dxa"/>
            <w:tcBorders>
              <w:top w:val="single" w:color="auto" w:sz="4" w:space="0"/>
            </w:tcBorders>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1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1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93"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200" w:type="dxa"/>
            <w:vMerge w:val="restart"/>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非点源</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（Ry）</w:t>
            </w:r>
          </w:p>
        </w:tc>
        <w:tc>
          <w:tcPr>
            <w:tcW w:w="227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耕地面积</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所占比例</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存在（23.55%）</w:t>
            </w:r>
          </w:p>
        </w:tc>
        <w:tc>
          <w:tcPr>
            <w:tcW w:w="121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tc>
        <w:tc>
          <w:tcPr>
            <w:tcW w:w="121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10%~</w:t>
            </w:r>
          </w:p>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w:t>
            </w:r>
          </w:p>
        </w:tc>
        <w:tc>
          <w:tcPr>
            <w:tcW w:w="121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w:t>
            </w:r>
          </w:p>
        </w:tc>
        <w:tc>
          <w:tcPr>
            <w:tcW w:w="10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200" w:type="dxa"/>
            <w:vMerge w:val="continue"/>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274"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生态</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缓冲</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带</w:t>
            </w:r>
          </w:p>
        </w:tc>
        <w:tc>
          <w:tcPr>
            <w:tcW w:w="1436"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1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215"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无</w:t>
            </w:r>
          </w:p>
        </w:tc>
        <w:tc>
          <w:tcPr>
            <w:tcW w:w="1219"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c>
          <w:tcPr>
            <w:tcW w:w="109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p>
        </w:tc>
      </w:tr>
    </w:tbl>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p>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p>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（1）固定源</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根据《集中式饮用水水源环境保护指南（试行）》要求评估吉克水库水源地固定风险源，</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固定源总分值为0，评分值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Rp＜3，为可接受程度的背景值，吉克水库饮用水水源地保护区内无工业企业、排污口等固定源。</w:t>
      </w:r>
    </w:p>
    <w:p>
      <w:pPr>
        <w:widowControl/>
        <w:adjustRightInd w:val="0"/>
        <w:snapToGrid w:val="0"/>
        <w:spacing w:line="360" w:lineRule="auto"/>
        <w:ind w:firstLine="560" w:firstLineChars="200"/>
        <w:rPr>
          <w:rFonts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根据现场调查，吉克水库一级保护区内</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采石场，采石场运营会造成水源区植被破坏及水土流失，以及</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机械设备运行过程中可能发生燃油泄漏，构成水源地污染风险。</w:t>
      </w:r>
    </w:p>
    <w:p>
      <w:pPr>
        <w:widowControl/>
        <w:adjustRightInd w:val="0"/>
        <w:snapToGrid w:val="0"/>
        <w:spacing w:line="360" w:lineRule="auto"/>
        <w:ind w:firstLine="562" w:firstLineChars="200"/>
        <w:rPr>
          <w:rFonts w:ascii="Times New Roman" w:hAnsi="Times New Roman" w:eastAsia="仿宋" w:cs="仿宋"/>
          <w:b/>
          <w:color w:val="0D0D0D" w:themeColor="text1" w:themeTint="F2"/>
          <w:kern w:val="0"/>
          <w:sz w:val="28"/>
          <w:szCs w:val="28"/>
          <w:shd w:val="clear" w:color="auto" w:fill="FFFFFF"/>
          <w14:textFill>
            <w14:solidFill>
              <w14:schemeClr w14:val="tx1">
                <w14:lumMod w14:val="95000"/>
                <w14:lumOff w14:val="5000"/>
              </w14:schemeClr>
            </w14:solidFill>
          </w14:textFill>
        </w:rPr>
      </w:pPr>
      <w:r>
        <w:rPr>
          <w:rFonts w:hint="eastAsia" w:ascii="Times New Roman" w:hAnsi="Times New Roman" w:eastAsia="仿宋" w:cs="仿宋"/>
          <w:b/>
          <w:color w:val="0D0D0D" w:themeColor="text1" w:themeTint="F2"/>
          <w:kern w:val="0"/>
          <w:sz w:val="28"/>
          <w:szCs w:val="28"/>
          <w:shd w:val="clear" w:color="auto" w:fill="FFFFFF"/>
          <w14:textFill>
            <w14:solidFill>
              <w14:schemeClr w14:val="tx1">
                <w14:lumMod w14:val="95000"/>
                <w14:lumOff w14:val="5000"/>
              </w14:schemeClr>
            </w14:solidFill>
          </w14:textFill>
        </w:rPr>
        <w:t>（2）流动源</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乡道Y204及连接自然村的道路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。其中，一级保护内乡道Y204路段穿越路段长约0.89km；二级保护区内乡道Y204穿越路段0.08km。</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吉克水库保护区范围内流动源总分值为15，</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Rf＞9，应采取风险应急措施，加强水库周边道路车辆通行监管，严格禁止运输危险化学品，限制运输可能对水库水质造成污染的其他物品。</w:t>
      </w:r>
    </w:p>
    <w:p>
      <w:pPr>
        <w:widowControl/>
        <w:adjustRightInd w:val="0"/>
        <w:snapToGrid w:val="0"/>
        <w:spacing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（3）非点源</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根据调查，吉克水库保护区范围内现状非点源主要有农村生活、农业种植、畜禽养殖及水土流失面源污染等，具体源强详见2</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.7.2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节。</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吉克水库保护区范围内耕地面积占比为14.47%，一级保护区、二级保护区均有分布。根据非点源风险值计算，非点源风险值为14，</w:t>
      </w:r>
      <w:r>
        <w:rPr>
          <w:rFonts w:hint="eastAsia" w:ascii="Times New Roman" w:hAnsi="Times New Roman" w:eastAsia="仿宋" w:cs="仿宋"/>
          <w:color w:val="0D0D0D" w:themeColor="text1" w:themeTint="F2"/>
          <w:kern w:val="0"/>
          <w:sz w:val="28"/>
          <w:szCs w:val="28"/>
          <w:shd w:val="clear" w:color="auto" w:fill="FFFFFF"/>
          <w14:textFill>
            <w14:solidFill>
              <w14:schemeClr w14:val="tx1">
                <w14:lumMod w14:val="95000"/>
                <w14:lumOff w14:val="5000"/>
              </w14:schemeClr>
            </w14:solidFill>
          </w14:textFill>
        </w:rPr>
        <w:t>评分值</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Ry&gt;9，应采取风险应急措施，环境风险较高。此外，根据实地踏勘，吉克水库保护区范围内还存在农村生活污水及垃圾污染、畜禽养殖污染及水土流失污染。通过识别环境风险因素，应重点对非点源风险采取应急措施，加快农村农业面源治理及水土流失治理，降低水源保护区环境风险，保证饮用水水质安全。</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95" w:name="_Toc25679066"/>
      <w:bookmarkStart w:id="96" w:name="_Toc27509930"/>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2.9 饮用水水源保护区规范化建设</w:t>
      </w:r>
      <w:bookmarkEnd w:id="92"/>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现状及存在问题</w:t>
      </w:r>
      <w:bookmarkEnd w:id="95"/>
      <w:bookmarkEnd w:id="96"/>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97" w:name="_Toc25679067"/>
      <w:bookmarkStart w:id="98" w:name="_Toc12621595"/>
      <w:bookmarkStart w:id="99" w:name="_Toc27509931"/>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2.9.1 保护区规范化建设及管理现状</w:t>
      </w:r>
      <w:bookmarkEnd w:id="97"/>
      <w:bookmarkEnd w:id="98"/>
      <w:bookmarkEnd w:id="99"/>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吉克水库作为在用水源，但未严格按《集中式饮用水源地规范化建设环境保护技术要求》（HJ773-2015）开展水源地保护相关保护工作。根据现场调查及资料收集，目前已开展的保护工作主要有：</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（1）管理机构设置</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吉克水库主管部门为富源县水利水电工程管理站，管理单位为墨红镇水务所。</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（2）监测能力</w:t>
      </w:r>
    </w:p>
    <w:p>
      <w:pPr>
        <w:adjustRightInd w:val="0"/>
        <w:snapToGrid w:val="0"/>
        <w:spacing w:line="360" w:lineRule="auto"/>
        <w:ind w:firstLine="560" w:firstLineChars="200"/>
        <w:rPr>
          <w:rFonts w:ascii="Times New Roman" w:hAnsi="Times New Roman" w:cs="Times New Roman"/>
          <w:color w:val="0D0D0D" w:themeColor="text1" w:themeTint="F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吉克水库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未进行例行水质监测，于2011年12月、2012年8月、2013年7月按照《地表水环境质量标准》（</w:t>
      </w: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GB3838-2002</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分别开展了水质监测，主要对pH、溶解氧、高锰酸盐指数、五日生化需氧量、氨氮、化学需氧量、砷、汞、六价铬、镉、铅、挥发酚、总氮、总磷、粪大肠菌群、氰化物、石油类、氟化物及饮用水源地集中式生活饮用水源地补充项目硫酸盐、氯化物、硝酸盐、铁、锰进行监测。</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00" w:name="_Toc12621596"/>
      <w:bookmarkStart w:id="101" w:name="_Toc25679068"/>
      <w:bookmarkStart w:id="102" w:name="_Toc27509932"/>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2.9.2 保护区</w:t>
      </w:r>
      <w:bookmarkEnd w:id="100"/>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主要环境问题</w:t>
      </w:r>
      <w:bookmarkEnd w:id="101"/>
      <w:bookmarkEnd w:id="102"/>
    </w:p>
    <w:p>
      <w:pPr>
        <w:adjustRightInd w:val="0"/>
        <w:snapToGrid w:val="0"/>
        <w:spacing w:line="360" w:lineRule="auto"/>
        <w:ind w:firstLine="560"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103" w:name="_Hlk20349135"/>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根据《集中式饮用水源地规范化建设环境保护技术要求》（HJ 773-2015）等技术规范，结合现场调查，</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水源地规范化建设存在问题如下：</w:t>
      </w:r>
    </w:p>
    <w:bookmarkEnd w:id="103"/>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（1）污染问题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吉克水库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一级</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范围内</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存在1个采石场，采石场运营会造成水源区植被破坏及水土流失。同时，吉克水库一级保护区内存在1个自然村，有59户201人，农村居民生活污水及生活垃圾未进行有效集中收集处置，对水库水质造成一定污染；并存在分散需要养殖，粪便综合利用率低对水质也造成污染。</w:t>
      </w:r>
      <w:bookmarkStart w:id="104" w:name="_Hlk20349201"/>
      <w:r>
        <w:rPr>
          <w:rFonts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吉克水库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水源地</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内有大量耕地，</w:t>
      </w:r>
      <w:bookmarkStart w:id="105" w:name="_Hlk20092038"/>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耕地面积占比达到水库保护区面积的14.47%</w:t>
      </w:r>
      <w:bookmarkEnd w:id="105"/>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农业生产中大量使用农药化肥导致水体污染。</w:t>
      </w:r>
      <w:r>
        <w:rPr>
          <w:rFonts w:hint="eastAsia" w:ascii="Times New Roman" w:hAnsi="Times New Roman" w:eastAsia="仿宋" w:cs="Times New Roman"/>
          <w:bCs/>
          <w:color w:val="0D0D0D" w:themeColor="text1" w:themeTint="F2"/>
          <w:sz w:val="28"/>
          <w:szCs w:val="28"/>
          <w14:textFill>
            <w14:solidFill>
              <w14:schemeClr w14:val="tx1">
                <w14:lumMod w14:val="95000"/>
                <w14:lumOff w14:val="5000"/>
              </w14:schemeClr>
            </w14:solidFill>
          </w14:textFill>
        </w:rPr>
        <w:t>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内水土流失面积占比在</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84.05</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中度及以上侵蚀面积占水土流失面积的20.35%，</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水土流失造成一定的面源污染。</w:t>
      </w:r>
    </w:p>
    <w:bookmarkEnd w:id="104"/>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06" w:name="_Hlk20349559"/>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（2）保护区分级划界问题</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作为在用水源地，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未按新的技术规范要求划分水源保护区并依法审批并颁布实施，也未按水源保护区边界范围并根据《饮用水水源保护区标志技术要求》（HJ/T433-2008）设置界桩、交通警示牌、宣传牌等标识</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）风险防控与应急能力建设问题</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应定期或不定期开展水源地周边安全隐患排查及风险评估，建立水源保护区内风险源名录和风险防控方案。同时制定水库饮用水水源地应急预案，按照生态环境部门要求备案并定期开展应急演练，储备应急物资，设有应急防护工程，具备饮用水水源地突发环境事件应急处置技术方案及应急专家库，并具备应急监测能力。目前，</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根据水环境风险源分析，吉克水库流动源及非点源环境风险较大，但吉克水库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未制定</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相应的</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应急预案，风险防控与应急能力</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还</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待加强。</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）管理</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措施不到位</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按照《集中式饮用水水源编码规范》（HJ 747-2015）要求，应对水源地进行编码，完善水源地档案，做到</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并按照环境监察要求定期巡查、开展水源地环境状况评估，建立水源地信息化管理平台，定期公开水源地相关信息。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需加强管理，建立完善水源地档案及环境监察。</w:t>
      </w:r>
      <w:bookmarkEnd w:id="106"/>
      <w:bookmarkStart w:id="107" w:name="_Toc10723878"/>
      <w:bookmarkStart w:id="108" w:name="_Toc12456077"/>
      <w:bookmarkStart w:id="109" w:name="_Toc326180110"/>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（5）存在煤矿采矿权问题</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径流区内存在吉克煤矿、鑫丰煤矿和富兴煤矿共3个煤矿矿权。其中，吉克煤矿矿权与保护区重叠面积38.77hm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，全部为一级保护区（涉及部分一级保护区水域）；鑫丰煤矿与保护区重叠面积103.04hm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，其中一级保护区11.29hm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（涉及部分一级保护区水域），二级保护区91.75hm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；富兴煤矿与吉克水库径流区重叠面积0.65hm</w:t>
      </w:r>
      <w:r>
        <w:rPr>
          <w:rFonts w:hint="eastAsia" w:ascii="Times New Roman" w:hAnsi="Times New Roman" w:eastAsia="仿宋" w:cs="Times New Roman"/>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，重叠面积较小，且位于径流区边缘，重叠区域实际不进行开采作业。</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经富源县人民政府会同相关单位和部门协商确定，</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为确保水库水量和水质安全，以保护水源地为目的，吉克煤矿、鑫丰煤矿采矿权退出吉克水库保护区范围，富兴煤矿与吉克水库径流区重叠区域处的二级保护区边界以富兴煤矿采矿权边界线为界。</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但是考虑到</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富兴煤矿</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部分采矿权与</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水库径流区重叠，应加强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富兴</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煤矿与</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水库径流区重叠区域监管，该区域地表参照水源保护区二级保护区管理，禁止设置煤矿工业场站，禁止向</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水库径流区排放废水，并加强地表塌陷监测。</w:t>
      </w:r>
    </w:p>
    <w:p>
      <w:pPr>
        <w:adjustRightInd w:val="0"/>
        <w:snapToGrid w:val="0"/>
        <w:spacing w:line="360" w:lineRule="auto"/>
        <w:jc w:val="cente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drawing>
          <wp:inline distT="0" distB="0" distL="0" distR="0">
            <wp:extent cx="5629275" cy="6924675"/>
            <wp:effectExtent l="0" t="0" r="9525" b="9525"/>
            <wp:docPr id="2" name="图片 2" descr="D:\Documents\Tencent Files\925377262\FileRecv\吉克水库矿权重叠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Documents\Tencent Files\925377262\FileRecv\吉克水库矿权重叠示意图.jpg"/>
                    <pic:cNvPicPr>
                      <a:picLocks noChangeAspect="1" noChangeArrowheads="1"/>
                    </pic:cNvPicPr>
                  </pic:nvPicPr>
                  <pic:blipFill>
                    <a:blip r:embed="rId21" cstate="print">
                      <a:extLst>
                        <a:ext uri="{28A0092B-C50C-407E-A947-70E740481C1C}">
                          <a14:useLocalDpi xmlns:a14="http://schemas.microsoft.com/office/drawing/2010/main" val="0"/>
                        </a:ext>
                      </a:extLst>
                    </a:blip>
                    <a:srcRect l="3180" t="9218" r="2862" b="9063"/>
                    <a:stretch>
                      <a:fillRect/>
                    </a:stretch>
                  </pic:blipFill>
                  <pic:spPr>
                    <a:xfrm>
                      <a:off x="0" y="0"/>
                      <a:ext cx="5628678" cy="6923941"/>
                    </a:xfrm>
                    <a:prstGeom prst="rect">
                      <a:avLst/>
                    </a:prstGeom>
                    <a:noFill/>
                    <a:ln>
                      <a:noFill/>
                    </a:ln>
                  </pic:spPr>
                </pic:pic>
              </a:graphicData>
            </a:graphic>
          </wp:inline>
        </w:drawing>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图</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2.9</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吉克水库保护区范围与煤矿采矿权范围重叠示意图</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keepNext/>
        <w:keepLines/>
        <w:spacing w:before="340" w:after="330" w:line="578" w:lineRule="auto"/>
        <w:jc w:val="center"/>
        <w:outlineLvl w:val="0"/>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pPr>
      <w:bookmarkStart w:id="110" w:name="_Toc27509933"/>
      <w:bookmarkStart w:id="111" w:name="_Toc20409149"/>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 xml:space="preserve">第三章 </w:t>
      </w:r>
      <w:r>
        <w:rPr>
          <w:rFonts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保护区</w:t>
      </w:r>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划分与定界</w:t>
      </w:r>
      <w:bookmarkEnd w:id="110"/>
      <w:bookmarkEnd w:id="111"/>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12" w:name="_Toc27509934"/>
      <w:bookmarkStart w:id="113" w:name="_Toc20409150"/>
      <w:bookmarkStart w:id="114" w:name="_Toc12621586"/>
      <w:bookmarkStart w:id="115" w:name="_Toc10723880"/>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1</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划分方法</w:t>
      </w:r>
      <w:bookmarkEnd w:id="112"/>
      <w:bookmarkEnd w:id="113"/>
      <w:bookmarkEnd w:id="114"/>
      <w:bookmarkEnd w:id="115"/>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按照《饮用水水源保护区划分技术规范》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，利用</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区域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地形图、水系图、土地利用现状图、土地利用规划图，</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采用地形边界法、类比经验法，</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划分</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吉克水库水源地的</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和</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二级保护区，对局部区域，根据实际情况进行微调。</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16" w:name="_Toc27509935"/>
      <w:bookmarkStart w:id="117" w:name="_Toc20409151"/>
      <w:bookmarkStart w:id="118" w:name="_Toc530362551"/>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一级保护区划分</w:t>
      </w:r>
      <w:bookmarkEnd w:id="116"/>
      <w:bookmarkEnd w:id="117"/>
      <w:bookmarkEnd w:id="118"/>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6.2.1节：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6.2.1.1  小型水库和单一供水功能的湖泊、水库应将多年平均水位对应的高程线以下的全部水域划为一级保护区。</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6.2.2节。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6.2.2.1  小型和单一供水功能的湖泊、水库以及中小型水库为一级保护区水域外不小于200 m范围内的陆域，或一定高程线以下的陆域，但不超过流域分水岭范围。</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19" w:name="_Toc530362552"/>
      <w:bookmarkStart w:id="120" w:name="_Toc20409152"/>
      <w:bookmarkStart w:id="121" w:name="_Toc27509936"/>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.2 二级保护区划分</w:t>
      </w:r>
      <w:bookmarkEnd w:id="119"/>
      <w:bookmarkEnd w:id="120"/>
      <w:bookmarkEnd w:id="121"/>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6.3.1节。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6.3.1.1 </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 xml:space="preserve"> </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满足条件的水源地，可采用类比经验法确定二级保护区水域范围。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小型湖泊、中小型水库一级保护区边界外的水域面积设定为二级保护区。</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根据《饮用水水源保护区划分技术规范》</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HJ 338-2018</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6.3.2节。</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6.3.2.2  采用地形边界法或类比经验法</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小型水库可将上游整个流域（一级保护区陆域外区域）设定为二级保护区。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单一功能的湖泊、水库、小型湖泊和平原型中型水库的二级保护区范围是一级保护区以外水平距离不小于2000 m区域，山区型中型水库二级保护区的范围为水库周边山脊线以内（一级保护区以外）及入库河流上溯不小于3000 m的汇水区域。二级保护区陆域边界不超过相应的流域分水岭。</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22" w:name="_Toc10723885"/>
      <w:bookmarkStart w:id="123" w:name="_Toc12621589"/>
      <w:bookmarkStart w:id="124" w:name="_Toc20409153"/>
      <w:bookmarkStart w:id="125" w:name="_Toc27509937"/>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2</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w:t>
      </w:r>
      <w:bookmarkEnd w:id="122"/>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初步划分结果与分析</w:t>
      </w:r>
      <w:bookmarkEnd w:id="123"/>
      <w:bookmarkEnd w:id="124"/>
      <w:bookmarkEnd w:id="125"/>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26" w:name="_Toc20409154"/>
      <w:bookmarkStart w:id="127" w:name="_Toc27509938"/>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1</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一</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级保护区</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范围的确定</w:t>
      </w:r>
      <w:bookmarkEnd w:id="126"/>
      <w:bookmarkEnd w:id="127"/>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水</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域范围</w:t>
      </w:r>
    </w:p>
    <w:p>
      <w:pPr>
        <w:adjustRightInd w:val="0"/>
        <w:snapToGrid w:val="0"/>
        <w:spacing w:line="360" w:lineRule="auto"/>
        <w:ind w:firstLine="560" w:firstLineChars="200"/>
        <w:rPr>
          <w:rFonts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吉克</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正常蓄水位2095.80m，相应库容为135.00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（V＜0.1亿m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型水库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水库水面面积不大</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。吉克水库上游的上吉克水库</w:t>
      </w:r>
      <w:r>
        <w:rPr>
          <w:rFonts w:hint="eastAsia" w:ascii="Times New Roman" w:hAnsi="Times New Roman" w:eastAsia="仿宋" w:cs="Times New Roman"/>
          <w:color w:val="0D0D0D" w:themeColor="text1" w:themeTint="F2"/>
          <w:sz w:val="28"/>
          <w:szCs w:val="28"/>
          <w:lang w:val="en-IE"/>
          <w14:textFill>
            <w14:solidFill>
              <w14:schemeClr w14:val="tx1">
                <w14:lumMod w14:val="95000"/>
                <w14:lumOff w14:val="5000"/>
              </w14:schemeClr>
            </w14:solidFill>
          </w14:textFill>
        </w:rPr>
        <w:t>尾水经陡坡自然下泄后进入吉克水库，上吉克水库正常</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蓄水位2151.00m，相应库容为23.23</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（V＜0.1亿m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小</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型水库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将</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吉克水库正常蓄水位2095.80m及上吉克水库正常蓄水位2151.00m以下的水域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划为一级保护区，面积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0.0981</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吉克水库（含上吉克水库）正常蓄水位外延200m范围，面积为0.7991</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一级保护区总面积合计</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0.8972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keepNext/>
        <w:keepLines/>
        <w:spacing w:before="260" w:after="260" w:line="416" w:lineRule="auto"/>
        <w:outlineLvl w:val="2"/>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pPr>
      <w:bookmarkStart w:id="128" w:name="_Toc27509939"/>
      <w:bookmarkStart w:id="129" w:name="_Toc20409155"/>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3.</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 xml:space="preserve"> </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二</w:t>
      </w:r>
      <w:r>
        <w:rPr>
          <w:rFonts w:ascii="Times New Roman" w:hAnsi="Times New Roman" w:eastAsia="仿宋"/>
          <w:b/>
          <w:bCs/>
          <w:color w:val="0D0D0D" w:themeColor="text1" w:themeTint="F2"/>
          <w:sz w:val="30"/>
          <w:szCs w:val="32"/>
          <w14:textFill>
            <w14:solidFill>
              <w14:schemeClr w14:val="tx1">
                <w14:lumMod w14:val="95000"/>
                <w14:lumOff w14:val="5000"/>
              </w14:schemeClr>
            </w14:solidFill>
          </w14:textFill>
        </w:rPr>
        <w:t>级保护区</w:t>
      </w:r>
      <w:r>
        <w:rPr>
          <w:rFonts w:hint="eastAsia" w:ascii="Times New Roman" w:hAnsi="Times New Roman" w:eastAsia="仿宋"/>
          <w:b/>
          <w:bCs/>
          <w:color w:val="0D0D0D" w:themeColor="text1" w:themeTint="F2"/>
          <w:sz w:val="30"/>
          <w:szCs w:val="32"/>
          <w14:textFill>
            <w14:solidFill>
              <w14:schemeClr w14:val="tx1">
                <w14:lumMod w14:val="95000"/>
                <w14:lumOff w14:val="5000"/>
              </w14:schemeClr>
            </w14:solidFill>
          </w14:textFill>
        </w:rPr>
        <w:t>范围的确定</w:t>
      </w:r>
      <w:bookmarkEnd w:id="128"/>
      <w:bookmarkEnd w:id="129"/>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（1）水域范围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吉克</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（含上吉克水库）一</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级保护区边界外无大中型河流，面积并入陆域范围统计。</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（2）陆域范围</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吉克水库（含上吉克水库）西南以护林道路为界，其他以流域分水岭为界</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2.4301</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二级保护区总面积合计</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2.4301</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240" w:lineRule="atLeast"/>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表3.</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吉克</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水库饮用水水源保护区组成</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56"/>
        <w:gridCol w:w="456"/>
        <w:gridCol w:w="4837"/>
        <w:gridCol w:w="2729"/>
        <w:gridCol w:w="11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trPr>
        <w:tc>
          <w:tcPr>
            <w:tcW w:w="912" w:type="dxa"/>
            <w:gridSpan w:val="2"/>
            <w:shd w:val="clear" w:color="auto" w:fill="D8D8D8" w:themeFill="background1" w:themeFillShade="D9"/>
            <w:vAlign w:val="center"/>
          </w:tcPr>
          <w:p>
            <w:pPr>
              <w:adjustRightInd w:val="0"/>
              <w:snapToGrid w:val="0"/>
              <w:spacing w:line="360" w:lineRule="auto"/>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区划</w:t>
            </w:r>
          </w:p>
        </w:tc>
        <w:tc>
          <w:tcPr>
            <w:tcW w:w="4837" w:type="dxa"/>
            <w:shd w:val="clear" w:color="auto" w:fill="D8D8D8" w:themeFill="background1" w:themeFillShade="D9"/>
            <w:vAlign w:val="center"/>
          </w:tcPr>
          <w:p>
            <w:pPr>
              <w:adjustRightInd w:val="0"/>
              <w:snapToGrid w:val="0"/>
              <w:spacing w:line="360" w:lineRule="auto"/>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依据HJ 338-2018</w:t>
            </w:r>
          </w:p>
        </w:tc>
        <w:tc>
          <w:tcPr>
            <w:tcW w:w="2729" w:type="dxa"/>
            <w:shd w:val="clear" w:color="auto" w:fill="D8D8D8" w:themeFill="background1" w:themeFillShade="D9"/>
            <w:vAlign w:val="center"/>
          </w:tcPr>
          <w:p>
            <w:pPr>
              <w:adjustRightInd w:val="0"/>
              <w:snapToGrid w:val="0"/>
              <w:spacing w:line="360" w:lineRule="auto"/>
              <w:jc w:val="cente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4"/>
                <w:szCs w:val="24"/>
                <w14:textFill>
                  <w14:solidFill>
                    <w14:schemeClr w14:val="tx1">
                      <w14:lumMod w14:val="95000"/>
                      <w14:lumOff w14:val="5000"/>
                    </w14:schemeClr>
                  </w14:solidFill>
                </w14:textFill>
              </w:rPr>
              <w:t>控制范围</w:t>
            </w:r>
          </w:p>
        </w:tc>
        <w:tc>
          <w:tcPr>
            <w:tcW w:w="1172" w:type="dxa"/>
            <w:shd w:val="clear" w:color="auto" w:fill="D8D8D8" w:themeFill="background1" w:themeFillShade="D9"/>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面积（km</w:t>
            </w:r>
            <w:r>
              <w:rPr>
                <w:rFonts w:ascii="Times New Roman" w:hAnsi="Times New Roman" w:eastAsia="仿宋" w:cs="Times New Roman"/>
                <w:b/>
                <w:color w:val="0D0D0D" w:themeColor="text1" w:themeTint="F2"/>
                <w:kern w:val="0"/>
                <w:sz w:val="24"/>
                <w:szCs w:val="24"/>
                <w:vertAlign w:val="superscript"/>
                <w14:textFill>
                  <w14:solidFill>
                    <w14:schemeClr w14:val="tx1">
                      <w14:lumMod w14:val="95000"/>
                      <w14:lumOff w14:val="5000"/>
                    </w14:schemeClr>
                  </w14:solidFill>
                </w14:textFill>
              </w:rPr>
              <w:t>2</w:t>
            </w: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6" w:type="dxa"/>
            <w:vMerge w:val="restart"/>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级</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护</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区</w:t>
            </w: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4837"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6.2.1.1  小型水库和单一供水功能的湖泊、水库应将多年平均水位对应的高程线以下的全部水域划为一级保护区。</w:t>
            </w:r>
          </w:p>
        </w:tc>
        <w:tc>
          <w:tcPr>
            <w:tcW w:w="2729"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吉克水库（含上吉克水库）正常水位2095.8m（2151.0m）以下的水域</w:t>
            </w:r>
          </w:p>
        </w:tc>
        <w:tc>
          <w:tcPr>
            <w:tcW w:w="1172" w:type="dxa"/>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0.0981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6" w:type="dxa"/>
            <w:vMerge w:val="continue"/>
            <w:vAlign w:val="center"/>
          </w:tcPr>
          <w:p>
            <w:pPr>
              <w:spacing w:line="400" w:lineRule="exac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4837"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6.2.2.1  小型和单一供水功能的湖泊、水库以及中小型水库为一级保护区水域外不小于200 m范围内的陆域，或一定高程线以下的陆域，但不超过流域分水岭范围。</w:t>
            </w:r>
          </w:p>
        </w:tc>
        <w:tc>
          <w:tcPr>
            <w:tcW w:w="2729"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吉克水库（含上吉克水库）正常蓄水位外延200m范围</w:t>
            </w:r>
          </w:p>
        </w:tc>
        <w:tc>
          <w:tcPr>
            <w:tcW w:w="1172"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0.7991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478"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小计</w:t>
            </w:r>
          </w:p>
        </w:tc>
        <w:tc>
          <w:tcPr>
            <w:tcW w:w="1172"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0.8972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6" w:type="dxa"/>
            <w:vMerge w:val="restart"/>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二</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级</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护</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区</w:t>
            </w: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4837"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6.3.1.1  满足条件的水源地，可采用类比经验法确定二级保护区水域范围。</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小型湖泊、中小型水库一级保护区边界外的水域面积设定为二级保护区。</w:t>
            </w:r>
          </w:p>
        </w:tc>
        <w:tc>
          <w:tcPr>
            <w:tcW w:w="2729"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吉克</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水库</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（含上吉克水库）</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一级保护区边界外无大中型河流，仅为小型溪流，面积并入陆域范围统计。</w:t>
            </w:r>
          </w:p>
        </w:tc>
        <w:tc>
          <w:tcPr>
            <w:tcW w:w="1172"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456" w:type="dxa"/>
            <w:vMerge w:val="continue"/>
            <w:vAlign w:val="center"/>
          </w:tcPr>
          <w:p>
            <w:pPr>
              <w:spacing w:line="400" w:lineRule="exact"/>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456"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域</w:t>
            </w:r>
          </w:p>
        </w:tc>
        <w:tc>
          <w:tcPr>
            <w:tcW w:w="4837"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6.3.2.2  采用地形边界法或类比经验法</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小型水库可将上游整个流域（一级保护区陆域外区域）设定为二级保护区。</w:t>
            </w:r>
          </w:p>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单一功能的湖泊、水库、小型湖泊和平原型中型水库的二级保护区范围是一级保护区以外水平距离不小于2000 m区域，山区型中型水库二级保护区的范围为水库周边山脊线以内（一级保护区以外）及入库河流上溯不小于3000 m的汇水区域。二级保护区陆域边界不超过相应的流域分水岭。</w:t>
            </w:r>
          </w:p>
        </w:tc>
        <w:tc>
          <w:tcPr>
            <w:tcW w:w="2729" w:type="dxa"/>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吉克水库（含上吉克水库）西南以护林道路为界，其他以流域分水岭为界</w:t>
            </w:r>
          </w:p>
        </w:tc>
        <w:tc>
          <w:tcPr>
            <w:tcW w:w="1172"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2.4301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478"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小计</w:t>
            </w:r>
          </w:p>
        </w:tc>
        <w:tc>
          <w:tcPr>
            <w:tcW w:w="1172"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2.4301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478" w:type="dxa"/>
            <w:gridSpan w:val="4"/>
            <w:vAlign w:val="center"/>
          </w:tcPr>
          <w:p>
            <w:pPr>
              <w:adjustRightInd w:val="0"/>
              <w:snapToGrid w:val="0"/>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合计</w:t>
            </w:r>
          </w:p>
        </w:tc>
        <w:tc>
          <w:tcPr>
            <w:tcW w:w="1172" w:type="dxa"/>
            <w:vAlign w:val="center"/>
          </w:tcPr>
          <w:p>
            <w:pPr>
              <w:adjustRightInd w:val="0"/>
              <w:snapToGrid w:val="0"/>
              <w:jc w:val="center"/>
              <w:rPr>
                <w:rFonts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4"/>
                <w:szCs w:val="24"/>
                <w14:textFill>
                  <w14:solidFill>
                    <w14:schemeClr w14:val="tx1">
                      <w14:lumMod w14:val="95000"/>
                      <w14:lumOff w14:val="5000"/>
                    </w14:schemeClr>
                  </w14:solidFill>
                </w14:textFill>
              </w:rPr>
              <w:t>3.3273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9650" w:type="dxa"/>
            <w:gridSpan w:val="5"/>
            <w:vAlign w:val="center"/>
          </w:tcPr>
          <w:p>
            <w:pPr>
              <w:adjustRightInd w:val="0"/>
              <w:snapToGrid w:val="0"/>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备注：水位线高程为1985国家高程基准，采用2000国家大地坐标系计算面积。</w:t>
            </w:r>
          </w:p>
        </w:tc>
      </w:tr>
    </w:tbl>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130" w:name="_Toc20409156"/>
      <w:bookmarkStart w:id="131" w:name="_Toc12621593"/>
      <w:bookmarkStart w:id="132" w:name="_Toc27509940"/>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3</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保护区定界的</w:t>
      </w:r>
      <w:bookmarkEnd w:id="130"/>
      <w:bookmarkEnd w:id="131"/>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依据</w:t>
      </w:r>
      <w:bookmarkEnd w:id="132"/>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（1）为便于开展日常环境管理工作，依据保护区划分的分析、计算结果，结合水源保护区的地形、地标、地物特点，最终确定各级保护区的界线。</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（2）充分利用具有永久性的明显标志如水分线、行政区界线、公路、铁路、桥梁、大型建筑物、水库大坝、水工建筑物、河流汊口、输电线、通讯线等标示保护区界线。</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（3）最终确定的各级保护区坐标红线图、表，作为政府部门审批的依据，也作为规划国土、环保部门土地开发审批的依据。</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（4）应按照国家规定设置饮用水水源地保护标志。</w:t>
      </w:r>
    </w:p>
    <w:p>
      <w:pPr>
        <w:widowControl/>
        <w:jc w:val="left"/>
        <w:rPr>
          <w:color w:val="0D0D0D" w:themeColor="text1" w:themeTint="F2"/>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widowControl/>
        <w:snapToGrid w:val="0"/>
        <w:spacing w:line="360" w:lineRule="auto"/>
        <w:jc w:val="center"/>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pPr>
      <w:bookmarkStart w:id="133" w:name="_Toc27509941"/>
      <w:bookmarkStart w:id="134" w:name="_Toc25844364"/>
      <w:bookmarkStart w:id="135" w:name="_Toc12621597"/>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第四章</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 xml:space="preserve"> </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饮用水水源</w:t>
      </w:r>
      <w:r>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保护区</w:t>
      </w:r>
      <w:r>
        <w:rPr>
          <w:rFonts w:hint="eastAsia"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t>建设投资估算</w:t>
      </w:r>
      <w:bookmarkEnd w:id="133"/>
      <w:bookmarkEnd w:id="134"/>
      <w:bookmarkEnd w:id="135"/>
    </w:p>
    <w:p>
      <w:pPr>
        <w:pStyle w:val="3"/>
        <w:rPr>
          <w:color w:val="0D0D0D" w:themeColor="text1" w:themeTint="F2"/>
          <w14:textFill>
            <w14:solidFill>
              <w14:schemeClr w14:val="tx1">
                <w14:lumMod w14:val="95000"/>
                <w14:lumOff w14:val="5000"/>
              </w14:schemeClr>
            </w14:solidFill>
          </w14:textFill>
        </w:rPr>
      </w:pPr>
      <w:bookmarkStart w:id="136" w:name="_Toc12621598"/>
      <w:bookmarkStart w:id="137" w:name="_Toc25844365"/>
      <w:bookmarkStart w:id="138" w:name="_Toc27509942"/>
      <w:bookmarkStart w:id="139" w:name="_Toc12536221"/>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 xml:space="preserve"> 保护区规范化建设项目投资估算</w:t>
      </w:r>
      <w:bookmarkEnd w:id="136"/>
      <w:bookmarkEnd w:id="137"/>
      <w:bookmarkEnd w:id="138"/>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依据《集中式饮用水水源地规范化建设环境保护技术要求》（H</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J773-2015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），结合吉克水库水源保护区规范化建设及管理现状、存在问题分析，针对吉克水库水源地保护区提出规范化建设项目。</w:t>
      </w:r>
      <w:bookmarkStart w:id="140" w:name="_Toc524596456"/>
    </w:p>
    <w:bookmarkEnd w:id="140"/>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41" w:name="_Toc17982536"/>
      <w:bookmarkStart w:id="142" w:name="_Toc25844366"/>
      <w:bookmarkStart w:id="143" w:name="_Toc27509943"/>
      <w:r>
        <w:rPr>
          <w:rFonts w:hint="eastAsia"/>
          <w:color w:val="0D0D0D" w:themeColor="text1" w:themeTint="F2"/>
          <w:sz w:val="28"/>
          <w:szCs w:val="28"/>
          <w14:textFill>
            <w14:solidFill>
              <w14:schemeClr w14:val="tx1">
                <w14:lumMod w14:val="95000"/>
                <w14:lumOff w14:val="5000"/>
              </w14:schemeClr>
            </w14:solidFill>
          </w14:textFill>
        </w:rPr>
        <w:t>4.1.1 保护区范围划定工程</w:t>
      </w:r>
      <w:bookmarkEnd w:id="141"/>
      <w:bookmarkEnd w:id="142"/>
      <w:bookmarkEnd w:id="143"/>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根据保护区建设要求，饮用水水源保护区应依据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《饮用水水源保护区标志技术要求》（HJT433-2008）</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设置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、交通警示牌、宣传牌等标识，在一级保护区周边人类活动频繁区域设置隔离防护设施。</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应根据划定的保护区范围设置标识、建设隔离防护设施。</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44" w:name="_Toc452322606"/>
      <w:bookmarkStart w:id="145" w:name="_Toc478742845"/>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一级保护区围网</w:t>
      </w:r>
      <w:bookmarkEnd w:id="144"/>
      <w:bookmarkEnd w:id="145"/>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吉克水库一级保护区陆域边界长4302m，根据水库周边林地分布及道路情况，主要沿吉克水库北侧乡道及水库西侧上吉克村边界设置围网，同时在吉克水库上坝居民区边界设置围网，需设围网的边界长约2084m。</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围网高1.8m，每3m设置一个立柱，单价以200元/m计（包含制作费、运输费和施工等），总投资约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41.68</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吉克水库一级保护区陆域边界长约4302m，在一级保护区陆域边界设置界桩，以明确一级保护区范围。界桩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。经测算，吉克水库一级保护区边界长4302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，共设拐点18个，需投资0.90万元。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（3）二级</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界桩</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吉克水库二级保护区陆域边界长约6633m，在二级保护区边界设置界桩，以明确二级保护区范围。界桩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采用50cm×25cm×10cm的水泥混凝土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，单价以500元/个（包含</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测绘、</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制作费、运输费和埋设费等）计</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。经测算，吉克水库二级保护区边界长6633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m</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，共设拐点16个，需投资0.80万元。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交通警示牌、宣传牌</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在进出吉克水库保护区的道路沿线设置交通警示牌，共计5块；同时，为加强宣传保护，在保护区内居民区及进出道路口设置水源保护宣传牌，共计3块。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交通警示牌、宣传牌依据《饮用水水源保护区标志技术要求》（HJ/T433-2008）设置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交通警示牌0.5万元/个，宣传牌0.5万元/个。</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设置1块水库大坝告示碑，钢筋混凝土，200cm×50cm×250cm，估价2万元/座。</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吉克水库饮用水源保护区边界及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标志标牌投资估算见表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-1。</w:t>
      </w:r>
    </w:p>
    <w:p>
      <w:pPr>
        <w:adjustRightInd w:val="0"/>
        <w:snapToGrid w:val="0"/>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-1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吉克水库饮用水源保护区边界及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标志标牌投资估算表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2538"/>
        <w:gridCol w:w="1334"/>
        <w:gridCol w:w="1399"/>
        <w:gridCol w:w="1822"/>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3" w:hRule="atLeast"/>
          <w:tblHeader/>
        </w:trPr>
        <w:tc>
          <w:tcPr>
            <w:tcW w:w="1221"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水库</w:t>
            </w:r>
          </w:p>
        </w:tc>
        <w:tc>
          <w:tcPr>
            <w:tcW w:w="2538" w:type="dxa"/>
            <w:shd w:val="clear" w:color="auto" w:fill="D9D9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工程内容</w:t>
            </w:r>
          </w:p>
        </w:tc>
        <w:tc>
          <w:tcPr>
            <w:tcW w:w="1334"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边界长</w:t>
            </w:r>
          </w:p>
          <w:p>
            <w:pPr>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m</w:t>
            </w: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p>
        </w:tc>
        <w:tc>
          <w:tcPr>
            <w:tcW w:w="1399"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工程数量</w:t>
            </w:r>
          </w:p>
        </w:tc>
        <w:tc>
          <w:tcPr>
            <w:tcW w:w="1822" w:type="dxa"/>
            <w:shd w:val="clear" w:color="auto" w:fill="D9D9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336" w:type="dxa"/>
            <w:shd w:val="clear" w:color="auto" w:fill="D9D9D9"/>
            <w:noWrap/>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p>
            <w:pPr>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restart"/>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吉克</w:t>
            </w:r>
          </w:p>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水库</w:t>
            </w: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一级保护区围网</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4302</w:t>
            </w: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2084m</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0.02万元/</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m</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级保护区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界桩</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4302</w:t>
            </w: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18个</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界桩</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6633</w:t>
            </w: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16个</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0.05</w:t>
            </w:r>
            <w:r>
              <w:rPr>
                <w:rFonts w:ascii="Times New Roman" w:hAnsi="Times New Roman" w:eastAsia="仿宋"/>
                <w:bCs/>
                <w:color w:val="0D0D0D" w:themeColor="text1" w:themeTint="F2"/>
                <w:sz w:val="24"/>
                <w:szCs w:val="24"/>
                <w14:textFill>
                  <w14:solidFill>
                    <w14:schemeClr w14:val="tx1">
                      <w14:lumMod w14:val="95000"/>
                      <w14:lumOff w14:val="5000"/>
                    </w14:schemeClr>
                  </w14:solidFill>
                </w14:textFill>
              </w:rPr>
              <w:t>万元/个</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交通警示牌</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5块</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万元/块</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宣传牌</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3块</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万元/块</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38"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大坝告示牌</w:t>
            </w:r>
          </w:p>
        </w:tc>
        <w:tc>
          <w:tcPr>
            <w:tcW w:w="1334" w:type="dxa"/>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99"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1块</w:t>
            </w:r>
          </w:p>
        </w:tc>
        <w:tc>
          <w:tcPr>
            <w:tcW w:w="1822" w:type="dxa"/>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2万元/块</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221" w:type="dxa"/>
            <w:vMerge w:val="continue"/>
            <w:shd w:val="clear" w:color="auto" w:fill="auto"/>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7093" w:type="dxa"/>
            <w:gridSpan w:val="4"/>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336" w:type="dxa"/>
            <w:shd w:val="clear" w:color="auto" w:fill="auto"/>
            <w:noWrap/>
            <w:vAlign w:val="center"/>
          </w:tcPr>
          <w:p>
            <w:pPr>
              <w:widowControl/>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49.38</w:t>
            </w: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46" w:name="_Toc27509944"/>
      <w:bookmarkStart w:id="147" w:name="_Toc25844367"/>
      <w:bookmarkStart w:id="148" w:name="_Toc21795771"/>
      <w:bookmarkStart w:id="149" w:name="_Toc17982538"/>
      <w:bookmarkStart w:id="150" w:name="_Toc524596461"/>
      <w:r>
        <w:rPr>
          <w:rFonts w:hint="eastAsia"/>
          <w:color w:val="0D0D0D" w:themeColor="text1" w:themeTint="F2"/>
          <w:sz w:val="28"/>
          <w:szCs w:val="28"/>
          <w14:textFill>
            <w14:solidFill>
              <w14:schemeClr w14:val="tx1">
                <w14:lumMod w14:val="95000"/>
                <w14:lumOff w14:val="5000"/>
              </w14:schemeClr>
            </w14:solidFill>
          </w14:textFill>
        </w:rPr>
        <w:t>4.1.2 保护区整治工程</w:t>
      </w:r>
      <w:bookmarkEnd w:id="146"/>
      <w:bookmarkEnd w:id="147"/>
      <w:bookmarkEnd w:id="148"/>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bookmarkStart w:id="151" w:name="_Toc524596458"/>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根据技术规范要求，对一级保护区、二级保护区进行污染整治。一级保护区内不存在与供水设施和保护水源无关的建设项目，</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保护区划定前已有的建设项目拆除或关闭并视情进行生态修复；保护区内无工业、生活排污口，无畜禽养殖、网箱养殖、旅游、游泳、垂钓等活动；</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保护区内无新增农业种植和经济林，已有的农业种植严格控制化肥、农药等非点源污染，并逐步退出。二级保护区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整治点源、控制非点源、管理流动源，</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实行科学种植和非点源污染防治。</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根据吉克水库保护区划分结果，一级保护区内有采石场，有居民居住、畜禽养殖面源污染，且存在少量耕地；二级保护区内无居民居住、畜禽养殖，但有大片旱地。因此主要对一级保护区内固定源及农村农业面源、畜禽养殖污染实施控制工程；对二级保护区耕地种植面源实施污染控制工程；并加强进库道路交通污染和风险防控。</w:t>
      </w:r>
    </w:p>
    <w:bookmarkEnd w:id="151"/>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52" w:name="_Toc52459646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面源污染控制</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1）退耕还林工程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通过实施退耕还林还草，清退一级保护区内全部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耕地，禁止区内新开垦耕地。根据201</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7</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年</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国家发展改革局、财政部、国家林业局、农业部、国土资源部联合下发的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关于下达2017年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退耕还林还草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年度任务的通知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》，退耕还林补助为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16</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00元/亩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，每亩第一年900元（其中，种苗造林费400元）、第三年300元、第五年400元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现状有耕地约316.93亩（21.13 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约50.71万元。</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2）农村生活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面源治理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吉克水库一级保护区内主要涉及吉克村的上吉克村，保护区内有59户201人，上吉克村人口分布较为集中，对保护区内实施农村生活垃圾及生活污水处置工程。</w:t>
      </w:r>
    </w:p>
    <w:p>
      <w:pPr>
        <w:adjustRightInd w:val="0"/>
        <w:snapToGrid w:val="0"/>
        <w:spacing w:line="360" w:lineRule="auto"/>
        <w:ind w:firstLine="56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农村生活垃圾处置工程：</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建成</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“组保洁、村收集、乡（镇）转运、县（市）区处置”的城乡生活垃圾无害化</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收运处置四级管理体制，将保护区内农村生活垃圾集中收集并在保护区外进行无害化处置，近期农村生活垃圾收集处理率达80%。垃圾收集基础设施（垃圾房）每个自然村设置1个，按村委会投工投劳，政府补助方式实施，投资以0.5万元/个计；每个村委会配置1辆农用三轮摩托式垃圾清运车，以2万元/辆计；垃圾清运费（含清运人员工资、运输车辆运维等），向农户定期收取后支付，以10元/户/月估算。</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吉克水库一级保护区</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涉及</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1个村委会1个自然村，</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配备垃圾清运车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辆，共计</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2.00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；建设1个</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垃圾收集基础设施</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，投资0.50万元；59</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户垃圾清运年运维费约</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0.71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万元/年</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；村委会于水源保护区外设置1座小型焚烧炉，以3万元/座计，共计3万元</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共投资6.21万元。</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农村生活污水处置工程：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上吉克村居住较为集中，采用集中生活污水处理方式，并将生活污水收集处理后引出流域外。上吉克村涉及59户201人，农村生活污水产生量约为4.9 t/d，设计污水处理规模为6 t/d，截污管道及设施投资以1万元/ t计，预计投资6.00万元。</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3）畜禽养殖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面源治理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吉克水库一级保护内主要涉及1个自然村，畜禽养殖约为肉猪340头、肉牛28头、肉羊75只、鸡910羽。</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结合“提升城乡人居环境五年行动计划”，对保护区内农户畜禽养殖实施“改圈”，规范农村畜禽养殖，加强相关宣传教育工作，提高农户污染防范意识，畜禽养殖粪便禁止排入区内地表水体。农户“改圈”按村民投工投劳，政府补助方式实施，投资按0.5万元/户计，吉克水库保护区内59户，实施“改圈”达100%，投资约29.50万元。</w:t>
      </w:r>
    </w:p>
    <w:p>
      <w:pPr>
        <w:adjustRightInd w:val="0"/>
        <w:snapToGrid w:val="0"/>
        <w:spacing w:line="360" w:lineRule="auto"/>
        <w:ind w:firstLine="561"/>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（2）二</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级保护区</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面源污染控制工程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退耕还林工程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二级保护区内25°以上坡耕地</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逐步</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实施退耕还林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。根据统计分析，吉克水库二级保护区2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5°</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以上坡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耕地面积</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约22.04亩（1.47 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现状及退耕还林投资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估算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见下表。</w:t>
      </w: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吉克水库二级</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保护区退耕还林工程投资估算表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1486"/>
        <w:gridCol w:w="1673"/>
        <w:gridCol w:w="1448"/>
        <w:gridCol w:w="1285"/>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trPr>
        <w:tc>
          <w:tcPr>
            <w:tcW w:w="1780" w:type="dxa"/>
            <w:vMerge w:val="restart"/>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农用地类型</w:t>
            </w:r>
          </w:p>
        </w:tc>
        <w:tc>
          <w:tcPr>
            <w:tcW w:w="1486"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现状面积</w:t>
            </w:r>
          </w:p>
        </w:tc>
        <w:tc>
          <w:tcPr>
            <w:tcW w:w="3121" w:type="dxa"/>
            <w:gridSpan w:val="2"/>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退耕还林面积</w:t>
            </w:r>
          </w:p>
        </w:tc>
        <w:tc>
          <w:tcPr>
            <w:tcW w:w="1285"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978"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trPr>
        <w:tc>
          <w:tcPr>
            <w:tcW w:w="1780" w:type="dxa"/>
            <w:vMerge w:val="continue"/>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486"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673"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448"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亩</w:t>
            </w:r>
          </w:p>
        </w:tc>
        <w:tc>
          <w:tcPr>
            <w:tcW w:w="1285" w:type="dxa"/>
            <w:shd w:val="clear" w:color="auto" w:fill="D8D8D8" w:themeFill="background1" w:themeFillShade="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万元/亩</w:t>
            </w:r>
          </w:p>
        </w:tc>
        <w:tc>
          <w:tcPr>
            <w:tcW w:w="1978" w:type="dxa"/>
            <w:shd w:val="clear" w:color="auto" w:fill="D8D8D8" w:themeFill="background1" w:themeFillShade="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780"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486"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9.59</w:t>
            </w:r>
          </w:p>
        </w:tc>
        <w:tc>
          <w:tcPr>
            <w:tcW w:w="1673"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1.47</w:t>
            </w:r>
          </w:p>
        </w:tc>
        <w:tc>
          <w:tcPr>
            <w:tcW w:w="1448"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22.04</w:t>
            </w:r>
          </w:p>
        </w:tc>
        <w:tc>
          <w:tcPr>
            <w:tcW w:w="1285"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w:t>
            </w: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16</w:t>
            </w:r>
          </w:p>
        </w:tc>
        <w:tc>
          <w:tcPr>
            <w:tcW w:w="1978"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3.53</w:t>
            </w:r>
          </w:p>
        </w:tc>
      </w:tr>
    </w:tbl>
    <w:p>
      <w:pPr>
        <w:widowControl/>
        <w:adjustRightInd w:val="0"/>
        <w:snapToGrid w:val="0"/>
        <w:spacing w:before="156" w:beforeLines="50"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针对目前农田化肥施用过量，化肥氮、磷、钾配比不协调，农作物品质下降、农田氮、磷流失严重等问题，</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。根据二级保护区农田的实际情况，当地测土配方施肥技术推广和示范费用补助1500元/hm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00</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元/亩）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吉克水库二级保护区对近期保留的旱地、水田进行</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测土</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配方推广，实施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面积约为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25.55</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（不含退耕还林1.47 </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3.83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吉克水库二级保护区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测土配方施肥</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面积及</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测算</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1602"/>
        <w:gridCol w:w="3125"/>
        <w:gridCol w:w="1600"/>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930" w:type="dxa"/>
            <w:vMerge w:val="restart"/>
            <w:shd w:val="clear" w:color="auto" w:fill="D8D8D8" w:themeFill="background1" w:themeFillShade="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农用地类型</w:t>
            </w:r>
          </w:p>
        </w:tc>
        <w:tc>
          <w:tcPr>
            <w:tcW w:w="1602"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现状面积</w:t>
            </w:r>
          </w:p>
        </w:tc>
        <w:tc>
          <w:tcPr>
            <w:tcW w:w="312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测土配方施肥</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面积</w:t>
            </w:r>
          </w:p>
        </w:tc>
        <w:tc>
          <w:tcPr>
            <w:tcW w:w="1600"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单价</w:t>
            </w:r>
          </w:p>
        </w:tc>
        <w:tc>
          <w:tcPr>
            <w:tcW w:w="1393"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930" w:type="dxa"/>
            <w:vMerge w:val="continue"/>
            <w:shd w:val="clear" w:color="auto" w:fill="D8D8D8" w:themeFill="background1" w:themeFillShade="D9"/>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p>
        </w:tc>
        <w:tc>
          <w:tcPr>
            <w:tcW w:w="1602"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3125"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600" w:type="dxa"/>
            <w:shd w:val="clear" w:color="auto" w:fill="D9D9D9"/>
            <w:noWrap/>
            <w:vAlign w:val="center"/>
          </w:tcPr>
          <w:p>
            <w:pPr>
              <w:widowControl/>
              <w:jc w:val="cente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万元/hm</w:t>
            </w:r>
            <w:r>
              <w:rPr>
                <w:rFonts w:ascii="Times New Roman" w:hAnsi="Times New Roman" w:eastAsia="仿宋"/>
                <w:b/>
                <w:color w:val="0D0D0D" w:themeColor="text1" w:themeTint="F2"/>
                <w:sz w:val="24"/>
                <w:szCs w:val="24"/>
                <w:vertAlign w:val="superscript"/>
                <w14:textFill>
                  <w14:solidFill>
                    <w14:schemeClr w14:val="tx1">
                      <w14:lumMod w14:val="95000"/>
                      <w14:lumOff w14:val="5000"/>
                    </w14:schemeClr>
                  </w14:solidFill>
                </w14:textFill>
              </w:rPr>
              <w:t>2</w:t>
            </w:r>
          </w:p>
        </w:tc>
        <w:tc>
          <w:tcPr>
            <w:tcW w:w="1393" w:type="dxa"/>
            <w:shd w:val="clear" w:color="auto" w:fill="D9D9D9"/>
            <w:noWrap/>
            <w:vAlign w:val="center"/>
          </w:tcPr>
          <w:p>
            <w:pPr>
              <w:widowControl/>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930"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旱地</w:t>
            </w:r>
          </w:p>
        </w:tc>
        <w:tc>
          <w:tcPr>
            <w:tcW w:w="1602"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9.59</w:t>
            </w:r>
          </w:p>
        </w:tc>
        <w:tc>
          <w:tcPr>
            <w:tcW w:w="3125" w:type="dxa"/>
            <w:shd w:val="clear" w:color="auto" w:fill="auto"/>
            <w:noWrap/>
            <w:vAlign w:val="bottom"/>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8.12</w:t>
            </w:r>
          </w:p>
        </w:tc>
        <w:tc>
          <w:tcPr>
            <w:tcW w:w="1600"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393" w:type="dxa"/>
            <w:shd w:val="clear" w:color="auto" w:fill="auto"/>
            <w:noWrap/>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930"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水田</w:t>
            </w:r>
          </w:p>
        </w:tc>
        <w:tc>
          <w:tcPr>
            <w:tcW w:w="1602" w:type="dxa"/>
            <w:shd w:val="clear" w:color="auto" w:fill="auto"/>
            <w:noWrap/>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17.43</w:t>
            </w:r>
          </w:p>
        </w:tc>
        <w:tc>
          <w:tcPr>
            <w:tcW w:w="3125" w:type="dxa"/>
            <w:shd w:val="clear" w:color="auto" w:fill="auto"/>
            <w:noWrap/>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17.43</w:t>
            </w:r>
          </w:p>
        </w:tc>
        <w:tc>
          <w:tcPr>
            <w:tcW w:w="1600"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393" w:type="dxa"/>
            <w:shd w:val="clear" w:color="auto" w:fill="auto"/>
            <w:noWrap/>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1930"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602" w:type="dxa"/>
            <w:shd w:val="clear" w:color="auto" w:fill="auto"/>
            <w:noWrap/>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27.02</w:t>
            </w:r>
          </w:p>
        </w:tc>
        <w:tc>
          <w:tcPr>
            <w:tcW w:w="3125" w:type="dxa"/>
            <w:shd w:val="clear" w:color="auto" w:fill="auto"/>
            <w:noWrap/>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25.55</w:t>
            </w:r>
          </w:p>
        </w:tc>
        <w:tc>
          <w:tcPr>
            <w:tcW w:w="1600"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393" w:type="dxa"/>
            <w:shd w:val="clear" w:color="auto" w:fill="auto"/>
            <w:noWrap/>
            <w:vAlign w:val="bottom"/>
          </w:tcPr>
          <w:p>
            <w:pPr>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3.83</w:t>
            </w:r>
          </w:p>
        </w:tc>
      </w:tr>
    </w:tbl>
    <w:p>
      <w:pPr>
        <w:adjustRightInd w:val="0"/>
        <w:snapToGrid w:val="0"/>
        <w:spacing w:before="156" w:beforeLines="50" w:line="360" w:lineRule="auto"/>
        <w:ind w:firstLine="562"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（3）交通污染和风险控制</w:t>
      </w:r>
      <w:bookmarkEnd w:id="152"/>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1"/>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吉克水库保护区范围内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乡道Y204及连接上吉克村等各自然村道路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穿过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。其中，一级保护内乡道Y204穿越路段长约0.89km；二级保护区内乡道Y204穿越路段长约0.08km，二级保护区内其他乡村道路约0.84km。</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为防止和杜绝保护区沿岸道路</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车辆通过</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带来的污染和运输事故带来的污染隐患，</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在进入保护区路段设置饮用水源保护区交通安全标志，</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工程</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具体内容及</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投资估算详见表</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，规划</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2.50</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万元</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；同时，</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需设置保护区路段截排水沟，</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具体内容及</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投资估算详见表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4，规划</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9.70</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吉克水库保护区</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交通污染控制工程投资估算表</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1290"/>
        <w:gridCol w:w="1233"/>
        <w:gridCol w:w="1820"/>
        <w:gridCol w:w="1363"/>
        <w:gridCol w:w="1233"/>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blHeader/>
          <w:jc w:val="center"/>
        </w:trPr>
        <w:tc>
          <w:tcPr>
            <w:tcW w:w="1779"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保护区</w:t>
            </w:r>
          </w:p>
        </w:tc>
        <w:tc>
          <w:tcPr>
            <w:tcW w:w="1290" w:type="dxa"/>
            <w:shd w:val="clear" w:color="000000" w:fill="D9D9D9"/>
            <w:noWrap/>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公路</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名称</w:t>
            </w:r>
          </w:p>
        </w:tc>
        <w:tc>
          <w:tcPr>
            <w:tcW w:w="1233"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长度</w:t>
            </w:r>
          </w:p>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km</w:t>
            </w: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w:t>
            </w:r>
          </w:p>
        </w:tc>
        <w:tc>
          <w:tcPr>
            <w:tcW w:w="1820"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拟采取防护</w:t>
            </w:r>
          </w:p>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措施</w:t>
            </w:r>
          </w:p>
        </w:tc>
        <w:tc>
          <w:tcPr>
            <w:tcW w:w="1363"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工程规模</w:t>
            </w:r>
          </w:p>
        </w:tc>
        <w:tc>
          <w:tcPr>
            <w:tcW w:w="1233"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单价</w:t>
            </w:r>
          </w:p>
        </w:tc>
        <w:tc>
          <w:tcPr>
            <w:tcW w:w="932" w:type="dxa"/>
            <w:shd w:val="clear" w:color="000000" w:fill="D9D9D9"/>
            <w:vAlign w:val="center"/>
          </w:tcPr>
          <w:p>
            <w:pPr>
              <w:widowControl/>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投资</w:t>
            </w:r>
          </w:p>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79"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290"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乡道Y204</w:t>
            </w:r>
          </w:p>
        </w:tc>
        <w:tc>
          <w:tcPr>
            <w:tcW w:w="12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0.89</w:t>
            </w:r>
          </w:p>
        </w:tc>
        <w:tc>
          <w:tcPr>
            <w:tcW w:w="1820"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完善</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公路截排水调节沟</w:t>
            </w:r>
          </w:p>
        </w:tc>
        <w:tc>
          <w:tcPr>
            <w:tcW w:w="1363"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0.89km</w:t>
            </w:r>
          </w:p>
        </w:tc>
        <w:tc>
          <w:tcPr>
            <w:tcW w:w="1233"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10万元/km</w:t>
            </w:r>
          </w:p>
        </w:tc>
        <w:tc>
          <w:tcPr>
            <w:tcW w:w="93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779"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w:t>
            </w:r>
          </w:p>
        </w:tc>
        <w:tc>
          <w:tcPr>
            <w:tcW w:w="1290" w:type="dxa"/>
            <w:shd w:val="clear" w:color="000000" w:fill="FFFFFF"/>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乡道Y204</w:t>
            </w:r>
          </w:p>
        </w:tc>
        <w:tc>
          <w:tcPr>
            <w:tcW w:w="1233"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0.08</w:t>
            </w:r>
          </w:p>
        </w:tc>
        <w:tc>
          <w:tcPr>
            <w:tcW w:w="1820" w:type="dxa"/>
            <w:vMerge w:val="continue"/>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363" w:type="dxa"/>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0.08km</w:t>
            </w:r>
          </w:p>
        </w:tc>
        <w:tc>
          <w:tcPr>
            <w:tcW w:w="1233" w:type="dxa"/>
            <w:vMerge w:val="continue"/>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932" w:type="dxa"/>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0.80</w:t>
            </w:r>
          </w:p>
        </w:tc>
      </w:tr>
    </w:tbl>
    <w:p>
      <w:pPr>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53" w:name="_Toc25844368"/>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）固定源风险控制工程</w:t>
      </w:r>
    </w:p>
    <w:p>
      <w:pPr>
        <w:adjustRightInd w:val="0"/>
        <w:snapToGrid w:val="0"/>
        <w:spacing w:line="360" w:lineRule="auto"/>
        <w:ind w:firstLine="56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吉克水库一级保护区内有</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采石场，应进一步加强采石场环境风险控制，对采石区进行植被恢复。采石场植被恢复等费用由企业自行承担。</w:t>
      </w:r>
    </w:p>
    <w:p>
      <w:pPr>
        <w:adjustRightInd w:val="0"/>
        <w:snapToGrid w:val="0"/>
        <w:spacing w:before="156" w:beforeLines="50" w:line="360" w:lineRule="auto"/>
        <w:ind w:firstLine="562" w:firstLineChars="200"/>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（5）煤矿采矿权风险防控工程</w:t>
      </w:r>
    </w:p>
    <w:p>
      <w:pPr>
        <w:widowControl/>
        <w:adjustRightInd w:val="0"/>
        <w:snapToGrid w:val="0"/>
        <w:spacing w:line="360" w:lineRule="auto"/>
        <w:ind w:firstLine="560" w:firstLineChars="200"/>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水库饮用水水源保护区内涉及吉克煤矿、鑫丰煤矿采矿权，与吉克水库保护区重叠面积较大且涉及一级保护区水域，为避免煤矿开采对水库造成的环境污染风险，吉克煤矿、鑫丰煤矿采矿权范围应退出保护区范围。此外，在吉克水库径流区范围内、保护区范围外存在富兴煤矿，与径流区重叠面积较小且重叠区域不进行实际开采作业，但富兴煤矿部分采矿权与吉克水库径流区重叠，为确保水库水量和水质安全，防范环境污染风险，应加强对重叠区域的监管，</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该区域地表参照水源保护区二级保护区管理，禁止设置煤矿工业场站，禁止向</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水库径流区排放废水，并加强地表塌陷监测。</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54" w:name="_Toc27509945"/>
      <w:r>
        <w:rPr>
          <w:rFonts w:hint="eastAsia"/>
          <w:color w:val="0D0D0D" w:themeColor="text1" w:themeTint="F2"/>
          <w:sz w:val="28"/>
          <w:szCs w:val="28"/>
          <w14:textFill>
            <w14:solidFill>
              <w14:schemeClr w14:val="tx1">
                <w14:lumMod w14:val="95000"/>
                <w14:lumOff w14:val="5000"/>
              </w14:schemeClr>
            </w14:solidFill>
          </w14:textFill>
        </w:rPr>
        <w:t xml:space="preserve">4.1.3 </w:t>
      </w:r>
      <w:r>
        <w:rPr>
          <w:color w:val="0D0D0D" w:themeColor="text1" w:themeTint="F2"/>
          <w:sz w:val="28"/>
          <w:szCs w:val="28"/>
          <w14:textFill>
            <w14:solidFill>
              <w14:schemeClr w14:val="tx1">
                <w14:lumMod w14:val="95000"/>
                <w14:lumOff w14:val="5000"/>
              </w14:schemeClr>
            </w14:solidFill>
          </w14:textFill>
        </w:rPr>
        <w:t>生态恢复与建设工程</w:t>
      </w:r>
      <w:bookmarkEnd w:id="149"/>
      <w:bookmarkEnd w:id="150"/>
      <w:bookmarkEnd w:id="153"/>
      <w:bookmarkEnd w:id="154"/>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针对饮用水水源地保护区内的生态现状，进行生态修复、生态建设工程，加强生态保护，提高保护区内自然净化能力，促进生态良性循环，改善和保护饮用水源水质。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针对吉克水库，主要实施人工造林及水土流失治理工程。</w:t>
      </w:r>
    </w:p>
    <w:p>
      <w:pPr>
        <w:adjustRightInd w:val="0"/>
        <w:snapToGrid w:val="0"/>
        <w:spacing w:line="360" w:lineRule="auto"/>
        <w:ind w:firstLine="56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（1）退耕地人工造林工程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对吉克水库一级保护区内全部退耕地316.93亩，二级保护区25°以上坡耕地22.04亩退耕地实施人工造林。投资以0.15万元/亩计。</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现状及</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退耕地人工造林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估算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见下表。</w:t>
      </w: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吉克水库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保护区退耕还林工程投资估算表</w:t>
      </w:r>
    </w:p>
    <w:tbl>
      <w:tblPr>
        <w:tblStyle w:val="44"/>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1486"/>
        <w:gridCol w:w="1673"/>
        <w:gridCol w:w="1604"/>
        <w:gridCol w:w="1446"/>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trPr>
        <w:tc>
          <w:tcPr>
            <w:tcW w:w="1779" w:type="dxa"/>
            <w:vMerge w:val="restart"/>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保护区</w:t>
            </w:r>
          </w:p>
        </w:tc>
        <w:tc>
          <w:tcPr>
            <w:tcW w:w="1486"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现状面积</w:t>
            </w:r>
          </w:p>
        </w:tc>
        <w:tc>
          <w:tcPr>
            <w:tcW w:w="3277" w:type="dxa"/>
            <w:gridSpan w:val="2"/>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退耕地造林</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面积</w:t>
            </w:r>
          </w:p>
        </w:tc>
        <w:tc>
          <w:tcPr>
            <w:tcW w:w="1446"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单价</w:t>
            </w:r>
          </w:p>
        </w:tc>
        <w:tc>
          <w:tcPr>
            <w:tcW w:w="1662"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blHeader/>
        </w:trPr>
        <w:tc>
          <w:tcPr>
            <w:tcW w:w="1779" w:type="dxa"/>
            <w:vMerge w:val="continue"/>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486"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673"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604"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亩</w:t>
            </w:r>
          </w:p>
        </w:tc>
        <w:tc>
          <w:tcPr>
            <w:tcW w:w="1446" w:type="dxa"/>
            <w:shd w:val="clear" w:color="000000" w:fill="D9D9D9"/>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万元/亩</w:t>
            </w:r>
          </w:p>
        </w:tc>
        <w:tc>
          <w:tcPr>
            <w:tcW w:w="1662" w:type="dxa"/>
            <w:shd w:val="clear" w:color="000000" w:fill="D9D9D9"/>
            <w:noWrap/>
            <w:vAlign w:val="center"/>
          </w:tcPr>
          <w:p>
            <w:pPr>
              <w:widowControl/>
              <w:adjustRightInd w:val="0"/>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779"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486"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21.13</w:t>
            </w:r>
          </w:p>
        </w:tc>
        <w:tc>
          <w:tcPr>
            <w:tcW w:w="167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21.13</w:t>
            </w:r>
          </w:p>
        </w:tc>
        <w:tc>
          <w:tcPr>
            <w:tcW w:w="1604"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316.93</w:t>
            </w:r>
          </w:p>
        </w:tc>
        <w:tc>
          <w:tcPr>
            <w:tcW w:w="1446"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66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47.54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779"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w:t>
            </w:r>
          </w:p>
        </w:tc>
        <w:tc>
          <w:tcPr>
            <w:tcW w:w="1486"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27.02</w:t>
            </w:r>
          </w:p>
        </w:tc>
        <w:tc>
          <w:tcPr>
            <w:tcW w:w="167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1.47</w:t>
            </w:r>
          </w:p>
        </w:tc>
        <w:tc>
          <w:tcPr>
            <w:tcW w:w="1604"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22.04</w:t>
            </w:r>
          </w:p>
        </w:tc>
        <w:tc>
          <w:tcPr>
            <w:tcW w:w="1446"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0.15</w:t>
            </w:r>
          </w:p>
        </w:tc>
        <w:tc>
          <w:tcPr>
            <w:tcW w:w="166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779" w:type="dxa"/>
            <w:shd w:val="clear" w:color="auto" w:fill="auto"/>
            <w:noWrap/>
            <w:vAlign w:val="center"/>
          </w:tcPr>
          <w:p>
            <w:pPr>
              <w:widowControl/>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486"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48.15</w:t>
            </w:r>
          </w:p>
        </w:tc>
        <w:tc>
          <w:tcPr>
            <w:tcW w:w="1673" w:type="dxa"/>
            <w:shd w:val="clear" w:color="auto" w:fill="auto"/>
            <w:noWrap/>
            <w:vAlign w:val="center"/>
          </w:tcPr>
          <w:p>
            <w:pPr>
              <w:widowControl/>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22.60</w:t>
            </w:r>
          </w:p>
        </w:tc>
        <w:tc>
          <w:tcPr>
            <w:tcW w:w="1604"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338.97</w:t>
            </w:r>
          </w:p>
        </w:tc>
        <w:tc>
          <w:tcPr>
            <w:tcW w:w="1446" w:type="dxa"/>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1662" w:type="dxa"/>
            <w:shd w:val="clear" w:color="auto" w:fill="auto"/>
            <w:noWrap/>
            <w:vAlign w:val="center"/>
          </w:tcPr>
          <w:p>
            <w:pPr>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50.85</w:t>
            </w:r>
          </w:p>
        </w:tc>
      </w:tr>
    </w:tbl>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（2）水土流失治理工程</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根据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保护区内的</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土地利用现状、水土流失现状、水土保持工作方向和水源保护的相关要求，本</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区划</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一级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、二级保护区</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作为水土流失综合治理区进行措施布局。</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采取农业用地措施（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坡改梯</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经济果木林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种植、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植物护埂</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保土耕作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植物篱</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坡面水系措施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、作业便道措施、挖沙采石场迹地恢复措施）、生态用地措施（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水土保持林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种草</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封禁治理措施</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）、小型水利水保工程措施（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溪沟整治</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拦砂坝</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）及其他辅助措施，</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力争保护区内平均土壤侵蚀模数降至轻度（500 t/km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·a）以下，流域水土流失总量降低50%以上。水土流失综合治理工程投资按0.5万元/公顷估算，最终投资以具体实施项目可研设计为准。</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吉克水库对一级保护区内流失面积24.81</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 xml:space="preserve">、二级保护区内流失面积30.64 </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hm</w:t>
      </w:r>
      <w:r>
        <w:rPr>
          <w:rFonts w:ascii="Times New Roman" w:hAnsi="Times New Roman" w:eastAsia="仿宋"/>
          <w:color w:val="0D0D0D" w:themeColor="text1" w:themeTint="F2"/>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实施治理，</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27.73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0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6</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吉克水库</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水土流失治理工程规划及投资估算</w:t>
      </w:r>
    </w:p>
    <w:tbl>
      <w:tblPr>
        <w:tblStyle w:val="45"/>
        <w:tblW w:w="96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28"/>
        <w:gridCol w:w="1981"/>
        <w:gridCol w:w="1785"/>
        <w:gridCol w:w="1276"/>
        <w:gridCol w:w="288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728" w:type="dxa"/>
            <w:vMerge w:val="restart"/>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保护区</w:t>
            </w:r>
          </w:p>
        </w:tc>
        <w:tc>
          <w:tcPr>
            <w:tcW w:w="1981"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现状流失面积</w:t>
            </w:r>
          </w:p>
        </w:tc>
        <w:tc>
          <w:tcPr>
            <w:tcW w:w="1785"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治理面积</w:t>
            </w:r>
          </w:p>
        </w:tc>
        <w:tc>
          <w:tcPr>
            <w:tcW w:w="1276"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投资</w:t>
            </w:r>
          </w:p>
        </w:tc>
        <w:tc>
          <w:tcPr>
            <w:tcW w:w="2880"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bCs/>
                <w:color w:val="0D0D0D" w:themeColor="text1" w:themeTint="F2"/>
                <w:sz w:val="24"/>
                <w:szCs w:val="24"/>
                <w14:textFill>
                  <w14:solidFill>
                    <w14:schemeClr w14:val="tx1">
                      <w14:lumMod w14:val="95000"/>
                      <w14:lumOff w14:val="5000"/>
                    </w14:schemeClr>
                  </w14:solidFill>
                </w14:textFill>
              </w:rPr>
              <w:t>规划土壤侵蚀模数目标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728" w:type="dxa"/>
            <w:vMerge w:val="continue"/>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p>
        </w:tc>
        <w:tc>
          <w:tcPr>
            <w:tcW w:w="1981"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785"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hm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p>
        </w:tc>
        <w:tc>
          <w:tcPr>
            <w:tcW w:w="1276"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万元</w:t>
            </w:r>
          </w:p>
        </w:tc>
        <w:tc>
          <w:tcPr>
            <w:tcW w:w="2880" w:type="dxa"/>
            <w:shd w:val="clear" w:color="auto" w:fill="D8D8D8" w:themeFill="background1" w:themeFillShade="D9"/>
            <w:vAlign w:val="center"/>
          </w:tcPr>
          <w:p>
            <w:pPr>
              <w:widowControl/>
              <w:snapToGrid w:val="0"/>
              <w:jc w:val="cente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t/km</w:t>
            </w:r>
            <w:r>
              <w:rPr>
                <w:rFonts w:ascii="Times New Roman" w:hAnsi="Times New Roman" w:eastAsia="仿宋"/>
                <w:b/>
                <w:bCs/>
                <w:color w:val="0D0D0D" w:themeColor="text1" w:themeTint="F2"/>
                <w:sz w:val="24"/>
                <w:szCs w:val="24"/>
                <w:vertAlign w:val="superscript"/>
                <w14:textFill>
                  <w14:solidFill>
                    <w14:schemeClr w14:val="tx1">
                      <w14:lumMod w14:val="95000"/>
                      <w14:lumOff w14:val="5000"/>
                    </w14:schemeClr>
                  </w14:solidFill>
                </w14:textFill>
              </w:rPr>
              <w:t>2</w:t>
            </w:r>
            <w:r>
              <w:rPr>
                <w:rFonts w:ascii="Times New Roman" w:hAnsi="Times New Roman" w:eastAsia="仿宋"/>
                <w:b/>
                <w:bCs/>
                <w:color w:val="0D0D0D" w:themeColor="text1" w:themeTint="F2"/>
                <w:sz w:val="24"/>
                <w:szCs w:val="24"/>
                <w14:textFill>
                  <w14:solidFill>
                    <w14:schemeClr w14:val="tx1">
                      <w14:lumMod w14:val="95000"/>
                      <w14:lumOff w14:val="5000"/>
                    </w14:schemeClr>
                  </w14:solidFill>
                </w14:textFill>
              </w:rPr>
              <w:t>·a)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728"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一级保护区</w:t>
            </w:r>
          </w:p>
        </w:tc>
        <w:tc>
          <w:tcPr>
            <w:tcW w:w="1981"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69.72</w:t>
            </w:r>
          </w:p>
        </w:tc>
        <w:tc>
          <w:tcPr>
            <w:tcW w:w="1785"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24.81</w:t>
            </w:r>
          </w:p>
        </w:tc>
        <w:tc>
          <w:tcPr>
            <w:tcW w:w="1276"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12.40</w:t>
            </w:r>
          </w:p>
        </w:tc>
        <w:tc>
          <w:tcPr>
            <w:tcW w:w="2880" w:type="dxa"/>
            <w:vMerge w:val="restart"/>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728"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二级保护区</w:t>
            </w:r>
          </w:p>
        </w:tc>
        <w:tc>
          <w:tcPr>
            <w:tcW w:w="1981"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209.95</w:t>
            </w:r>
          </w:p>
        </w:tc>
        <w:tc>
          <w:tcPr>
            <w:tcW w:w="1785"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30.64</w:t>
            </w:r>
          </w:p>
        </w:tc>
        <w:tc>
          <w:tcPr>
            <w:tcW w:w="1276"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15.32</w:t>
            </w:r>
          </w:p>
        </w:tc>
        <w:tc>
          <w:tcPr>
            <w:tcW w:w="2880"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284" w:hRule="atLeast"/>
        </w:trPr>
        <w:tc>
          <w:tcPr>
            <w:tcW w:w="1728" w:type="dxa"/>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合计</w:t>
            </w:r>
          </w:p>
        </w:tc>
        <w:tc>
          <w:tcPr>
            <w:tcW w:w="1981" w:type="dxa"/>
            <w:vAlign w:val="center"/>
          </w:tcPr>
          <w:p>
            <w:pPr>
              <w:widowControl/>
              <w:snapToGrid w:val="0"/>
              <w:jc w:val="center"/>
              <w:rPr>
                <w:rFonts w:ascii="Times New Roman" w:hAnsi="Times New Roman"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 w:val="24"/>
                <w:szCs w:val="24"/>
                <w14:textFill>
                  <w14:solidFill>
                    <w14:schemeClr w14:val="tx1">
                      <w14:lumMod w14:val="95000"/>
                      <w14:lumOff w14:val="5000"/>
                    </w14:schemeClr>
                  </w14:solidFill>
                </w14:textFill>
              </w:rPr>
              <w:t>279.67</w:t>
            </w:r>
          </w:p>
        </w:tc>
        <w:tc>
          <w:tcPr>
            <w:tcW w:w="1785"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55.45</w:t>
            </w:r>
          </w:p>
        </w:tc>
        <w:tc>
          <w:tcPr>
            <w:tcW w:w="1276" w:type="dxa"/>
            <w:vAlign w:val="bottom"/>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27.73</w:t>
            </w:r>
          </w:p>
        </w:tc>
        <w:tc>
          <w:tcPr>
            <w:tcW w:w="2880" w:type="dxa"/>
            <w:vMerge w:val="continue"/>
            <w:vAlign w:val="center"/>
          </w:tcPr>
          <w:p>
            <w:pPr>
              <w:widowControl/>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55" w:name="_Toc27509946"/>
      <w:bookmarkStart w:id="156" w:name="_Toc25844369"/>
      <w:bookmarkStart w:id="157" w:name="_Toc17982539"/>
      <w:r>
        <w:rPr>
          <w:rFonts w:hint="eastAsia"/>
          <w:color w:val="0D0D0D" w:themeColor="text1" w:themeTint="F2"/>
          <w:sz w:val="28"/>
          <w:szCs w:val="28"/>
          <w14:textFill>
            <w14:solidFill>
              <w14:schemeClr w14:val="tx1">
                <w14:lumMod w14:val="95000"/>
                <w14:lumOff w14:val="5000"/>
              </w14:schemeClr>
            </w14:solidFill>
          </w14:textFill>
        </w:rPr>
        <w:t>4.1.4 管理能力建设工程</w:t>
      </w:r>
      <w:bookmarkEnd w:id="155"/>
      <w:bookmarkEnd w:id="156"/>
      <w:bookmarkEnd w:id="157"/>
    </w:p>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（1）水质监测能力建设</w:t>
      </w:r>
    </w:p>
    <w:p>
      <w:pPr>
        <w:adjustRightInd w:val="0"/>
        <w:snapToGrid w:val="0"/>
        <w:spacing w:line="360" w:lineRule="auto"/>
        <w:ind w:firstLine="56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需加强水源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监测工作，合理布置监测点位，建立常规监测机制，增加监测频次，水质监测结果向社会公布，及时反映水源水质状况，确保饮用水安全。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吉克水库水质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监测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点位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、频次及监测项目要求详见下表。</w:t>
      </w:r>
    </w:p>
    <w:p>
      <w:pPr>
        <w:adjustRightInd w:val="0"/>
        <w:snapToGrid w:val="0"/>
        <w:spacing w:line="320" w:lineRule="exact"/>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表4.1-7</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吉克水库水源环境</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监测网络建设内容</w:t>
      </w:r>
    </w:p>
    <w:tbl>
      <w:tblPr>
        <w:tblStyle w:val="44"/>
        <w:tblW w:w="9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9"/>
        <w:gridCol w:w="2503"/>
        <w:gridCol w:w="2171"/>
        <w:gridCol w:w="2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5092" w:type="dxa"/>
            <w:gridSpan w:val="2"/>
            <w:shd w:val="clear" w:color="auto" w:fill="D8D8D8" w:themeFill="background1" w:themeFillShade="D9"/>
            <w:vAlign w:val="center"/>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监测项目</w:t>
            </w:r>
          </w:p>
        </w:tc>
        <w:tc>
          <w:tcPr>
            <w:tcW w:w="2171" w:type="dxa"/>
            <w:shd w:val="clear" w:color="auto" w:fill="D8D8D8" w:themeFill="background1" w:themeFillShade="D9"/>
            <w:vAlign w:val="center"/>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w:t>
            </w:r>
            <w: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t>点位</w:t>
            </w:r>
          </w:p>
        </w:tc>
        <w:tc>
          <w:tcPr>
            <w:tcW w:w="2387" w:type="dxa"/>
            <w:shd w:val="clear" w:color="auto" w:fill="D8D8D8" w:themeFill="background1" w:themeFillShade="D9"/>
          </w:tcPr>
          <w:p>
            <w:pPr>
              <w:adjustRightInd w:val="0"/>
              <w:snapToGrid w:val="0"/>
              <w:jc w:val="center"/>
              <w:rPr>
                <w:rFonts w:ascii="Times New Roman" w:hAnsi="Times New Roman" w:eastAsia="仿宋"/>
                <w:b/>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4"/>
                <w:szCs w:val="24"/>
                <w14:textFill>
                  <w14:solidFill>
                    <w14:schemeClr w14:val="tx1">
                      <w14:lumMod w14:val="95000"/>
                      <w14:lumOff w14:val="5000"/>
                    </w14:schemeClr>
                  </w14:solidFill>
                </w14:textFill>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89" w:type="dxa"/>
            <w:vMerge w:val="restart"/>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《地表水环境质量标准》（GB3838-2002）</w:t>
            </w:r>
          </w:p>
        </w:tc>
        <w:tc>
          <w:tcPr>
            <w:tcW w:w="2503"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24项基本项目和5项补充项目</w:t>
            </w:r>
          </w:p>
        </w:tc>
        <w:tc>
          <w:tcPr>
            <w:tcW w:w="2171"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w:t>
            </w:r>
          </w:p>
        </w:tc>
        <w:tc>
          <w:tcPr>
            <w:tcW w:w="2387" w:type="dxa"/>
            <w:vMerge w:val="restart"/>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监测频次按上级考核要求进行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589" w:type="dxa"/>
            <w:vMerge w:val="continue"/>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c>
          <w:tcPr>
            <w:tcW w:w="2503"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80项</w:t>
            </w:r>
            <w: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t>特定项目</w:t>
            </w:r>
          </w:p>
        </w:tc>
        <w:tc>
          <w:tcPr>
            <w:tcW w:w="2171" w:type="dxa"/>
            <w:shd w:val="clear" w:color="auto" w:fill="auto"/>
            <w:vAlign w:val="center"/>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4"/>
                <w:szCs w:val="24"/>
                <w14:textFill>
                  <w14:solidFill>
                    <w14:schemeClr w14:val="tx1">
                      <w14:lumMod w14:val="95000"/>
                      <w14:lumOff w14:val="5000"/>
                    </w14:schemeClr>
                  </w14:solidFill>
                </w14:textFill>
              </w:rPr>
              <w:t>取水口</w:t>
            </w:r>
          </w:p>
        </w:tc>
        <w:tc>
          <w:tcPr>
            <w:tcW w:w="2387" w:type="dxa"/>
            <w:vMerge w:val="continue"/>
          </w:tcPr>
          <w:p>
            <w:pPr>
              <w:adjustRightInd w:val="0"/>
              <w:snapToGrid w:val="0"/>
              <w:jc w:val="center"/>
              <w:rPr>
                <w:rFonts w:ascii="Times New Roman" w:hAnsi="Times New Roman" w:eastAsia="仿宋"/>
                <w:color w:val="0D0D0D" w:themeColor="text1" w:themeTint="F2"/>
                <w:sz w:val="24"/>
                <w:szCs w:val="24"/>
                <w14:textFill>
                  <w14:solidFill>
                    <w14:schemeClr w14:val="tx1">
                      <w14:lumMod w14:val="95000"/>
                      <w14:lumOff w14:val="5000"/>
                    </w14:schemeClr>
                  </w14:solidFill>
                </w14:textFill>
              </w:rPr>
            </w:pPr>
          </w:p>
        </w:tc>
      </w:tr>
    </w:tbl>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（2）预警及应急能力建设</w:t>
      </w:r>
    </w:p>
    <w:p>
      <w:pPr>
        <w:widowControl/>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环境</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应急能力建设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应</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以防为主，充分考虑潜在的突发性事故风险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强化应对饮用水源突发环境事件应急处置能力，对水污染事件做到早预见、速报告、快处理，将水环境污染事件控制在突发期，将可能造成的污染损失和后果降低到最小，最大限度地保障人民群众的用水安全。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吉克水库环境应急能力建设主要包括确定应急类型及应急级别、建立监测与预警平台、制定应急预案、组建应急管理机构、配备应急物资。</w:t>
      </w:r>
    </w:p>
    <w:p>
      <w:pPr>
        <w:widowControl/>
        <w:adjustRightInd w:val="0"/>
        <w:snapToGrid w:val="0"/>
        <w:spacing w:before="156" w:beforeLines="50"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3）管理能力建设</w:t>
      </w:r>
    </w:p>
    <w:p>
      <w:pPr>
        <w:widowControl/>
        <w:adjustRightInd w:val="0"/>
        <w:snapToGrid w:val="0"/>
        <w:spacing w:line="360" w:lineRule="auto"/>
        <w:ind w:firstLine="561"/>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加强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吉克水库</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饮用水水源地管理能力建设，做到</w:t>
      </w:r>
      <w:r>
        <w:rPr>
          <w:rFonts w:ascii="仿宋" w:hAnsi="仿宋" w:eastAsia="仿宋" w:cs="Times New Roman"/>
          <w:color w:val="0D0D0D" w:themeColor="text1" w:themeTint="F2"/>
          <w:sz w:val="28"/>
          <w:szCs w:val="28"/>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；严格按《中华人民共和国环境保护法》、《中华人民共和国水法》、《中华人民共和国水污染防治法》、《饮用水水源保护区污染防治管理规定》等相关法律法规要求</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开展水源保护区环境监管，定期巡查水库保护区，</w:t>
      </w:r>
      <w:r>
        <w:rPr>
          <w:rFonts w:hint="eastAsia"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严禁畜禽放牧、垂钓等可能污染水源的活动，并</w:t>
      </w:r>
      <w:r>
        <w:rPr>
          <w:rFonts w:ascii="Times New Roman" w:hAnsi="Times New Roman" w:eastAsia="仿宋" w:cs="Times New Roman"/>
          <w:color w:val="0D0D0D" w:themeColor="text1" w:themeTint="F2"/>
          <w:sz w:val="28"/>
          <w:szCs w:val="28"/>
          <w14:textFill>
            <w14:solidFill>
              <w14:schemeClr w14:val="tx1">
                <w14:lumMod w14:val="95000"/>
                <w14:lumOff w14:val="5000"/>
              </w14:schemeClr>
            </w14:solidFill>
          </w14:textFill>
        </w:rPr>
        <w:t>定期开展饮用水水源地环境状况评估。</w:t>
      </w:r>
    </w:p>
    <w:p>
      <w:pPr>
        <w:autoSpaceDE w:val="0"/>
        <w:autoSpaceDN w:val="0"/>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吉克水库饮用水水源保护区规范化建设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项目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包括保护区范围划定工程、保护区整治工程、生态恢复与建设工程、管理能力建设工程等四大类，共14项具体工程内容。</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吉克水库饮用水水源保护区规范化</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292.43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w:t>
      </w:r>
    </w:p>
    <w:p>
      <w:pPr>
        <w:adjustRightInd w:val="0"/>
        <w:snapToGrid w:val="0"/>
        <w:spacing w:line="360" w:lineRule="auto"/>
        <w:ind w:firstLine="420" w:firstLineChars="200"/>
        <w:rPr>
          <w:color w:val="0D0D0D" w:themeColor="text1" w:themeTint="F2"/>
          <w14:textFill>
            <w14:solidFill>
              <w14:schemeClr w14:val="tx1">
                <w14:lumMod w14:val="95000"/>
                <w14:lumOff w14:val="5000"/>
              </w14:schemeClr>
            </w14:solidFill>
          </w14:textFill>
        </w:rPr>
        <w:sectPr>
          <w:pgSz w:w="11906" w:h="16838"/>
          <w:pgMar w:top="1440" w:right="1236" w:bottom="1440" w:left="1236" w:header="851" w:footer="992" w:gutter="0"/>
          <w:pgNumType w:fmt="numberInDash"/>
          <w:cols w:space="0" w:num="1"/>
          <w:docGrid w:type="lines" w:linePitch="312" w:charSpace="0"/>
        </w:sectPr>
      </w:pPr>
    </w:p>
    <w:p>
      <w:pPr>
        <w:spacing w:line="360" w:lineRule="auto"/>
        <w:jc w:val="cente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8</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 xml:space="preserve">  </w:t>
      </w:r>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吉克水库饮用水水源保护区规范化建设</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项目投资估算汇总表</w:t>
      </w:r>
    </w:p>
    <w:tbl>
      <w:tblPr>
        <w:tblStyle w:val="44"/>
        <w:tblW w:w="1435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286"/>
        <w:gridCol w:w="1549"/>
        <w:gridCol w:w="7796"/>
        <w:gridCol w:w="1417"/>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tblHeader/>
        </w:trPr>
        <w:tc>
          <w:tcPr>
            <w:tcW w:w="710"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1286"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类别</w:t>
            </w:r>
          </w:p>
        </w:tc>
        <w:tc>
          <w:tcPr>
            <w:tcW w:w="1549"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项目名称</w:t>
            </w:r>
          </w:p>
        </w:tc>
        <w:tc>
          <w:tcPr>
            <w:tcW w:w="7796"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项目内容</w:t>
            </w:r>
          </w:p>
        </w:tc>
        <w:tc>
          <w:tcPr>
            <w:tcW w:w="1417"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投资估算</w:t>
            </w:r>
          </w:p>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（万元）</w:t>
            </w:r>
          </w:p>
        </w:tc>
        <w:tc>
          <w:tcPr>
            <w:tcW w:w="1592" w:type="dxa"/>
            <w:shd w:val="clear" w:color="auto" w:fill="D8D8D8" w:themeFill="background1" w:themeFillShade="D9"/>
            <w:noWrap/>
            <w:vAlign w:val="center"/>
          </w:tcPr>
          <w:p>
            <w:pPr>
              <w:widowControl/>
              <w:jc w:val="center"/>
              <w:rPr>
                <w:rFonts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b/>
                <w:color w:val="0D0D0D" w:themeColor="text1" w:themeTint="F2"/>
                <w:kern w:val="0"/>
                <w:sz w:val="24"/>
                <w:szCs w:val="24"/>
                <w14:textFill>
                  <w14:solidFill>
                    <w14:schemeClr w14:val="tx1">
                      <w14:lumMod w14:val="95000"/>
                      <w14:lumOff w14:val="5000"/>
                    </w14:schemeClr>
                  </w14:solidFill>
                </w14:textFill>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28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保护区范围划定工程</w:t>
            </w: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保护区范围划定</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吉克水库一级保护区内</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2084</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m</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设立围网，一级保护区陆域边界按拐点设置界桩18个、二级保护区边界设置界桩16个，保护区</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道路</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进出路口设置交通警示牌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块，居民区及进出道路口设置水源保护区宣传牌</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块，大坝告示牌1块。</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49.38</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286" w:type="dxa"/>
            <w:vMerge w:val="restart"/>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保护区整治工程</w:t>
            </w: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保护区退耕还林</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一级保护区内全部耕地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316.93</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亩，二级保护区</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以上坡耕地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22.04</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亩实施退耕还林。</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54.23</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县林业林草局、县农业农村局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p>
        </w:tc>
        <w:tc>
          <w:tcPr>
            <w:tcW w:w="1286" w:type="dxa"/>
            <w:vMerge w:val="continue"/>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农村生活污水处理工程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保护区内自然村建设生活污水集中处理设施，完善截污沟渠及管网，共设计污水处理规模6t/d，以处理一吨污水投资1万元计。</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6.00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286" w:type="dxa"/>
            <w:vMerge w:val="continue"/>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农村生活垃圾污染控制工程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w:t>
            </w:r>
            <w:r>
              <w:rPr>
                <w:rFonts w:ascii="仿宋" w:hAnsi="仿宋" w:eastAsia="仿宋" w:cs="宋体"/>
                <w:color w:val="0D0D0D" w:themeColor="text1" w:themeTint="F2"/>
                <w:kern w:val="0"/>
                <w:sz w:val="24"/>
                <w:szCs w:val="24"/>
                <w14:textFill>
                  <w14:solidFill>
                    <w14:schemeClr w14:val="tx1">
                      <w14:lumMod w14:val="95000"/>
                      <w14:lumOff w14:val="5000"/>
                    </w14:schemeClr>
                  </w14:solidFill>
                </w14:textFill>
              </w:rPr>
              <w:t>成“组保洁、村收集、乡（镇）转运、县（市）区处置”的城乡</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生活垃圾无害化收运处置四级管理体制。</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吉克水库</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涉及</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个行政村</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个自然村约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59</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户，</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个自然村垃圾收集基础设施投资约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0.50</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万元，</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个村委会配备垃圾清运车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辆，共计</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2.00</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万元，</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59</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户垃圾清运年运维费约</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0.71</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万元/年</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，配备垃圾焚烧炉1座投资3万元</w:t>
            </w:r>
            <w: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6.21</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286" w:type="dxa"/>
            <w:vMerge w:val="continue"/>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农业面源污染控制工程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对二级保护区内旱地、水田进行测土配方施肥技术，有效降低保护区耕地化肥施用量，实施总面积分别为</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8.12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 xml:space="preserve"> 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17.43</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 xml:space="preserve"> 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3.83</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p>
        </w:tc>
        <w:tc>
          <w:tcPr>
            <w:tcW w:w="1286" w:type="dxa"/>
            <w:vMerge w:val="continue"/>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农村畜禽养殖面源控制工程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一级保护区内农户实施“改圈”，“改圈”率达到100%，规范农村畜禽养殖，投资按0.5万元/户计。</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29.50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p>
        </w:tc>
        <w:tc>
          <w:tcPr>
            <w:tcW w:w="1286" w:type="dxa"/>
            <w:vMerge w:val="continue"/>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交通污染控制工程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完善一级保护区内0.89km乡道、二级保护区0.08 km乡道截排水沟。</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9.70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p>
        </w:tc>
        <w:tc>
          <w:tcPr>
            <w:tcW w:w="1286" w:type="dxa"/>
            <w:vMerge w:val="continue"/>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固定源风险控制工程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一级保护区内采石场开展植被恢复，加强环境风险管控。</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企业投资</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县住建局、县自然资源局、县生态环境分局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w:t>
            </w:r>
          </w:p>
        </w:tc>
        <w:tc>
          <w:tcPr>
            <w:tcW w:w="1286" w:type="dxa"/>
            <w:vMerge w:val="continue"/>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煤矿采矿权风险防控工程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吉克煤矿、鑫丰煤矿采矿权退出吉克水库水源保护区范围；加强对富兴煤矿部分采矿权与吉克水库径流区重叠区域的监管，该区域地表参照水源保护区二级保护区管理，禁止设置煤矿工业场站，禁止向吉克水库径流区排放废水，并加强地表塌陷监测。</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县自然资源局、县煤炭局、县水务局、县生态环境局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p>
        </w:tc>
        <w:tc>
          <w:tcPr>
            <w:tcW w:w="1286" w:type="dxa"/>
            <w:vMerge w:val="restart"/>
            <w:shd w:val="clear" w:color="auto" w:fill="auto"/>
            <w:noWrap/>
            <w:vAlign w:val="center"/>
          </w:tcPr>
          <w:p>
            <w:pP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生态恢复与建设工程</w:t>
            </w: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退耕地人工造林</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对吉克水库一级保护区内全部耕地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316.93亩</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，二级保护区</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以上坡耕地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22.04</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亩退耕地实施人工造林。</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50.85</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县农业农村局、县林业林草局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w:t>
            </w:r>
          </w:p>
        </w:tc>
        <w:tc>
          <w:tcPr>
            <w:tcW w:w="1286" w:type="dxa"/>
            <w:vMerge w:val="continue"/>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水土流失治理工程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对水源地保护区水土流失面积进行综合治理，同时开展水土流失监测。吉克水库一级保护区水土流失治理面积</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24.81</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、二级保护区水土流失治理面积</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30.64</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hm</w:t>
            </w:r>
            <w:r>
              <w:rPr>
                <w:rFonts w:ascii="Times New Roman" w:hAnsi="Times New Roman" w:eastAsia="仿宋" w:cs="宋体"/>
                <w:color w:val="0D0D0D" w:themeColor="text1" w:themeTint="F2"/>
                <w:kern w:val="0"/>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27.73</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12</w:t>
            </w:r>
          </w:p>
        </w:tc>
        <w:tc>
          <w:tcPr>
            <w:tcW w:w="1286" w:type="dxa"/>
            <w:vMerge w:val="restart"/>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管理能力建设工程</w:t>
            </w: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水源保护区环境监测网</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建立水环境质量监测、生物监测和水土流失监测等共同组成的保护区环境监测网络，构建管理信息系统，提高保护区管理效率。</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15.00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县生态环境局、县林业林草局、县水务局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13</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预警及应急能力建设工程</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建设饮用水水源地保护区内环境保护应急工程，制定应急方案，加强饮用水源突发环境事件应急处置能力，保障饮用水安全。</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20.00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县生态环境分局、县水务局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710"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w:t>
            </w:r>
          </w:p>
        </w:tc>
        <w:tc>
          <w:tcPr>
            <w:tcW w:w="1286" w:type="dxa"/>
            <w:vMerge w:val="continue"/>
            <w:shd w:val="clear" w:color="auto" w:fill="auto"/>
            <w:vAlign w:val="center"/>
          </w:tcPr>
          <w:p>
            <w:pPr>
              <w:widowControl/>
              <w:jc w:val="left"/>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p>
        </w:tc>
        <w:tc>
          <w:tcPr>
            <w:tcW w:w="1549"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管理能力建设</w:t>
            </w:r>
          </w:p>
        </w:tc>
        <w:tc>
          <w:tcPr>
            <w:tcW w:w="7796"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吉克水库</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做到</w:t>
            </w:r>
            <w:r>
              <w:rPr>
                <w:rFonts w:ascii="仿宋" w:hAnsi="仿宋" w:eastAsia="仿宋" w:cs="Times New Roman"/>
                <w:color w:val="0D0D0D" w:themeColor="text1" w:themeTint="F2"/>
                <w:kern w:val="0"/>
                <w:sz w:val="24"/>
                <w:szCs w:val="24"/>
                <w14:textFill>
                  <w14:solidFill>
                    <w14:schemeClr w14:val="tx1">
                      <w14:lumMod w14:val="95000"/>
                      <w14:lumOff w14:val="5000"/>
                    </w14:schemeClr>
                  </w14:solidFill>
                </w14:textFill>
              </w:rPr>
              <w:t>“一源一档”；</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严格按相关法律法规要求开展水源保护区环境监管，定期巡查水库保护区，定期开展饮用水水源地环境状况评估。</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20.00</w:t>
            </w:r>
          </w:p>
        </w:tc>
        <w:tc>
          <w:tcPr>
            <w:tcW w:w="1592" w:type="dxa"/>
            <w:shd w:val="clear" w:color="auto" w:fill="auto"/>
            <w:noWrap/>
            <w:vAlign w:val="center"/>
          </w:tcPr>
          <w:p>
            <w:pPr>
              <w:widowControl/>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县水务局、县生态环境分局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1341" w:type="dxa"/>
            <w:gridSpan w:val="4"/>
            <w:shd w:val="clear" w:color="auto" w:fill="auto"/>
            <w:noWrap/>
            <w:vAlign w:val="center"/>
          </w:tcPr>
          <w:p>
            <w:pPr>
              <w:widowControl/>
              <w:jc w:val="center"/>
              <w:rPr>
                <w:rFonts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宋体"/>
                <w:color w:val="0D0D0D" w:themeColor="text1" w:themeTint="F2"/>
                <w:kern w:val="0"/>
                <w:sz w:val="24"/>
                <w:szCs w:val="24"/>
                <w14:textFill>
                  <w14:solidFill>
                    <w14:schemeClr w14:val="tx1">
                      <w14:lumMod w14:val="95000"/>
                      <w14:lumOff w14:val="5000"/>
                    </w14:schemeClr>
                  </w14:solidFill>
                </w14:textFill>
              </w:rPr>
              <w:t>合计</w:t>
            </w:r>
          </w:p>
        </w:tc>
        <w:tc>
          <w:tcPr>
            <w:tcW w:w="1417" w:type="dxa"/>
            <w:shd w:val="clear" w:color="auto" w:fill="auto"/>
            <w:noWrap/>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292.43</w:t>
            </w:r>
          </w:p>
        </w:tc>
        <w:tc>
          <w:tcPr>
            <w:tcW w:w="1592" w:type="dxa"/>
            <w:shd w:val="clear" w:color="auto" w:fill="auto"/>
            <w:noWrap/>
            <w:vAlign w:val="center"/>
          </w:tcPr>
          <w:p>
            <w:pPr>
              <w:widowControl/>
              <w:jc w:val="center"/>
              <w:rPr>
                <w:rFonts w:ascii="Times New Roman" w:hAnsi="Times New Roman" w:eastAsia="仿宋" w:cs="Times New Roman"/>
                <w:b/>
                <w:bCs/>
                <w:color w:val="0D0D0D" w:themeColor="text1" w:themeTint="F2"/>
                <w:kern w:val="0"/>
                <w:sz w:val="24"/>
                <w:szCs w:val="24"/>
                <w14:textFill>
                  <w14:solidFill>
                    <w14:schemeClr w14:val="tx1">
                      <w14:lumMod w14:val="95000"/>
                      <w14:lumOff w14:val="5000"/>
                    </w14:schemeClr>
                  </w14:solidFill>
                </w14:textFill>
              </w:rPr>
            </w:pPr>
          </w:p>
        </w:tc>
      </w:tr>
    </w:tbl>
    <w:p>
      <w:pPr>
        <w:adjustRightInd w:val="0"/>
        <w:snapToGrid w:val="0"/>
        <w:spacing w:line="360" w:lineRule="auto"/>
        <w:ind w:firstLine="420" w:firstLineChars="200"/>
        <w:rPr>
          <w:color w:val="0D0D0D" w:themeColor="text1" w:themeTint="F2"/>
          <w14:textFill>
            <w14:solidFill>
              <w14:schemeClr w14:val="tx1">
                <w14:lumMod w14:val="95000"/>
                <w14:lumOff w14:val="5000"/>
              </w14:schemeClr>
            </w14:solidFill>
          </w14:textFill>
        </w:rPr>
      </w:pPr>
    </w:p>
    <w:p>
      <w:pPr>
        <w:adjustRightInd w:val="0"/>
        <w:snapToGrid w:val="0"/>
        <w:spacing w:line="360" w:lineRule="auto"/>
        <w:ind w:firstLine="420" w:firstLineChars="200"/>
        <w:rPr>
          <w:color w:val="0D0D0D" w:themeColor="text1" w:themeTint="F2"/>
          <w14:textFill>
            <w14:solidFill>
              <w14:schemeClr w14:val="tx1">
                <w14:lumMod w14:val="95000"/>
                <w14:lumOff w14:val="5000"/>
              </w14:schemeClr>
            </w14:solidFill>
          </w14:textFill>
        </w:rPr>
      </w:pPr>
    </w:p>
    <w:p>
      <w:pPr>
        <w:adjustRightInd w:val="0"/>
        <w:snapToGrid w:val="0"/>
        <w:spacing w:line="360" w:lineRule="auto"/>
        <w:ind w:firstLine="420" w:firstLineChars="200"/>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p>
    <w:bookmarkEnd w:id="139"/>
    <w:p>
      <w:pPr>
        <w:pStyle w:val="3"/>
        <w:rPr>
          <w:color w:val="0D0D0D" w:themeColor="text1" w:themeTint="F2"/>
          <w14:textFill>
            <w14:solidFill>
              <w14:schemeClr w14:val="tx1">
                <w14:lumMod w14:val="95000"/>
                <w14:lumOff w14:val="5000"/>
              </w14:schemeClr>
            </w14:solidFill>
          </w14:textFill>
        </w:rPr>
      </w:pPr>
      <w:bookmarkStart w:id="158" w:name="_Toc27509947"/>
      <w:bookmarkStart w:id="159" w:name="_Toc25844370"/>
      <w:bookmarkStart w:id="160" w:name="_Toc12536222"/>
      <w:bookmarkStart w:id="161" w:name="_Toc12621603"/>
      <w:r>
        <w:rPr>
          <w:rFonts w:hint="eastAsia"/>
          <w:color w:val="0D0D0D" w:themeColor="text1" w:themeTint="F2"/>
          <w14:textFill>
            <w14:solidFill>
              <w14:schemeClr w14:val="tx1">
                <w14:lumMod w14:val="95000"/>
                <w14:lumOff w14:val="5000"/>
              </w14:schemeClr>
            </w14:solidFill>
          </w14:textFill>
        </w:rPr>
        <w:t>4</w:t>
      </w:r>
      <w:r>
        <w:rPr>
          <w:color w:val="0D0D0D" w:themeColor="text1" w:themeTint="F2"/>
          <w14:textFill>
            <w14:solidFill>
              <w14:schemeClr w14:val="tx1">
                <w14:lumMod w14:val="95000"/>
                <w14:lumOff w14:val="5000"/>
              </w14:schemeClr>
            </w14:solidFill>
          </w14:textFill>
        </w:rPr>
        <w:t>.</w:t>
      </w:r>
      <w:r>
        <w:rPr>
          <w:rFonts w:hint="eastAsia"/>
          <w:color w:val="0D0D0D" w:themeColor="text1" w:themeTint="F2"/>
          <w14:textFill>
            <w14:solidFill>
              <w14:schemeClr w14:val="tx1">
                <w14:lumMod w14:val="95000"/>
                <w14:lumOff w14:val="5000"/>
              </w14:schemeClr>
            </w14:solidFill>
          </w14:textFill>
        </w:rPr>
        <w:t>2 规范化建设目标达标的可行性分析</w:t>
      </w:r>
      <w:bookmarkEnd w:id="158"/>
      <w:bookmarkEnd w:id="159"/>
      <w:bookmarkEnd w:id="160"/>
      <w:bookmarkEnd w:id="161"/>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62" w:name="_Toc25844371"/>
      <w:bookmarkStart w:id="163" w:name="_Toc27509948"/>
      <w:bookmarkStart w:id="164" w:name="_Toc17982541"/>
      <w:bookmarkStart w:id="165" w:name="_Toc531261192"/>
      <w:bookmarkStart w:id="166" w:name="_Toc524596485"/>
      <w:bookmarkStart w:id="167" w:name="_Toc299451597"/>
      <w:bookmarkStart w:id="168" w:name="_Toc478742873"/>
      <w:bookmarkStart w:id="169" w:name="_Toc452322643"/>
      <w:bookmarkStart w:id="170" w:name="_Toc200905568"/>
      <w:bookmarkStart w:id="171" w:name="_Toc169526926"/>
      <w:bookmarkStart w:id="172" w:name="_Toc169506163"/>
      <w:bookmarkStart w:id="173" w:name="_Toc169504813"/>
      <w:r>
        <w:rPr>
          <w:rFonts w:hint="eastAsia"/>
          <w:color w:val="0D0D0D" w:themeColor="text1" w:themeTint="F2"/>
          <w:sz w:val="28"/>
          <w:szCs w:val="28"/>
          <w14:textFill>
            <w14:solidFill>
              <w14:schemeClr w14:val="tx1">
                <w14:lumMod w14:val="95000"/>
                <w14:lumOff w14:val="5000"/>
              </w14:schemeClr>
            </w14:solidFill>
          </w14:textFill>
        </w:rPr>
        <w:t xml:space="preserve">4.2.1 </w:t>
      </w:r>
      <w:r>
        <w:rPr>
          <w:color w:val="0D0D0D" w:themeColor="text1" w:themeTint="F2"/>
          <w:sz w:val="28"/>
          <w:szCs w:val="28"/>
          <w14:textFill>
            <w14:solidFill>
              <w14:schemeClr w14:val="tx1">
                <w14:lumMod w14:val="95000"/>
                <w14:lumOff w14:val="5000"/>
              </w14:schemeClr>
            </w14:solidFill>
          </w14:textFill>
        </w:rPr>
        <w:t>项目投资及预期效果</w:t>
      </w:r>
      <w:bookmarkEnd w:id="162"/>
      <w:bookmarkEnd w:id="163"/>
      <w:bookmarkEnd w:id="164"/>
      <w:bookmarkEnd w:id="165"/>
      <w:bookmarkEnd w:id="166"/>
      <w:bookmarkEnd w:id="167"/>
      <w:bookmarkEnd w:id="168"/>
      <w:bookmarkEnd w:id="169"/>
      <w:bookmarkEnd w:id="170"/>
      <w:bookmarkEnd w:id="171"/>
      <w:bookmarkEnd w:id="172"/>
      <w:bookmarkEnd w:id="173"/>
    </w:p>
    <w:p>
      <w:pPr>
        <w:autoSpaceDE w:val="0"/>
        <w:autoSpaceDN w:val="0"/>
        <w:adjustRightInd w:val="0"/>
        <w:snapToGrid w:val="0"/>
        <w:spacing w:line="360" w:lineRule="auto"/>
        <w:ind w:firstLine="561"/>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吉克水库饮用水水源保护区规范化建设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总投资约</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292.43</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万元，实现饮用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水源</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保护区水质</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稳定达标</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174" w:name="_Toc27509949"/>
      <w:bookmarkStart w:id="175" w:name="_Toc25844372"/>
      <w:bookmarkStart w:id="176" w:name="_Toc17982542"/>
      <w:bookmarkStart w:id="177" w:name="_Toc531261193"/>
      <w:bookmarkStart w:id="178" w:name="_Toc524596486"/>
      <w:bookmarkStart w:id="179" w:name="_Toc478742874"/>
      <w:bookmarkStart w:id="180" w:name="_Toc452322644"/>
      <w:bookmarkStart w:id="181" w:name="_Toc299451598"/>
      <w:bookmarkStart w:id="182" w:name="_Toc200905569"/>
      <w:bookmarkStart w:id="183" w:name="_Toc169526927"/>
      <w:bookmarkStart w:id="184" w:name="_Toc169506164"/>
      <w:bookmarkStart w:id="185" w:name="_Toc169504814"/>
      <w:r>
        <w:rPr>
          <w:rFonts w:hint="eastAsia"/>
          <w:color w:val="0D0D0D" w:themeColor="text1" w:themeTint="F2"/>
          <w:sz w:val="28"/>
          <w:szCs w:val="28"/>
          <w14:textFill>
            <w14:solidFill>
              <w14:schemeClr w14:val="tx1">
                <w14:lumMod w14:val="95000"/>
                <w14:lumOff w14:val="5000"/>
              </w14:schemeClr>
            </w14:solidFill>
          </w14:textFill>
        </w:rPr>
        <w:t xml:space="preserve">4.2.2 </w:t>
      </w:r>
      <w:r>
        <w:rPr>
          <w:color w:val="0D0D0D" w:themeColor="text1" w:themeTint="F2"/>
          <w:sz w:val="28"/>
          <w:szCs w:val="28"/>
          <w14:textFill>
            <w14:solidFill>
              <w14:schemeClr w14:val="tx1">
                <w14:lumMod w14:val="95000"/>
                <w14:lumOff w14:val="5000"/>
              </w14:schemeClr>
            </w14:solidFill>
          </w14:textFill>
        </w:rPr>
        <w:t>保护区整治方案可行性</w:t>
      </w:r>
      <w:bookmarkEnd w:id="174"/>
      <w:bookmarkEnd w:id="175"/>
      <w:bookmarkEnd w:id="176"/>
      <w:bookmarkEnd w:id="177"/>
      <w:bookmarkEnd w:id="178"/>
      <w:bookmarkEnd w:id="179"/>
      <w:bookmarkEnd w:id="180"/>
      <w:bookmarkEnd w:id="181"/>
      <w:bookmarkEnd w:id="182"/>
      <w:bookmarkEnd w:id="183"/>
      <w:bookmarkEnd w:id="184"/>
      <w:bookmarkEnd w:id="185"/>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86" w:name="_Toc478742875"/>
      <w:bookmarkStart w:id="187" w:name="_Toc524596487"/>
      <w:bookmarkStart w:id="188" w:name="_Toc452322645"/>
      <w:bookmarkStart w:id="189" w:name="_Toc299451599"/>
      <w:bookmarkStart w:id="190" w:name="_Toc20090557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一级保护区污染控制工程</w:t>
      </w:r>
      <w:bookmarkEnd w:id="186"/>
      <w:bookmarkEnd w:id="187"/>
      <w:bookmarkEnd w:id="188"/>
      <w:bookmarkEnd w:id="189"/>
      <w:bookmarkEnd w:id="190"/>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为保障</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水质</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目标的实现，在一级保护区边界设置</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围网</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、标志、警示牌等，所有耕地实施退耕还林</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，实施农村生活污水和生活垃圾收集处置工程及畜禽污染控制工程，加强交通污染防治</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内规划的污染控制工程均针对区内现状污染源提出，所规划工程均符合国家相关政策及技术规范，具有较强的可操作性和可行性。这些方案实施后，可以最大限度降低一级保护区内的人为活动干扰对水源水质的影响，也将降低风险事故的发生概率和降低风险事故影响程度，对饮用水水质稳定达标具有积极作用。</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91" w:name="_Toc524596488"/>
      <w:bookmarkStart w:id="192" w:name="_Toc478742876"/>
      <w:bookmarkStart w:id="193" w:name="_Toc452322646"/>
      <w:bookmarkStart w:id="194" w:name="_Toc29945160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二级保护区污染控制工程</w:t>
      </w:r>
      <w:bookmarkEnd w:id="191"/>
      <w:bookmarkEnd w:id="192"/>
      <w:bookmarkEnd w:id="193"/>
      <w:bookmarkEnd w:id="194"/>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通过埋设二级保护区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界桩</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，在进入二级保护区道路设置标牌，明确二级保护区范围；推广</w:t>
      </w:r>
      <w:r>
        <w:rPr>
          <w:rFonts w:ascii="仿宋" w:hAnsi="仿宋" w:eastAsia="仿宋"/>
          <w:color w:val="0D0D0D" w:themeColor="text1" w:themeTint="F2"/>
          <w:sz w:val="28"/>
          <w:szCs w:val="28"/>
          <w14:textFill>
            <w14:solidFill>
              <w14:schemeClr w14:val="tx1">
                <w14:lumMod w14:val="95000"/>
                <w14:lumOff w14:val="5000"/>
              </w14:schemeClr>
            </w14:solidFill>
          </w14:textFill>
        </w:rPr>
        <w:t>测土配方施肥技术</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降低化肥施用量、退耕还林、减少耕地面积等措施对二级保护区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农业</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面源污染进行控制。上述工程或措施均符合国家相关政策及技术规范，具有较强的可操作性和可行性。完成</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规范化建设</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工程，能有效控制二级保护区污染物</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，降低保护区污染负荷，使水质稳定达标。</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195" w:name="_Toc200905571"/>
      <w:bookmarkStart w:id="196" w:name="_Toc299451601"/>
      <w:bookmarkStart w:id="197" w:name="_Toc452322647"/>
      <w:bookmarkStart w:id="198" w:name="_Toc478742877"/>
      <w:bookmarkStart w:id="199" w:name="_Toc524596489"/>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（3）</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生态恢复与建设工程</w:t>
      </w:r>
      <w:bookmarkEnd w:id="195"/>
      <w:bookmarkEnd w:id="196"/>
      <w:bookmarkEnd w:id="197"/>
      <w:bookmarkEnd w:id="198"/>
      <w:bookmarkEnd w:id="199"/>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通过</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人工造林</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和水土流失治理生态恢复建设工程，建设保护水源涵养林和水土保持林，将进一步提高保护区林草覆盖率，降低流域土壤侵蚀强度，从而提高流域水源涵养能力，降低</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污染物对水质的影响</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。工程实施将形成水源保护区以水源涵养为主的森林生态系统，确保水源地的陆生生态系统水源涵养功能的正常发挥，确保水源区水源充足，水质优良。</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200" w:name="_Toc299451602"/>
      <w:bookmarkStart w:id="201" w:name="_Toc452322648"/>
      <w:bookmarkStart w:id="202" w:name="_Toc478742878"/>
      <w:bookmarkStart w:id="203" w:name="_Toc524596490"/>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（4）</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管理能力和环境应急能力建设</w:t>
      </w:r>
      <w:bookmarkEnd w:id="200"/>
      <w:bookmarkEnd w:id="201"/>
      <w:bookmarkEnd w:id="202"/>
      <w:bookmarkEnd w:id="203"/>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工程</w:t>
      </w:r>
    </w:p>
    <w:p>
      <w:pPr>
        <w:adjustRightInd w:val="0"/>
        <w:snapToGrid w:val="0"/>
        <w:spacing w:line="360" w:lineRule="auto"/>
        <w:ind w:firstLine="560" w:firstLineChars="200"/>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县级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饮用水源地统一和联合管理机构，建立水源地执法队伍；建设</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县级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水源地管理数据共享平台，为系统管理</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集中式</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饮用水源地，合理调配水资源，实现统一管理提供数据和技术支撑；建设预警监控体系和应急处理体系，防范污染事件，提高处理效率，保障饮用水安全。</w:t>
      </w:r>
    </w:p>
    <w:p>
      <w:pPr>
        <w:pStyle w:val="4"/>
        <w:spacing w:before="120" w:after="120" w:line="415" w:lineRule="auto"/>
        <w:rPr>
          <w:color w:val="0D0D0D" w:themeColor="text1" w:themeTint="F2"/>
          <w:sz w:val="28"/>
          <w:szCs w:val="28"/>
          <w14:textFill>
            <w14:solidFill>
              <w14:schemeClr w14:val="tx1">
                <w14:lumMod w14:val="95000"/>
                <w14:lumOff w14:val="5000"/>
              </w14:schemeClr>
            </w14:solidFill>
          </w14:textFill>
        </w:rPr>
      </w:pPr>
      <w:bookmarkStart w:id="204" w:name="_Toc169504815"/>
      <w:bookmarkStart w:id="205" w:name="_Toc169506165"/>
      <w:bookmarkStart w:id="206" w:name="_Toc169526928"/>
      <w:bookmarkStart w:id="207" w:name="_Toc200905575"/>
      <w:bookmarkStart w:id="208" w:name="_Toc299451603"/>
      <w:bookmarkStart w:id="209" w:name="_Toc452322649"/>
      <w:bookmarkStart w:id="210" w:name="_Toc478742879"/>
      <w:bookmarkStart w:id="211" w:name="_Toc524596491"/>
      <w:bookmarkStart w:id="212" w:name="_Toc531261194"/>
      <w:bookmarkStart w:id="213" w:name="_Toc17982543"/>
      <w:bookmarkStart w:id="214" w:name="_Toc25844373"/>
      <w:bookmarkStart w:id="215" w:name="_Toc27509950"/>
      <w:r>
        <w:rPr>
          <w:rFonts w:hint="eastAsia"/>
          <w:color w:val="0D0D0D" w:themeColor="text1" w:themeTint="F2"/>
          <w:sz w:val="28"/>
          <w:szCs w:val="28"/>
          <w14:textFill>
            <w14:solidFill>
              <w14:schemeClr w14:val="tx1">
                <w14:lumMod w14:val="95000"/>
                <w14:lumOff w14:val="5000"/>
              </w14:schemeClr>
            </w14:solidFill>
          </w14:textFill>
        </w:rPr>
        <w:t xml:space="preserve">4.2.3 </w:t>
      </w:r>
      <w:r>
        <w:rPr>
          <w:color w:val="0D0D0D" w:themeColor="text1" w:themeTint="F2"/>
          <w:sz w:val="28"/>
          <w:szCs w:val="28"/>
          <w14:textFill>
            <w14:solidFill>
              <w14:schemeClr w14:val="tx1">
                <w14:lumMod w14:val="95000"/>
                <w14:lumOff w14:val="5000"/>
              </w14:schemeClr>
            </w14:solidFill>
          </w14:textFill>
        </w:rPr>
        <w:t>饮用水水源地水质目标可达性分析</w:t>
      </w:r>
      <w:bookmarkEnd w:id="204"/>
      <w:bookmarkEnd w:id="205"/>
      <w:bookmarkEnd w:id="206"/>
      <w:bookmarkEnd w:id="207"/>
      <w:bookmarkEnd w:id="208"/>
      <w:bookmarkEnd w:id="209"/>
      <w:bookmarkEnd w:id="210"/>
      <w:bookmarkEnd w:id="211"/>
      <w:bookmarkEnd w:id="212"/>
      <w:bookmarkEnd w:id="213"/>
      <w:bookmarkEnd w:id="214"/>
      <w:bookmarkEnd w:id="215"/>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216" w:name="_Toc299451606"/>
      <w:bookmarkStart w:id="217" w:name="_Toc452322651"/>
      <w:bookmarkStart w:id="218" w:name="_Toc478742880"/>
      <w:bookmarkStart w:id="219" w:name="_Toc524596492"/>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（1）</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农村面源整治</w:t>
      </w:r>
      <w:bookmarkEnd w:id="216"/>
      <w:bookmarkEnd w:id="217"/>
      <w:bookmarkEnd w:id="218"/>
      <w:bookmarkEnd w:id="219"/>
    </w:p>
    <w:p>
      <w:pPr>
        <w:adjustRightInd w:val="0"/>
        <w:snapToGrid w:val="0"/>
        <w:spacing w:line="360" w:lineRule="auto"/>
        <w:ind w:firstLine="584"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对</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一级</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保护区</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实施农村生活污水</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收集</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处理</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工程，加强农村生活</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垃圾收集</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清运管理</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，预计农村生活污水收集处理后污染物去除率将可达到50%，农村生活垃圾收集处理率将达到80%以上。</w:t>
      </w:r>
    </w:p>
    <w:p>
      <w:pPr>
        <w:adjustRightInd w:val="0"/>
        <w:snapToGrid w:val="0"/>
        <w:spacing w:line="360" w:lineRule="auto"/>
        <w:ind w:firstLine="562" w:firstLineChars="200"/>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pPr>
      <w:bookmarkStart w:id="220" w:name="_Toc299451607"/>
      <w:bookmarkStart w:id="221" w:name="_Toc452322652"/>
      <w:bookmarkStart w:id="222" w:name="_Toc478742881"/>
      <w:bookmarkStart w:id="223" w:name="_Toc524596493"/>
      <w:r>
        <w:rPr>
          <w:rFonts w:hint="eastAsia" w:ascii="Times New Roman" w:hAnsi="Times New Roman" w:eastAsia="仿宋"/>
          <w:b/>
          <w:color w:val="0D0D0D" w:themeColor="text1" w:themeTint="F2"/>
          <w:sz w:val="28"/>
          <w:szCs w:val="28"/>
          <w14:textFill>
            <w14:solidFill>
              <w14:schemeClr w14:val="tx1">
                <w14:lumMod w14:val="95000"/>
                <w14:lumOff w14:val="5000"/>
              </w14:schemeClr>
            </w14:solidFill>
          </w14:textFill>
        </w:rPr>
        <w:t>（2）</w:t>
      </w:r>
      <w:r>
        <w:rPr>
          <w:rFonts w:ascii="Times New Roman" w:hAnsi="Times New Roman" w:eastAsia="仿宋"/>
          <w:b/>
          <w:color w:val="0D0D0D" w:themeColor="text1" w:themeTint="F2"/>
          <w:sz w:val="28"/>
          <w:szCs w:val="28"/>
          <w14:textFill>
            <w14:solidFill>
              <w14:schemeClr w14:val="tx1">
                <w14:lumMod w14:val="95000"/>
                <w14:lumOff w14:val="5000"/>
              </w14:schemeClr>
            </w14:solidFill>
          </w14:textFill>
        </w:rPr>
        <w:t>农业面源治理</w:t>
      </w:r>
      <w:bookmarkEnd w:id="220"/>
      <w:bookmarkEnd w:id="221"/>
      <w:bookmarkEnd w:id="222"/>
      <w:bookmarkEnd w:id="223"/>
    </w:p>
    <w:p>
      <w:pPr>
        <w:adjustRightInd w:val="0"/>
        <w:snapToGrid w:val="0"/>
        <w:spacing w:line="360" w:lineRule="auto"/>
        <w:ind w:firstLine="560"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一级保护区内的全部耕地进行退耕还林，实施生态防护工程</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；二级</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保护区</w:t>
      </w:r>
      <w:r>
        <w:rPr>
          <w:rFonts w:hint="eastAsia" w:ascii="Times New Roman" w:hAnsi="Times New Roman" w:eastAsia="仿宋"/>
          <w:color w:val="0D0D0D" w:themeColor="text1" w:themeTint="F2"/>
          <w:sz w:val="28"/>
          <w:szCs w:val="28"/>
          <w14:textFill>
            <w14:solidFill>
              <w14:schemeClr w14:val="tx1">
                <w14:lumMod w14:val="95000"/>
                <w14:lumOff w14:val="5000"/>
              </w14:schemeClr>
            </w14:solidFill>
          </w14:textFill>
        </w:rPr>
        <w:t>内</w:t>
      </w:r>
      <w:r>
        <w:rPr>
          <w:rFonts w:ascii="Times New Roman" w:hAnsi="Times New Roman" w:eastAsia="仿宋"/>
          <w:color w:val="0D0D0D" w:themeColor="text1" w:themeTint="F2"/>
          <w:sz w:val="28"/>
          <w:szCs w:val="28"/>
          <w14:textFill>
            <w14:solidFill>
              <w14:schemeClr w14:val="tx1">
                <w14:lumMod w14:val="95000"/>
                <w14:lumOff w14:val="5000"/>
              </w14:schemeClr>
            </w14:solidFill>
          </w14:textFill>
        </w:rPr>
        <w:t>的存留农地进行测土配方施肥技术，降低保护区耕地化肥施用量</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。工程实施后，可减少化肥施用量</w:t>
      </w: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约</w:t>
      </w:r>
      <w:r>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20%。</w:t>
      </w:r>
    </w:p>
    <w:p>
      <w:pPr>
        <w:widowControl/>
        <w:jc w:val="left"/>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br w:type="page"/>
      </w:r>
    </w:p>
    <w:p>
      <w:pPr>
        <w:keepNext/>
        <w:keepLines/>
        <w:spacing w:before="340" w:after="330" w:line="578" w:lineRule="auto"/>
        <w:jc w:val="center"/>
        <w:outlineLvl w:val="0"/>
        <w:rPr>
          <w:rFonts w:ascii="Times New Roman" w:hAnsi="Times New Roman" w:eastAsia="仿宋" w:cs="Times New Roman"/>
          <w:bCs/>
          <w:color w:val="0D0D0D" w:themeColor="text1" w:themeTint="F2"/>
          <w:kern w:val="44"/>
          <w:sz w:val="36"/>
          <w:szCs w:val="36"/>
          <w14:textFill>
            <w14:solidFill>
              <w14:schemeClr w14:val="tx1">
                <w14:lumMod w14:val="95000"/>
                <w14:lumOff w14:val="5000"/>
              </w14:schemeClr>
            </w14:solidFill>
          </w14:textFill>
        </w:rPr>
      </w:pPr>
      <w:bookmarkStart w:id="224" w:name="_Toc27509951"/>
      <w:r>
        <w:rPr>
          <w:rFonts w:hint="eastAsia" w:ascii="Times New Roman" w:hAnsi="Times New Roman" w:eastAsia="仿宋"/>
          <w:b/>
          <w:bCs/>
          <w:color w:val="0D0D0D" w:themeColor="text1" w:themeTint="F2"/>
          <w:kern w:val="44"/>
          <w:sz w:val="36"/>
          <w:szCs w:val="44"/>
          <w14:textFill>
            <w14:solidFill>
              <w14:schemeClr w14:val="tx1">
                <w14:lumMod w14:val="95000"/>
                <w14:lumOff w14:val="5000"/>
              </w14:schemeClr>
            </w14:solidFill>
          </w14:textFill>
        </w:rPr>
        <w:t>第五章饮用水水源保护区划分方案、图件及有关说明</w:t>
      </w:r>
      <w:bookmarkEnd w:id="224"/>
      <w:r>
        <w:rPr>
          <w:rFonts w:hint="eastAsia" w:ascii="Times New Roman" w:hAnsi="Times New Roman" w:eastAsia="仿宋" w:cs="Times New Roman"/>
          <w:bCs/>
          <w:color w:val="0D0D0D" w:themeColor="text1" w:themeTint="F2"/>
          <w:kern w:val="44"/>
          <w:sz w:val="36"/>
          <w:szCs w:val="36"/>
          <w14:textFill>
            <w14:solidFill>
              <w14:schemeClr w14:val="tx1">
                <w14:lumMod w14:val="95000"/>
                <w14:lumOff w14:val="5000"/>
              </w14:schemeClr>
            </w14:solidFill>
          </w14:textFill>
        </w:rPr>
        <w:t xml:space="preserve"> </w:t>
      </w:r>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225" w:name="_Toc12621608"/>
      <w:bookmarkStart w:id="226" w:name="_Toc20409173"/>
      <w:bookmarkStart w:id="227" w:name="_Toc27509952"/>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5</w:t>
      </w:r>
      <w:r>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.1</w:t>
      </w:r>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 xml:space="preserve"> 饮用水水源保护区划分方案</w:t>
      </w:r>
      <w:bookmarkEnd w:id="225"/>
      <w:bookmarkEnd w:id="226"/>
      <w:bookmarkEnd w:id="227"/>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1</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一级保护区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bookmarkStart w:id="228" w:name="_Hlk520442120"/>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水域：</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吉克水库（含上吉克水库）正常水位2095.8m（2151.00m）以下的水域</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0.0981</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吉克水库（含上吉克水库）正常蓄水位外延200m范围</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0.7991</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一级保护区</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为0.8972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2" w:firstLineChars="200"/>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2</w:t>
      </w:r>
      <w:r>
        <w:rPr>
          <w:rFonts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snapToGrid w:val="0"/>
          <w:color w:val="0D0D0D" w:themeColor="text1" w:themeTint="F2"/>
          <w:kern w:val="0"/>
          <w:sz w:val="28"/>
          <w:szCs w:val="28"/>
          <w14:textFill>
            <w14:solidFill>
              <w14:schemeClr w14:val="tx1">
                <w14:lumMod w14:val="95000"/>
                <w14:lumOff w14:val="5000"/>
              </w14:schemeClr>
            </w14:solidFill>
          </w14:textFill>
        </w:rPr>
        <w:t>二级保护区</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水域：</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吉克</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水库</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（含上吉克水库）一</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级保护区边界外无大中型河流，面积并入陆域范围统计。</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陆域：</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吉克水库（含上吉克水库）西南以护林道路为界，其他以流域分水岭为界</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2.4301</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p>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饮用水水源保护区由一级保护区和二级保护区组成，总面积</w:t>
      </w:r>
      <w:r>
        <w:rPr>
          <w:rFonts w:hint="eastAsia"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3.3273</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km</w:t>
      </w:r>
      <w:r>
        <w:rPr>
          <w:rFonts w:ascii="Times New Roman" w:hAnsi="Times New Roman" w:eastAsia="仿宋" w:cs="Times New Roman"/>
          <w:snapToGrid w:val="0"/>
          <w:color w:val="0D0D0D" w:themeColor="text1" w:themeTint="F2"/>
          <w:kern w:val="0"/>
          <w:sz w:val="28"/>
          <w:szCs w:val="28"/>
          <w:vertAlign w:val="superscript"/>
          <w14:textFill>
            <w14:solidFill>
              <w14:schemeClr w14:val="tx1">
                <w14:lumMod w14:val="95000"/>
                <w14:lumOff w14:val="5000"/>
              </w14:schemeClr>
            </w14:solidFill>
          </w14:textFill>
        </w:rPr>
        <w:t>2</w:t>
      </w:r>
      <w:r>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t>。</w:t>
      </w:r>
      <w:bookmarkEnd w:id="228"/>
    </w:p>
    <w:p>
      <w:pPr>
        <w:keepNext/>
        <w:keepLines/>
        <w:spacing w:before="260" w:after="260" w:line="416" w:lineRule="auto"/>
        <w:outlineLvl w:val="1"/>
        <w:rPr>
          <w:rFonts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pPr>
      <w:bookmarkStart w:id="229" w:name="_Toc12621609"/>
      <w:bookmarkStart w:id="230" w:name="_Toc20409174"/>
      <w:bookmarkStart w:id="231" w:name="_Toc27509953"/>
      <w:r>
        <w:rPr>
          <w:rFonts w:hint="eastAsia" w:ascii="Times New Roman" w:hAnsi="Times New Roman" w:eastAsia="仿宋" w:cstheme="majorBidi"/>
          <w:b/>
          <w:bCs/>
          <w:color w:val="0D0D0D" w:themeColor="text1" w:themeTint="F2"/>
          <w:sz w:val="32"/>
          <w:szCs w:val="32"/>
          <w14:textFill>
            <w14:solidFill>
              <w14:schemeClr w14:val="tx1">
                <w14:lumMod w14:val="95000"/>
                <w14:lumOff w14:val="5000"/>
              </w14:schemeClr>
            </w14:solidFill>
          </w14:textFill>
        </w:rPr>
        <w:t>5.2 饮用水水源保护区划分图件</w:t>
      </w:r>
      <w:bookmarkEnd w:id="229"/>
      <w:bookmarkEnd w:id="230"/>
      <w:bookmarkEnd w:id="231"/>
    </w:p>
    <w:p>
      <w:pPr>
        <w:adjustRightInd w:val="0"/>
        <w:snapToGrid w:val="0"/>
        <w:spacing w:line="360" w:lineRule="auto"/>
        <w:ind w:firstLine="584" w:firstLineChars="200"/>
        <w:rPr>
          <w:rFonts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pPr>
      <w:r>
        <w:rPr>
          <w:rFonts w:hint="eastAsia" w:ascii="Times New Roman" w:hAnsi="Times New Roman" w:eastAsia="仿宋"/>
          <w:color w:val="0D0D0D" w:themeColor="text1" w:themeTint="F2"/>
          <w:spacing w:val="6"/>
          <w:sz w:val="28"/>
          <w:szCs w:val="28"/>
          <w14:textFill>
            <w14:solidFill>
              <w14:schemeClr w14:val="tx1">
                <w14:lumMod w14:val="95000"/>
                <w14:lumOff w14:val="5000"/>
              </w14:schemeClr>
            </w14:solidFill>
          </w14:textFill>
        </w:rPr>
        <w:t>吉克水库饮用水水源地边界主要拐点的经纬度坐标见表5-1、5-2。</w:t>
      </w:r>
    </w:p>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bookmarkStart w:id="232" w:name="_Hlk529785264"/>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-1</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 xml:space="preserve">  富源县吉克</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w:t>
      </w:r>
      <w:bookmarkEnd w:id="232"/>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饮用水水源一级保护区拐点坐标表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3951"/>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blHeader/>
        </w:trPr>
        <w:tc>
          <w:tcPr>
            <w:tcW w:w="835"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3951"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3736"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6.687"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22.921"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A2</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12.493"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19.558"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A3</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12.301"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15.638"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A4</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16.016"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8.293"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A5</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10.868"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3.184"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A6</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8.399"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55.032"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A7</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6.922"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49.569"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A8</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5.582"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43.081"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A9</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4.775"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35.152"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A10</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13' 56.786"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30.988"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A11</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13' 50.917"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35.311"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A12</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13' 48.637"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45.092"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A13</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13' 50.351"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52.638"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A14</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13' 49.884"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58.078"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A15</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13' 44.625"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5.411"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A16</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13' 53.648"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14.893"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A17</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13' 57.815"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25.720"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A18</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3.386"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24.184" N</w:t>
            </w:r>
          </w:p>
        </w:tc>
      </w:tr>
    </w:tbl>
    <w:p>
      <w:pPr>
        <w:adjustRightInd w:val="0"/>
        <w:snapToGrid w:val="0"/>
        <w:spacing w:line="360" w:lineRule="auto"/>
        <w:ind w:firstLine="560" w:firstLineChars="200"/>
        <w:rPr>
          <w:rFonts w:ascii="Times New Roman" w:hAnsi="Times New Roman" w:eastAsia="仿宋" w:cs="Times New Roman"/>
          <w:snapToGrid w:val="0"/>
          <w:color w:val="0D0D0D" w:themeColor="text1" w:themeTint="F2"/>
          <w:kern w:val="0"/>
          <w:sz w:val="28"/>
          <w:szCs w:val="28"/>
          <w14:textFill>
            <w14:solidFill>
              <w14:schemeClr w14:val="tx1">
                <w14:lumMod w14:val="95000"/>
                <w14:lumOff w14:val="5000"/>
              </w14:schemeClr>
            </w14:solidFill>
          </w14:textFill>
        </w:rPr>
      </w:pPr>
    </w:p>
    <w:p>
      <w:pPr>
        <w:adjustRightInd w:val="0"/>
        <w:snapToGrid w:val="0"/>
        <w:spacing w:line="360" w:lineRule="auto"/>
        <w:jc w:val="cente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表</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5</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2  富源县吉克</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水库饮用水水源</w:t>
      </w:r>
      <w:r>
        <w:rPr>
          <w:rFonts w:hint="eastAsia"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二</w:t>
      </w:r>
      <w:r>
        <w:rPr>
          <w:rFonts w:ascii="Times New Roman" w:hAnsi="Times New Roman" w:eastAsia="仿宋" w:cs="Times New Roman"/>
          <w:b/>
          <w:color w:val="0D0D0D" w:themeColor="text1" w:themeTint="F2"/>
          <w:sz w:val="28"/>
          <w:szCs w:val="28"/>
          <w14:textFill>
            <w14:solidFill>
              <w14:schemeClr w14:val="tx1">
                <w14:lumMod w14:val="95000"/>
                <w14:lumOff w14:val="5000"/>
              </w14:schemeClr>
            </w14:solidFill>
          </w14:textFill>
        </w:rPr>
        <w:t>级保护区拐点坐标表</w:t>
      </w:r>
    </w:p>
    <w:tbl>
      <w:tblPr>
        <w:tblStyle w:val="4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3951"/>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序号</w:t>
            </w:r>
          </w:p>
        </w:tc>
        <w:tc>
          <w:tcPr>
            <w:tcW w:w="3951"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经度</w:t>
            </w:r>
          </w:p>
        </w:tc>
        <w:tc>
          <w:tcPr>
            <w:tcW w:w="3736" w:type="dxa"/>
            <w:shd w:val="clear" w:color="auto" w:fill="D8D8D8" w:themeFill="background1" w:themeFillShade="D9"/>
            <w:noWrap/>
            <w:vAlign w:val="center"/>
          </w:tcPr>
          <w:p>
            <w:pPr>
              <w:widowControl/>
              <w:jc w:val="center"/>
              <w:rPr>
                <w:rFonts w:ascii="仿宋" w:hAnsi="仿宋" w:eastAsia="仿宋" w:cs="宋体"/>
                <w:b/>
                <w:color w:val="0D0D0D" w:themeColor="text1" w:themeTint="F2"/>
                <w:kern w:val="0"/>
                <w:sz w:val="24"/>
                <w:szCs w:val="24"/>
                <w14:textFill>
                  <w14:solidFill>
                    <w14:schemeClr w14:val="tx1">
                      <w14:lumMod w14:val="95000"/>
                      <w14:lumOff w14:val="5000"/>
                    </w14:schemeClr>
                  </w14:solidFill>
                </w14:textFill>
              </w:rPr>
            </w:pPr>
            <w:r>
              <w:rPr>
                <w:rFonts w:hint="eastAsia" w:ascii="仿宋" w:hAnsi="仿宋" w:eastAsia="仿宋" w:cs="宋体"/>
                <w:b/>
                <w:color w:val="0D0D0D" w:themeColor="text1" w:themeTint="F2"/>
                <w:kern w:val="0"/>
                <w:sz w:val="24"/>
                <w:szCs w:val="24"/>
                <w14:textFill>
                  <w14:solidFill>
                    <w14:schemeClr w14:val="tx1">
                      <w14:lumMod w14:val="95000"/>
                      <w14:lumOff w14:val="5000"/>
                    </w14:schemeClr>
                  </w14:solidFill>
                </w14:textFill>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20.041"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13.357"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B2</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30.534"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25' 5.658"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B3</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30.266"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58.234"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B4</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38.351"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49.921"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B5</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30.308"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34.865"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B6</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26.628"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11.851"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B7</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17.295"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5.364"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B8</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14' 2.860"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0.753"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B9</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13' 54.859"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23' 51.203"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B10</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13' 50.625"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23' 44.146"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B11</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13' 45.379"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23' 44.034"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B12</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13' 41.537"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23' 57.248"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B13</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13' 34.410"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5.403"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B14</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13' 35.592"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24.287"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B15</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13' 40.937"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30.249"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835"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B16</w:t>
            </w:r>
          </w:p>
        </w:tc>
        <w:tc>
          <w:tcPr>
            <w:tcW w:w="3951"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104° 13' 41.361" E</w:t>
            </w:r>
          </w:p>
        </w:tc>
        <w:tc>
          <w:tcPr>
            <w:tcW w:w="3736" w:type="dxa"/>
            <w:shd w:val="clear" w:color="auto" w:fill="auto"/>
            <w:noWrap/>
            <w:vAlign w:val="center"/>
          </w:tcPr>
          <w:p>
            <w:pPr>
              <w:widowControl/>
              <w:jc w:val="cente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宋体" w:cs="Times New Roman"/>
                <w:color w:val="0D0D0D" w:themeColor="text1" w:themeTint="F2"/>
                <w:kern w:val="0"/>
                <w:sz w:val="24"/>
                <w:szCs w:val="24"/>
                <w14:textFill>
                  <w14:solidFill>
                    <w14:schemeClr w14:val="tx1">
                      <w14:lumMod w14:val="95000"/>
                      <w14:lumOff w14:val="5000"/>
                    </w14:schemeClr>
                  </w14:solidFill>
                </w14:textFill>
              </w:rPr>
              <w:t>25° 24' 37.204" N</w:t>
            </w:r>
          </w:p>
        </w:tc>
      </w:tr>
    </w:tbl>
    <w:p>
      <w:pPr>
        <w:rPr>
          <w:color w:val="0D0D0D" w:themeColor="text1" w:themeTint="F2"/>
          <w14:textFill>
            <w14:solidFill>
              <w14:schemeClr w14:val="tx1">
                <w14:lumMod w14:val="95000"/>
                <w14:lumOff w14:val="5000"/>
              </w14:schemeClr>
            </w14:solidFill>
          </w14:textFill>
        </w:rPr>
      </w:pPr>
    </w:p>
    <w:p>
      <w:pPr>
        <w:widowControl/>
        <w:snapToGrid w:val="0"/>
        <w:spacing w:line="360" w:lineRule="auto"/>
        <w:outlineLvl w:val="0"/>
        <w:rPr>
          <w:rFonts w:ascii="Times New Roman" w:hAnsi="Times New Roman" w:eastAsia="仿宋" w:cs="Times New Roman"/>
          <w:b/>
          <w:color w:val="0D0D0D" w:themeColor="text1" w:themeTint="F2"/>
          <w:sz w:val="36"/>
          <w:szCs w:val="36"/>
          <w14:textFill>
            <w14:solidFill>
              <w14:schemeClr w14:val="tx1">
                <w14:lumMod w14:val="95000"/>
                <w14:lumOff w14:val="5000"/>
              </w14:schemeClr>
            </w14:solidFill>
          </w14:textFill>
        </w:rPr>
        <w:sectPr>
          <w:pgSz w:w="11906" w:h="16838"/>
          <w:pgMar w:top="1440" w:right="1800" w:bottom="1440" w:left="1800" w:header="851" w:footer="992" w:gutter="0"/>
          <w:pgNumType w:fmt="numberInDash"/>
          <w:cols w:space="425" w:num="1"/>
          <w:docGrid w:type="lines" w:linePitch="312" w:charSpace="0"/>
        </w:sectPr>
      </w:pPr>
    </w:p>
    <w:bookmarkEnd w:id="107"/>
    <w:bookmarkEnd w:id="108"/>
    <w:bookmarkEnd w:id="109"/>
    <w:p>
      <w:pPr>
        <w:pStyle w:val="3"/>
        <w:ind w:left="141"/>
        <w:rPr>
          <w:rFonts w:cs="Times New Roman"/>
          <w:color w:val="0D0D0D" w:themeColor="text1" w:themeTint="F2"/>
          <w:sz w:val="28"/>
          <w:szCs w:val="28"/>
          <w14:textFill>
            <w14:solidFill>
              <w14:schemeClr w14:val="tx1">
                <w14:lumMod w14:val="95000"/>
                <w14:lumOff w14:val="5000"/>
              </w14:schemeClr>
            </w14:solidFill>
          </w14:textFill>
        </w:rPr>
      </w:pPr>
      <w:bookmarkStart w:id="233" w:name="_Toc531261196"/>
      <w:bookmarkStart w:id="234" w:name="_Toc12621932"/>
      <w:bookmarkStart w:id="235" w:name="_Toc27509954"/>
      <w:r>
        <w:rPr>
          <w:rFonts w:cs="Times New Roman"/>
          <w:color w:val="0D0D0D" w:themeColor="text1" w:themeTint="F2"/>
          <w:sz w:val="28"/>
          <w:szCs w:val="28"/>
          <w14:textFill>
            <w14:solidFill>
              <w14:schemeClr w14:val="tx1">
                <w14:lumMod w14:val="95000"/>
                <w14:lumOff w14:val="5000"/>
              </w14:schemeClr>
            </w14:solidFill>
          </w14:textFill>
        </w:rPr>
        <w:t>附表1 富源县（2018年）基础信息调查表</w:t>
      </w:r>
      <w:bookmarkEnd w:id="233"/>
      <w:bookmarkEnd w:id="234"/>
      <w:bookmarkEnd w:id="235"/>
    </w:p>
    <w:tbl>
      <w:tblPr>
        <w:tblStyle w:val="45"/>
        <w:tblW w:w="1417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73"/>
        <w:gridCol w:w="1613"/>
        <w:gridCol w:w="1613"/>
        <w:gridCol w:w="1613"/>
        <w:gridCol w:w="1613"/>
        <w:gridCol w:w="1613"/>
        <w:gridCol w:w="1613"/>
        <w:gridCol w:w="1613"/>
        <w:gridCol w:w="16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27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区县名称</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人口</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（万人）</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面积</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（平方公里）</w:t>
            </w:r>
          </w:p>
        </w:tc>
        <w:tc>
          <w:tcPr>
            <w:tcW w:w="1613" w:type="dxa"/>
            <w:vAlign w:val="center"/>
          </w:tcPr>
          <w:p>
            <w:pPr>
              <w:widowControl/>
              <w:jc w:val="cente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GDP</w:t>
            </w:r>
          </w:p>
          <w:p>
            <w:pPr>
              <w:widowControl/>
              <w:jc w:val="cente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第一产业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第二产业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第三产业</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（亿元）</w:t>
            </w:r>
          </w:p>
        </w:tc>
        <w:tc>
          <w:tcPr>
            <w:tcW w:w="1613"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年降雨量（</w:t>
            </w:r>
            <w:r>
              <w:rPr>
                <w:rFonts w:ascii="Times New Roman" w:hAnsi="Times New Roman" w:eastAsia="仿宋" w:cs="Times New Roman"/>
                <w:b/>
                <w:bCs/>
                <w:color w:val="0D0D0D" w:themeColor="text1" w:themeTint="F2"/>
                <w:sz w:val="24"/>
                <w:szCs w:val="32"/>
                <w14:textFill>
                  <w14:solidFill>
                    <w14:schemeClr w14:val="tx1">
                      <w14:lumMod w14:val="95000"/>
                      <w14:lumOff w14:val="5000"/>
                    </w14:schemeClr>
                  </w14:solidFill>
                </w14:textFill>
              </w:rPr>
              <w:t>mm）</w:t>
            </w:r>
          </w:p>
        </w:tc>
        <w:tc>
          <w:tcPr>
            <w:tcW w:w="1610" w:type="dxa"/>
            <w:vAlign w:val="center"/>
          </w:tcPr>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耕地面积</w:t>
            </w:r>
          </w:p>
          <w:p>
            <w:pPr>
              <w:widowControl/>
              <w:jc w:val="center"/>
              <w:rPr>
                <w:rFonts w:ascii="仿宋" w:hAnsi="仿宋" w:eastAsia="仿宋" w:cstheme="majorBidi"/>
                <w:b/>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
                <w:bCs/>
                <w:color w:val="0D0D0D" w:themeColor="text1" w:themeTint="F2"/>
                <w:sz w:val="24"/>
                <w:szCs w:val="32"/>
                <w14:textFill>
                  <w14:solidFill>
                    <w14:schemeClr w14:val="tx1">
                      <w14:lumMod w14:val="95000"/>
                      <w14:lumOff w14:val="5000"/>
                    </w14:schemeClr>
                  </w14:solidFill>
                </w14:textFill>
              </w:rPr>
              <w:t>（万亩）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40" w:hRule="atLeast"/>
        </w:trPr>
        <w:tc>
          <w:tcPr>
            <w:tcW w:w="1273" w:type="dxa"/>
            <w:vAlign w:val="center"/>
          </w:tcPr>
          <w:p>
            <w:pPr>
              <w:widowControl/>
              <w:jc w:val="center"/>
              <w:rPr>
                <w:rFonts w:ascii="仿宋" w:hAnsi="仿宋" w:eastAsia="仿宋" w:cstheme="majorBidi"/>
                <w:bCs/>
                <w:color w:val="0D0D0D" w:themeColor="text1" w:themeTint="F2"/>
                <w:sz w:val="24"/>
                <w:szCs w:val="32"/>
                <w14:textFill>
                  <w14:solidFill>
                    <w14:schemeClr w14:val="tx1">
                      <w14:lumMod w14:val="95000"/>
                      <w14:lumOff w14:val="5000"/>
                    </w14:schemeClr>
                  </w14:solidFill>
                </w14:textFill>
              </w:rPr>
            </w:pPr>
            <w:r>
              <w:rPr>
                <w:rFonts w:hint="eastAsia" w:ascii="仿宋" w:hAnsi="仿宋" w:eastAsia="仿宋" w:cstheme="majorBidi"/>
                <w:bCs/>
                <w:color w:val="0D0D0D" w:themeColor="text1" w:themeTint="F2"/>
                <w:sz w:val="24"/>
                <w:szCs w:val="32"/>
                <w14:textFill>
                  <w14:solidFill>
                    <w14:schemeClr w14:val="tx1">
                      <w14:lumMod w14:val="95000"/>
                      <w14:lumOff w14:val="5000"/>
                    </w14:schemeClr>
                  </w14:solidFill>
                </w14:textFill>
              </w:rPr>
              <w:t>富源县</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83.44</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3251</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155.3458</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37.3832</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50.2285</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42.8381</w:t>
            </w:r>
          </w:p>
        </w:tc>
        <w:tc>
          <w:tcPr>
            <w:tcW w:w="1613"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1093.7</w:t>
            </w:r>
          </w:p>
        </w:tc>
        <w:tc>
          <w:tcPr>
            <w:tcW w:w="1610" w:type="dxa"/>
            <w:vAlign w:val="center"/>
          </w:tcPr>
          <w:p>
            <w:pPr>
              <w:widowControl/>
              <w:jc w:val="cente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pPr>
            <w:r>
              <w:rPr>
                <w:rFonts w:ascii="Times New Roman" w:hAnsi="Times New Roman" w:eastAsia="仿宋" w:cs="Times New Roman"/>
                <w:bCs/>
                <w:color w:val="0D0D0D" w:themeColor="text1" w:themeTint="F2"/>
                <w:sz w:val="24"/>
                <w:szCs w:val="32"/>
                <w14:textFill>
                  <w14:solidFill>
                    <w14:schemeClr w14:val="tx1">
                      <w14:lumMod w14:val="95000"/>
                      <w14:lumOff w14:val="5000"/>
                    </w14:schemeClr>
                  </w14:solidFill>
                </w14:textFill>
              </w:rPr>
              <w:t>167.51</w:t>
            </w:r>
          </w:p>
        </w:tc>
      </w:tr>
    </w:tbl>
    <w:p>
      <w:pPr>
        <w:pStyle w:val="3"/>
        <w:adjustRightInd w:val="0"/>
        <w:snapToGrid w:val="0"/>
        <w:spacing w:before="120" w:after="120" w:line="360" w:lineRule="auto"/>
        <w:ind w:left="142"/>
        <w:rPr>
          <w:rFonts w:ascii="仿宋" w:hAnsi="仿宋"/>
          <w:color w:val="0D0D0D" w:themeColor="text1" w:themeTint="F2"/>
          <w:sz w:val="28"/>
          <w:szCs w:val="28"/>
          <w14:textFill>
            <w14:solidFill>
              <w14:schemeClr w14:val="tx1">
                <w14:lumMod w14:val="95000"/>
                <w14:lumOff w14:val="5000"/>
              </w14:schemeClr>
            </w14:solidFill>
          </w14:textFill>
        </w:rPr>
      </w:pPr>
      <w:bookmarkStart w:id="236" w:name="_Toc18506561"/>
      <w:bookmarkStart w:id="237" w:name="_Toc27509955"/>
      <w:r>
        <w:rPr>
          <w:rFonts w:ascii="仿宋" w:hAnsi="仿宋"/>
          <w:color w:val="0D0D0D" w:themeColor="text1" w:themeTint="F2"/>
          <w:sz w:val="28"/>
          <w:szCs w:val="28"/>
          <w14:textFill>
            <w14:solidFill>
              <w14:schemeClr w14:val="tx1">
                <w14:lumMod w14:val="95000"/>
                <w14:lumOff w14:val="5000"/>
              </w14:schemeClr>
            </w14:solidFill>
          </w14:textFill>
        </w:rPr>
        <w:t>附表</w:t>
      </w:r>
      <w:r>
        <w:rPr>
          <w:rFonts w:hint="eastAsia" w:ascii="仿宋" w:hAnsi="仿宋"/>
          <w:color w:val="0D0D0D" w:themeColor="text1" w:themeTint="F2"/>
          <w:sz w:val="28"/>
          <w:szCs w:val="28"/>
          <w14:textFill>
            <w14:solidFill>
              <w14:schemeClr w14:val="tx1">
                <w14:lumMod w14:val="95000"/>
                <w14:lumOff w14:val="5000"/>
              </w14:schemeClr>
            </w14:solidFill>
          </w14:textFill>
        </w:rPr>
        <w:t>2 富源县吉克水库饮用水水源地基础信息表</w:t>
      </w:r>
      <w:bookmarkEnd w:id="236"/>
      <w:bookmarkEnd w:id="237"/>
    </w:p>
    <w:p>
      <w:pPr>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吉克水库</w:t>
      </w:r>
      <w:r>
        <w:rPr>
          <w:rFonts w:ascii="仿宋" w:hAnsi="仿宋" w:eastAsia="仿宋"/>
          <w:b/>
          <w:color w:val="0D0D0D" w:themeColor="text1" w:themeTint="F2"/>
          <w:kern w:val="0"/>
          <w:sz w:val="28"/>
          <w:szCs w:val="28"/>
          <w14:textFill>
            <w14:solidFill>
              <w14:schemeClr w14:val="tx1">
                <w14:lumMod w14:val="95000"/>
                <w14:lumOff w14:val="5000"/>
              </w14:schemeClr>
            </w14:solidFill>
          </w14:textFill>
        </w:rPr>
        <w:t>饮用水水源地基础信息表</w:t>
      </w:r>
    </w:p>
    <w:tbl>
      <w:tblPr>
        <w:tblStyle w:val="44"/>
        <w:tblW w:w="1386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1480"/>
        <w:gridCol w:w="1479"/>
        <w:gridCol w:w="1480"/>
        <w:gridCol w:w="1479"/>
        <w:gridCol w:w="1580"/>
        <w:gridCol w:w="1379"/>
        <w:gridCol w:w="1479"/>
        <w:gridCol w:w="1479"/>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restart"/>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序号</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州、市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县（市、区）</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水源地名称</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水源地所在地</w:t>
            </w:r>
          </w:p>
        </w:tc>
        <w:tc>
          <w:tcPr>
            <w:tcW w:w="15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水源地编码</w:t>
            </w:r>
          </w:p>
        </w:tc>
        <w:tc>
          <w:tcPr>
            <w:tcW w:w="13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水源地类型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使用状态</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水源地</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所在水系</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水质状况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vAlign w:val="center"/>
          </w:tcPr>
          <w:p>
            <w:pPr>
              <w:widowControl/>
              <w:adjustRightInd w:val="0"/>
              <w:snapToGrid w:val="0"/>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p>
        </w:tc>
        <w:tc>
          <w:tcPr>
            <w:tcW w:w="15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p>
        </w:tc>
        <w:tc>
          <w:tcPr>
            <w:tcW w:w="13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［8］</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曲靖市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富源县</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吉克水库</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墨红镇</w:t>
            </w:r>
          </w:p>
        </w:tc>
        <w:tc>
          <w:tcPr>
            <w:tcW w:w="15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HA0114530325106R0002</w:t>
            </w:r>
          </w:p>
        </w:tc>
        <w:tc>
          <w:tcPr>
            <w:tcW w:w="13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地表水</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正常供水</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南盘江（西江）</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地表水</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4 \* ROMAN</w:instrTex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separate"/>
            </w:r>
            <w:r>
              <w:rPr>
                <w:rFonts w:hint="eastAsia" w:ascii="宋体" w:hAnsi="宋体" w:eastAsia="宋体" w:cs="宋体"/>
                <w:color w:val="0D0D0D" w:themeColor="text1" w:themeTint="F2"/>
                <w:kern w:val="0"/>
                <w:sz w:val="24"/>
                <w:szCs w:val="24"/>
                <w:lang w:eastAsia="ja-JP"/>
                <w14:textFill>
                  <w14:solidFill>
                    <w14:schemeClr w14:val="tx1">
                      <w14:lumMod w14:val="95000"/>
                      <w14:lumOff w14:val="5000"/>
                    </w14:schemeClr>
                  </w14:solidFill>
                </w14:textFill>
              </w:rPr>
              <w:t>Ⅲ</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fldChar w:fldCharType="end"/>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restart"/>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序号</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超标因子（注明超标倍数）</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取水口位置</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（经纬度）</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多年平均</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水位线（m）</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供水范围</w:t>
            </w:r>
          </w:p>
        </w:tc>
        <w:tc>
          <w:tcPr>
            <w:tcW w:w="15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供水人口</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（万人）</w:t>
            </w:r>
          </w:p>
        </w:tc>
        <w:tc>
          <w:tcPr>
            <w:tcW w:w="13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供水量</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（万吨/日）</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对应供水工程</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是否设立隔离栏</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是否设立</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标识标志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［12］</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［13］</w:t>
            </w:r>
          </w:p>
        </w:tc>
        <w:tc>
          <w:tcPr>
            <w:tcW w:w="15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［14］</w:t>
            </w:r>
          </w:p>
        </w:tc>
        <w:tc>
          <w:tcPr>
            <w:tcW w:w="13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［15］</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［17］</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总氮</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E</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104°14′04"</w:t>
            </w:r>
          </w:p>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N</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25°25′22"</w:t>
            </w:r>
          </w:p>
        </w:tc>
        <w:tc>
          <w:tcPr>
            <w:tcW w:w="14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2095.8</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墨红镇</w:t>
            </w:r>
          </w:p>
        </w:tc>
        <w:tc>
          <w:tcPr>
            <w:tcW w:w="1580"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p>
        </w:tc>
        <w:tc>
          <w:tcPr>
            <w:tcW w:w="13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0.6</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富源县墨红镇自来水厂</w:t>
            </w:r>
          </w:p>
        </w:tc>
        <w:tc>
          <w:tcPr>
            <w:tcW w:w="1479" w:type="dxa"/>
            <w:shd w:val="clear" w:color="auto" w:fill="auto"/>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否</w:t>
            </w:r>
          </w:p>
        </w:tc>
        <w:tc>
          <w:tcPr>
            <w:tcW w:w="1480" w:type="dxa"/>
            <w:vAlign w:val="center"/>
          </w:tcPr>
          <w:p>
            <w:pPr>
              <w:widowControl/>
              <w:adjustRightInd w:val="0"/>
              <w:snapToGrid w:val="0"/>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否</w:t>
            </w:r>
          </w:p>
        </w:tc>
      </w:tr>
    </w:tbl>
    <w:p>
      <w:pPr>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bookmarkStart w:id="238" w:name="_Toc12621934"/>
      <w:bookmarkStart w:id="239" w:name="_Toc10723935"/>
      <w:bookmarkStart w:id="240" w:name="_Toc27509956"/>
    </w:p>
    <w:p>
      <w:pPr>
        <w:pStyle w:val="3"/>
        <w:ind w:left="141"/>
        <w:rPr>
          <w:rFonts w:cs="Times New Roman"/>
          <w:color w:val="0D0D0D" w:themeColor="text1" w:themeTint="F2"/>
          <w:sz w:val="28"/>
          <w:szCs w:val="28"/>
          <w14:textFill>
            <w14:solidFill>
              <w14:schemeClr w14:val="tx1">
                <w14:lumMod w14:val="95000"/>
                <w14:lumOff w14:val="5000"/>
              </w14:schemeClr>
            </w14:solidFill>
          </w14:textFill>
        </w:rPr>
      </w:pPr>
      <w:r>
        <w:rPr>
          <w:rFonts w:cs="Times New Roman"/>
          <w:color w:val="0D0D0D" w:themeColor="text1" w:themeTint="F2"/>
          <w:sz w:val="28"/>
          <w:szCs w:val="28"/>
          <w14:textFill>
            <w14:solidFill>
              <w14:schemeClr w14:val="tx1">
                <w14:lumMod w14:val="95000"/>
                <w14:lumOff w14:val="5000"/>
              </w14:schemeClr>
            </w14:solidFill>
          </w14:textFill>
        </w:rPr>
        <w:t>附表3</w:t>
      </w:r>
      <w:bookmarkEnd w:id="238"/>
      <w:bookmarkEnd w:id="239"/>
      <w:r>
        <w:rPr>
          <w:rFonts w:cs="Times New Roman"/>
          <w:color w:val="0D0D0D" w:themeColor="text1" w:themeTint="F2"/>
          <w:sz w:val="28"/>
          <w:szCs w:val="28"/>
          <w14:textFill>
            <w14:solidFill>
              <w14:schemeClr w14:val="tx1">
                <w14:lumMod w14:val="95000"/>
                <w14:lumOff w14:val="5000"/>
              </w14:schemeClr>
            </w14:solidFill>
          </w14:textFill>
        </w:rPr>
        <w:t xml:space="preserve"> 富源县吉克水库集中式饮用水水源保护区划分结果表</w:t>
      </w:r>
      <w:bookmarkEnd w:id="240"/>
    </w:p>
    <w:p>
      <w:pPr>
        <w:jc w:val="center"/>
        <w:rPr>
          <w:rFonts w:ascii="仿宋" w:hAnsi="仿宋" w:eastAsia="仿宋"/>
          <w:b/>
          <w:color w:val="0D0D0D" w:themeColor="text1" w:themeTint="F2"/>
          <w:kern w:val="0"/>
          <w:sz w:val="28"/>
          <w:szCs w:val="28"/>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吉克</w:t>
      </w:r>
      <w: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水库</w:t>
      </w:r>
      <w:r>
        <w:rPr>
          <w:rFonts w:ascii="仿宋" w:hAnsi="仿宋" w:eastAsia="仿宋"/>
          <w:b/>
          <w:color w:val="0D0D0D" w:themeColor="text1" w:themeTint="F2"/>
          <w:kern w:val="0"/>
          <w:sz w:val="28"/>
          <w:szCs w:val="28"/>
          <w14:textFill>
            <w14:solidFill>
              <w14:schemeClr w14:val="tx1">
                <w14:lumMod w14:val="95000"/>
                <w14:lumOff w14:val="5000"/>
              </w14:schemeClr>
            </w14:solidFill>
          </w14:textFill>
        </w:rPr>
        <w:t>饮用水水源地保护区划分结果表</w:t>
      </w:r>
    </w:p>
    <w:tbl>
      <w:tblPr>
        <w:tblStyle w:val="44"/>
        <w:tblW w:w="13948" w:type="dxa"/>
        <w:tblInd w:w="0" w:type="dxa"/>
        <w:tblLayout w:type="fixed"/>
        <w:tblCellMar>
          <w:top w:w="0" w:type="dxa"/>
          <w:left w:w="108" w:type="dxa"/>
          <w:bottom w:w="0" w:type="dxa"/>
          <w:right w:w="108" w:type="dxa"/>
        </w:tblCellMar>
      </w:tblPr>
      <w:tblGrid>
        <w:gridCol w:w="838"/>
        <w:gridCol w:w="1284"/>
        <w:gridCol w:w="993"/>
        <w:gridCol w:w="1275"/>
        <w:gridCol w:w="1559"/>
        <w:gridCol w:w="1133"/>
        <w:gridCol w:w="1398"/>
        <w:gridCol w:w="1398"/>
        <w:gridCol w:w="1537"/>
        <w:gridCol w:w="1253"/>
        <w:gridCol w:w="1280"/>
      </w:tblGrid>
      <w:tr>
        <w:tblPrEx>
          <w:tblLayout w:type="fixed"/>
          <w:tblCellMar>
            <w:top w:w="0" w:type="dxa"/>
            <w:left w:w="108" w:type="dxa"/>
            <w:bottom w:w="0" w:type="dxa"/>
            <w:right w:w="108" w:type="dxa"/>
          </w:tblCellMar>
        </w:tblPrEx>
        <w:trPr>
          <w:trHeight w:val="315" w:hRule="atLeast"/>
        </w:trPr>
        <w:tc>
          <w:tcPr>
            <w:tcW w:w="8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城市名称</w:t>
            </w:r>
          </w:p>
        </w:tc>
        <w:tc>
          <w:tcPr>
            <w:tcW w:w="1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饮用水水源地名称</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水源地类型</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水环境功能类别</w:t>
            </w:r>
          </w:p>
        </w:tc>
        <w:tc>
          <w:tcPr>
            <w:tcW w:w="155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指标名称</w:t>
            </w:r>
          </w:p>
        </w:tc>
        <w:tc>
          <w:tcPr>
            <w:tcW w:w="2531"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一级保护区</w:t>
            </w:r>
          </w:p>
        </w:tc>
        <w:tc>
          <w:tcPr>
            <w:tcW w:w="2935"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二级保护区</w:t>
            </w:r>
          </w:p>
        </w:tc>
        <w:tc>
          <w:tcPr>
            <w:tcW w:w="2533"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准保护区</w:t>
            </w:r>
          </w:p>
        </w:tc>
      </w:tr>
      <w:tr>
        <w:tblPrEx>
          <w:tblLayout w:type="fixed"/>
          <w:tblCellMar>
            <w:top w:w="0" w:type="dxa"/>
            <w:left w:w="108" w:type="dxa"/>
            <w:bottom w:w="0" w:type="dxa"/>
            <w:right w:w="108" w:type="dxa"/>
          </w:tblCellMar>
        </w:tblPrEx>
        <w:trPr>
          <w:trHeight w:val="285" w:hRule="atLeast"/>
        </w:trPr>
        <w:tc>
          <w:tcPr>
            <w:tcW w:w="83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559" w:type="dxa"/>
            <w:vMerge w:val="continue"/>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p>
        </w:tc>
        <w:tc>
          <w:tcPr>
            <w:tcW w:w="113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53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c>
          <w:tcPr>
            <w:tcW w:w="12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水域</w:t>
            </w:r>
          </w:p>
        </w:tc>
        <w:tc>
          <w:tcPr>
            <w:tcW w:w="12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b/>
                <w:bCs/>
                <w:color w:val="0D0D0D" w:themeColor="text1" w:themeTint="F2"/>
                <w:sz w:val="24"/>
                <w:szCs w:val="24"/>
                <w14:textFill>
                  <w14:solidFill>
                    <w14:schemeClr w14:val="tx1">
                      <w14:lumMod w14:val="95000"/>
                      <w14:lumOff w14:val="5000"/>
                    </w14:schemeClr>
                  </w14:solidFill>
                </w14:textFill>
              </w:rPr>
              <w:t>陆域</w:t>
            </w:r>
          </w:p>
        </w:tc>
      </w:tr>
      <w:tr>
        <w:tblPrEx>
          <w:tblLayout w:type="fixed"/>
          <w:tblCellMar>
            <w:top w:w="0" w:type="dxa"/>
            <w:left w:w="108" w:type="dxa"/>
            <w:bottom w:w="0" w:type="dxa"/>
            <w:right w:w="108" w:type="dxa"/>
          </w:tblCellMar>
        </w:tblPrEx>
        <w:trPr>
          <w:trHeight w:val="315" w:hRule="atLeast"/>
        </w:trPr>
        <w:tc>
          <w:tcPr>
            <w:tcW w:w="838" w:type="dxa"/>
            <w:vMerge w:val="restart"/>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富源县</w:t>
            </w:r>
          </w:p>
        </w:tc>
        <w:tc>
          <w:tcPr>
            <w:tcW w:w="128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吉克水库</w:t>
            </w:r>
          </w:p>
        </w:tc>
        <w:tc>
          <w:tcPr>
            <w:tcW w:w="993"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地表水型</w:t>
            </w:r>
          </w:p>
        </w:tc>
        <w:tc>
          <w:tcPr>
            <w:tcW w:w="1275"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begin"/>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w:instrTex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3 \* ROMAN</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instrText xml:space="preserve"> </w:instrTex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separate"/>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III</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fldChar w:fldCharType="end"/>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类</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（地表水）</w:t>
            </w:r>
          </w:p>
        </w:tc>
        <w:tc>
          <w:tcPr>
            <w:tcW w:w="1559" w:type="dxa"/>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面积</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km</w:t>
            </w:r>
            <w:r>
              <w:rPr>
                <w:rFonts w:ascii="Times New Roman" w:hAnsi="Times New Roman" w:eastAsia="仿宋" w:cs="Times New Roman"/>
                <w:color w:val="0D0D0D" w:themeColor="text1" w:themeTint="F2"/>
                <w:sz w:val="24"/>
                <w:szCs w:val="24"/>
                <w:vertAlign w:val="superscript"/>
                <w14:textFill>
                  <w14:solidFill>
                    <w14:schemeClr w14:val="tx1">
                      <w14:lumMod w14:val="95000"/>
                      <w14:lumOff w14:val="5000"/>
                    </w14:schemeClr>
                  </w14:solidFill>
                </w14:textFill>
              </w:rPr>
              <w:t>2</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531"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0.8972</w:t>
            </w:r>
          </w:p>
        </w:tc>
        <w:tc>
          <w:tcPr>
            <w:tcW w:w="2935"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2.4301</w:t>
            </w:r>
          </w:p>
        </w:tc>
        <w:tc>
          <w:tcPr>
            <w:tcW w:w="2533" w:type="dxa"/>
            <w:gridSpan w:val="2"/>
            <w:tcBorders>
              <w:top w:val="single" w:color="auto" w:sz="4" w:space="0"/>
              <w:left w:val="nil"/>
              <w:bottom w:val="single" w:color="auto" w:sz="4" w:space="0"/>
              <w:right w:val="single" w:color="000000"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r>
        <w:tblPrEx>
          <w:tblLayout w:type="fixed"/>
          <w:tblCellMar>
            <w:top w:w="0" w:type="dxa"/>
            <w:left w:w="108" w:type="dxa"/>
            <w:bottom w:w="0" w:type="dxa"/>
            <w:right w:w="108" w:type="dxa"/>
          </w:tblCellMar>
        </w:tblPrEx>
        <w:trPr>
          <w:trHeight w:val="315" w:hRule="atLeast"/>
        </w:trPr>
        <w:tc>
          <w:tcPr>
            <w:tcW w:w="838"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9"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13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0.0</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981</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0.</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7991</w:t>
            </w:r>
          </w:p>
        </w:tc>
        <w:tc>
          <w:tcPr>
            <w:tcW w:w="1398"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537"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2.4301</w:t>
            </w:r>
          </w:p>
        </w:tc>
        <w:tc>
          <w:tcPr>
            <w:tcW w:w="1253"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1280"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r>
        <w:tblPrEx>
          <w:tblLayout w:type="fixed"/>
          <w:tblCellMar>
            <w:top w:w="0" w:type="dxa"/>
            <w:left w:w="108" w:type="dxa"/>
            <w:bottom w:w="0" w:type="dxa"/>
            <w:right w:w="108" w:type="dxa"/>
          </w:tblCellMar>
        </w:tblPrEx>
        <w:trPr>
          <w:trHeight w:val="570" w:hRule="atLeast"/>
        </w:trPr>
        <w:tc>
          <w:tcPr>
            <w:tcW w:w="838"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84"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993"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275" w:type="dxa"/>
            <w:vMerge w:val="continue"/>
            <w:tcBorders>
              <w:top w:val="nil"/>
              <w:left w:val="single" w:color="auto" w:sz="4" w:space="0"/>
              <w:bottom w:val="single" w:color="000000" w:sz="4" w:space="0"/>
              <w:right w:val="single" w:color="auto" w:sz="4" w:space="0"/>
            </w:tcBorders>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p>
        </w:tc>
        <w:tc>
          <w:tcPr>
            <w:tcW w:w="1559" w:type="dxa"/>
            <w:tcBorders>
              <w:top w:val="nil"/>
              <w:left w:val="nil"/>
              <w:bottom w:val="single" w:color="auto" w:sz="4" w:space="0"/>
              <w:right w:val="single" w:color="auto" w:sz="4" w:space="0"/>
            </w:tcBorders>
            <w:shd w:val="clear" w:color="auto" w:fill="auto"/>
            <w:vAlign w:val="center"/>
          </w:tcPr>
          <w:p>
            <w:pPr>
              <w:jc w:val="cente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保护区范围</w:t>
            </w:r>
          </w:p>
        </w:tc>
        <w:tc>
          <w:tcPr>
            <w:tcW w:w="2531"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水域：吉克水库（含上吉克水库）正常水位2095.8m（2151.0m）以下的水域。</w:t>
            </w:r>
          </w:p>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陆域：吉克水库（含上吉克水库）正常蓄水位外延200m范围为</w:t>
            </w:r>
            <w: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w:t>
            </w: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c>
          <w:tcPr>
            <w:tcW w:w="2935"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陆域：吉克水库（含上吉克水库）西南以护林道路为界，其他以流域分水岭为界。</w:t>
            </w:r>
          </w:p>
        </w:tc>
        <w:tc>
          <w:tcPr>
            <w:tcW w:w="2533" w:type="dxa"/>
            <w:gridSpan w:val="2"/>
            <w:tcBorders>
              <w:top w:val="single" w:color="auto" w:sz="4" w:space="0"/>
              <w:left w:val="nil"/>
              <w:bottom w:val="single" w:color="auto" w:sz="4" w:space="0"/>
              <w:right w:val="single" w:color="auto" w:sz="4" w:space="0"/>
            </w:tcBorders>
            <w:shd w:val="clear" w:color="auto" w:fill="auto"/>
            <w:vAlign w:val="center"/>
          </w:tcPr>
          <w:p>
            <w:pPr>
              <w:rPr>
                <w:rFonts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sz w:val="24"/>
                <w:szCs w:val="24"/>
                <w14:textFill>
                  <w14:solidFill>
                    <w14:schemeClr w14:val="tx1">
                      <w14:lumMod w14:val="95000"/>
                      <w14:lumOff w14:val="5000"/>
                    </w14:schemeClr>
                  </w14:solidFill>
                </w14:textFill>
              </w:rPr>
              <w:t>/</w:t>
            </w:r>
          </w:p>
        </w:tc>
      </w:tr>
    </w:tbl>
    <w:p>
      <w:pPr>
        <w:rPr>
          <w:color w:val="0D0D0D" w:themeColor="text1" w:themeTint="F2"/>
          <w14:textFill>
            <w14:solidFill>
              <w14:schemeClr w14:val="tx1">
                <w14:lumMod w14:val="95000"/>
                <w14:lumOff w14:val="5000"/>
              </w14:schemeClr>
            </w14:solidFill>
          </w14:textFill>
        </w:rPr>
        <w:sectPr>
          <w:pgSz w:w="16838" w:h="11906" w:orient="landscape"/>
          <w:pgMar w:top="1236" w:right="1440" w:bottom="1236" w:left="1440" w:header="851" w:footer="992" w:gutter="0"/>
          <w:pgNumType w:fmt="numberInDash"/>
          <w:cols w:space="0" w:num="1"/>
          <w:docGrid w:type="lines" w:linePitch="312" w:charSpace="0"/>
        </w:sectPr>
      </w:pPr>
    </w:p>
    <w:p>
      <w:pPr>
        <w:pStyle w:val="3"/>
        <w:adjustRightInd w:val="0"/>
        <w:snapToGrid w:val="0"/>
        <w:spacing w:before="0" w:after="0" w:line="360" w:lineRule="auto"/>
        <w:rPr>
          <w:rFonts w:cs="Times New Roman"/>
          <w:color w:val="0D0D0D" w:themeColor="text1" w:themeTint="F2"/>
          <w:sz w:val="28"/>
          <w:szCs w:val="28"/>
          <w14:textFill>
            <w14:solidFill>
              <w14:schemeClr w14:val="tx1">
                <w14:lumMod w14:val="95000"/>
                <w14:lumOff w14:val="5000"/>
              </w14:schemeClr>
            </w14:solidFill>
          </w14:textFill>
        </w:rPr>
      </w:pPr>
      <w:bookmarkStart w:id="241" w:name="_Toc27509957"/>
      <w:r>
        <w:rPr>
          <w:rFonts w:cs="Times New Roman"/>
          <w:color w:val="0D0D0D" w:themeColor="text1" w:themeTint="F2"/>
          <w:sz w:val="28"/>
          <w:szCs w:val="28"/>
          <w14:textFill>
            <w14:solidFill>
              <w14:schemeClr w14:val="tx1">
                <w14:lumMod w14:val="95000"/>
                <w14:lumOff w14:val="5000"/>
              </w14:schemeClr>
            </w14:solidFill>
          </w14:textFill>
        </w:rPr>
        <w:t>附表</w:t>
      </w:r>
      <w:r>
        <w:rPr>
          <w:rFonts w:hint="eastAsia" w:cs="Times New Roman"/>
          <w:color w:val="0D0D0D" w:themeColor="text1" w:themeTint="F2"/>
          <w:sz w:val="28"/>
          <w:szCs w:val="28"/>
          <w14:textFill>
            <w14:solidFill>
              <w14:schemeClr w14:val="tx1">
                <w14:lumMod w14:val="95000"/>
                <w14:lumOff w14:val="5000"/>
              </w14:schemeClr>
            </w14:solidFill>
          </w14:textFill>
        </w:rPr>
        <w:t>4 富源县吉克水库饮用水水源地保护区污染源调查表</w:t>
      </w:r>
      <w:bookmarkEnd w:id="241"/>
    </w:p>
    <w:p>
      <w:pPr>
        <w:adjustRightInd w:val="0"/>
        <w:snapToGrid w:val="0"/>
        <w:spacing w:line="240" w:lineRule="atLeast"/>
        <w:jc w:val="cente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pPr>
      <w:r>
        <w:rPr>
          <w:rFonts w:hint="eastAsia"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吉克水库</w:t>
      </w:r>
      <w:r>
        <w:rPr>
          <w:rFonts w:ascii="仿宋" w:hAnsi="仿宋" w:eastAsia="仿宋"/>
          <w:b/>
          <w:color w:val="0D0D0D" w:themeColor="text1" w:themeTint="F2"/>
          <w:kern w:val="0"/>
          <w:sz w:val="28"/>
          <w:szCs w:val="28"/>
          <w:u w:val="single"/>
          <w14:textFill>
            <w14:solidFill>
              <w14:schemeClr w14:val="tx1">
                <w14:lumMod w14:val="95000"/>
                <w14:lumOff w14:val="5000"/>
              </w14:schemeClr>
            </w14:solidFill>
          </w14:textFill>
        </w:rPr>
        <w:t>饮用水水源地保护区污染源调查表</w:t>
      </w:r>
    </w:p>
    <w:tbl>
      <w:tblPr>
        <w:tblStyle w:val="44"/>
        <w:tblW w:w="14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134"/>
        <w:gridCol w:w="1134"/>
        <w:gridCol w:w="2297"/>
        <w:gridCol w:w="1086"/>
        <w:gridCol w:w="1847"/>
        <w:gridCol w:w="2550"/>
        <w:gridCol w:w="3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59"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水源地名称</w:t>
            </w:r>
          </w:p>
        </w:tc>
        <w:tc>
          <w:tcPr>
            <w:tcW w:w="1134"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保护区级别</w:t>
            </w:r>
          </w:p>
        </w:tc>
        <w:tc>
          <w:tcPr>
            <w:tcW w:w="4517" w:type="dxa"/>
            <w:gridSpan w:val="3"/>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主要污染源</w:t>
            </w:r>
          </w:p>
        </w:tc>
        <w:tc>
          <w:tcPr>
            <w:tcW w:w="1847"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环境风险</w:t>
            </w:r>
          </w:p>
        </w:tc>
        <w:tc>
          <w:tcPr>
            <w:tcW w:w="2550"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存在的主要环境问题</w:t>
            </w:r>
          </w:p>
        </w:tc>
        <w:tc>
          <w:tcPr>
            <w:tcW w:w="3177" w:type="dxa"/>
            <w:vMerge w:val="restart"/>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规范化建设项目及管理措施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59"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点源</w:t>
            </w:r>
          </w:p>
        </w:tc>
        <w:tc>
          <w:tcPr>
            <w:tcW w:w="2297"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面源</w:t>
            </w:r>
          </w:p>
        </w:tc>
        <w:tc>
          <w:tcPr>
            <w:tcW w:w="1086" w:type="dxa"/>
            <w:shd w:val="clear" w:color="auto" w:fill="auto"/>
            <w:vAlign w:val="center"/>
          </w:tcPr>
          <w:p>
            <w:pPr>
              <w:widowControl/>
              <w:jc w:val="cente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t>流动源</w:t>
            </w:r>
          </w:p>
        </w:tc>
        <w:tc>
          <w:tcPr>
            <w:tcW w:w="184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2550"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3177" w:type="dxa"/>
            <w:vMerge w:val="continue"/>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9" w:type="dxa"/>
            <w:vMerge w:val="restart"/>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吉克水库</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一级区</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采石场</w:t>
            </w:r>
          </w:p>
        </w:tc>
        <w:tc>
          <w:tcPr>
            <w:tcW w:w="2297"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1.农村生活面源，涉及</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上吉克村59</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201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人；</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2.畜禽养殖污染，涉及畜禽数量</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1353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头（只）</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21.12公顷；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69.72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乡道Y204</w:t>
            </w:r>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固定源，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农业农村面源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流动源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1.农村生活污水及垃圾面源污染；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2.畜禽养殖面源污染；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4.交通污染风险；</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5.水土流失面源污染</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6.采石场固定源风险。</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1.一级保护区防护围网、交通警示牌设置</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、告示牌、界桩</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2.生活</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垃圾</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处置工程；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3.生活污水处置工程；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4.退耕还林、人工造林工程；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5.交通污染风险防控工程；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6</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7.固定风险源管控工程。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959" w:type="dxa"/>
            <w:vMerge w:val="continue"/>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二级区</w:t>
            </w:r>
          </w:p>
        </w:tc>
        <w:tc>
          <w:tcPr>
            <w:tcW w:w="1134"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无</w:t>
            </w:r>
          </w:p>
        </w:tc>
        <w:tc>
          <w:tcPr>
            <w:tcW w:w="2297" w:type="dxa"/>
            <w:shd w:val="clear" w:color="auto" w:fill="auto"/>
            <w:vAlign w:val="center"/>
          </w:tcPr>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.农业种植污染，涉及耕地</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27.02公顷；</w:t>
            </w:r>
          </w:p>
          <w:p>
            <w:pPr>
              <w:widowControl/>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209.95</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公顷</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p>
        </w:tc>
        <w:tc>
          <w:tcPr>
            <w:tcW w:w="1086" w:type="dxa"/>
            <w:shd w:val="clear" w:color="auto" w:fill="auto"/>
            <w:vAlign w:val="center"/>
          </w:tcPr>
          <w:p>
            <w:pPr>
              <w:widowControl/>
              <w:jc w:val="cente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乡道Y204及其它乡村道路</w:t>
            </w:r>
          </w:p>
        </w:tc>
        <w:tc>
          <w:tcPr>
            <w:tcW w:w="184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农业面源</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及水土流失非点源</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流动源</w:t>
            </w:r>
          </w:p>
        </w:tc>
        <w:tc>
          <w:tcPr>
            <w:tcW w:w="2550"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.农业种植化肥、农药面源污染；</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2.交通污染风险；</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.水土流失面源污染。</w:t>
            </w:r>
          </w:p>
        </w:tc>
        <w:tc>
          <w:tcPr>
            <w:tcW w:w="3177" w:type="dxa"/>
            <w:shd w:val="clear" w:color="auto" w:fill="auto"/>
            <w:vAlign w:val="center"/>
          </w:tcPr>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1.二级保护区</w:t>
            </w: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界桩</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、宣传牌、交通警示牌设置；</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2.退耕还林、人工造林工程；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3</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.测土配方施肥工程；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4.交通污染风险防控工程；</w:t>
            </w:r>
          </w:p>
          <w:p>
            <w:pPr>
              <w:widowControl/>
              <w:jc w:val="left"/>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pPr>
            <w:r>
              <w:rPr>
                <w:rFonts w:hint="eastAsia"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5</w:t>
            </w:r>
            <w:r>
              <w:rPr>
                <w:rFonts w:ascii="Times New Roman" w:hAnsi="Times New Roman" w:eastAsia="仿宋" w:cs="Times New Roman"/>
                <w:color w:val="0D0D0D" w:themeColor="text1" w:themeTint="F2"/>
                <w:kern w:val="0"/>
                <w:sz w:val="24"/>
                <w:szCs w:val="24"/>
                <w14:textFill>
                  <w14:solidFill>
                    <w14:schemeClr w14:val="tx1">
                      <w14:lumMod w14:val="95000"/>
                      <w14:lumOff w14:val="5000"/>
                    </w14:schemeClr>
                  </w14:solidFill>
                </w14:textFill>
              </w:rPr>
              <w:t>.水土流失治理工程。</w:t>
            </w:r>
          </w:p>
        </w:tc>
      </w:tr>
    </w:tbl>
    <w:p>
      <w:pPr>
        <w:rPr>
          <w:color w:val="0D0D0D" w:themeColor="text1" w:themeTint="F2"/>
          <w:lang w:val="en-GB"/>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sectPr>
      <w:pgSz w:w="16838" w:h="11906" w:orient="landscape"/>
      <w:pgMar w:top="1236" w:right="1440" w:bottom="1236" w:left="1440"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Microsoft YaHei UI">
    <w:altName w:val="宋体"/>
    <w:panose1 w:val="020B0503020204020204"/>
    <w:charset w:val="86"/>
    <w:family w:val="swiss"/>
    <w:pitch w:val="default"/>
    <w:sig w:usb0="00000000" w:usb1="00000000" w:usb2="00000016" w:usb3="00000000" w:csb0="0004001F" w:csb1="00000000"/>
  </w:font>
  <w:font w:name="华文中宋">
    <w:altName w:val="宋体"/>
    <w:panose1 w:val="02010600040101010101"/>
    <w:charset w:val="86"/>
    <w:family w:val="auto"/>
    <w:pitch w:val="default"/>
    <w:sig w:usb0="00000000" w:usb1="00000000" w:usb2="00000010" w:usb3="00000000" w:csb0="000400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0468632"/>
      <w:docPartObj>
        <w:docPartGallery w:val="AutoText"/>
      </w:docPartObj>
    </w:sdtPr>
    <w:sdtContent>
      <w:p>
        <w:pPr>
          <w:pStyle w:val="28"/>
          <w:jc w:val="center"/>
        </w:pPr>
      </w:p>
    </w:sdtContent>
  </w:sdt>
  <w:p>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5807744"/>
      <w:docPartObj>
        <w:docPartGallery w:val="AutoText"/>
      </w:docPartObj>
    </w:sdtPr>
    <w:sdtContent>
      <w:p>
        <w:pPr>
          <w:pStyle w:val="28"/>
          <w:jc w:val="center"/>
        </w:pPr>
        <w:r>
          <w:fldChar w:fldCharType="begin"/>
        </w:r>
        <w:r>
          <w:instrText xml:space="preserve">PAGE   \* MERGEFORMAT</w:instrText>
        </w:r>
        <w:r>
          <w:fldChar w:fldCharType="separate"/>
        </w:r>
        <w:r>
          <w:rPr>
            <w:lang w:val="zh-CN"/>
          </w:rPr>
          <w:t>iii</w:t>
        </w:r>
        <w:r>
          <w:fldChar w:fldCharType="end"/>
        </w:r>
      </w:p>
    </w:sdtContent>
  </w:sdt>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9905117"/>
      <w:docPartObj>
        <w:docPartGallery w:val="AutoText"/>
      </w:docPartObj>
    </w:sdtPr>
    <w:sdtContent>
      <w:p>
        <w:pPr>
          <w:pStyle w:val="28"/>
          <w:jc w:val="center"/>
        </w:pPr>
        <w:r>
          <w:fldChar w:fldCharType="begin"/>
        </w:r>
        <w:r>
          <w:instrText xml:space="preserve">PAGE   \* MERGEFORMAT</w:instrText>
        </w:r>
        <w:r>
          <w:fldChar w:fldCharType="separate"/>
        </w:r>
        <w:r>
          <w:rPr>
            <w:lang w:val="zh-CN"/>
          </w:rPr>
          <w:t>-</w:t>
        </w:r>
        <w:r>
          <w:t xml:space="preserve"> 5 -</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8861279"/>
      <w:docPartObj>
        <w:docPartGallery w:val="AutoText"/>
      </w:docPartObj>
    </w:sdtPr>
    <w:sdtContent>
      <w:p>
        <w:pPr>
          <w:pStyle w:val="28"/>
          <w:jc w:val="center"/>
        </w:pPr>
        <w:r>
          <w:fldChar w:fldCharType="begin"/>
        </w:r>
        <w:r>
          <w:instrText xml:space="preserve">PAGE   \* MERGEFORMAT</w:instrText>
        </w:r>
        <w:r>
          <w:fldChar w:fldCharType="separate"/>
        </w:r>
        <w:r>
          <w:rPr>
            <w:lang w:val="zh-CN"/>
          </w:rPr>
          <w:t>-</w:t>
        </w:r>
        <w:r>
          <w:t xml:space="preserve"> 38 -</w:t>
        </w:r>
        <w:r>
          <w:fldChar w:fldCharType="end"/>
        </w:r>
      </w:p>
    </w:sdtContent>
  </w:sdt>
  <w:p>
    <w:pPr>
      <w:pStyle w:val="28"/>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0">
      <w:start w:val="1"/>
      <w:numFmt w:val="bullet"/>
      <w:pStyle w:val="15"/>
      <w:lvlText w:val=""/>
      <w:lvlJc w:val="left"/>
      <w:pPr>
        <w:tabs>
          <w:tab w:val="left" w:pos="360"/>
        </w:tabs>
        <w:ind w:left="360" w:hanging="360" w:hangingChars="20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092"/>
    <w:rsid w:val="00000BAA"/>
    <w:rsid w:val="00002B1D"/>
    <w:rsid w:val="000051A7"/>
    <w:rsid w:val="000057B4"/>
    <w:rsid w:val="000057E5"/>
    <w:rsid w:val="00006389"/>
    <w:rsid w:val="00012715"/>
    <w:rsid w:val="0002043B"/>
    <w:rsid w:val="000214DD"/>
    <w:rsid w:val="00023B70"/>
    <w:rsid w:val="000245F6"/>
    <w:rsid w:val="00024D03"/>
    <w:rsid w:val="000315A7"/>
    <w:rsid w:val="0003527E"/>
    <w:rsid w:val="0003553B"/>
    <w:rsid w:val="000362D7"/>
    <w:rsid w:val="00036A97"/>
    <w:rsid w:val="00037199"/>
    <w:rsid w:val="00041333"/>
    <w:rsid w:val="00042407"/>
    <w:rsid w:val="000439BE"/>
    <w:rsid w:val="00044BEE"/>
    <w:rsid w:val="000453C1"/>
    <w:rsid w:val="0004636E"/>
    <w:rsid w:val="00047106"/>
    <w:rsid w:val="00053EA4"/>
    <w:rsid w:val="00055B7B"/>
    <w:rsid w:val="00055BA1"/>
    <w:rsid w:val="0005728E"/>
    <w:rsid w:val="00057724"/>
    <w:rsid w:val="0006100B"/>
    <w:rsid w:val="00071E63"/>
    <w:rsid w:val="00073188"/>
    <w:rsid w:val="00073243"/>
    <w:rsid w:val="0008082C"/>
    <w:rsid w:val="000809AA"/>
    <w:rsid w:val="000857FC"/>
    <w:rsid w:val="000924F1"/>
    <w:rsid w:val="00092F78"/>
    <w:rsid w:val="000946A3"/>
    <w:rsid w:val="000A0EB9"/>
    <w:rsid w:val="000A30C6"/>
    <w:rsid w:val="000A42F3"/>
    <w:rsid w:val="000B2196"/>
    <w:rsid w:val="000B32DF"/>
    <w:rsid w:val="000B75C5"/>
    <w:rsid w:val="000C4766"/>
    <w:rsid w:val="000D6FD0"/>
    <w:rsid w:val="000E1D72"/>
    <w:rsid w:val="000E42B8"/>
    <w:rsid w:val="000E58FF"/>
    <w:rsid w:val="000E5B0E"/>
    <w:rsid w:val="000F0431"/>
    <w:rsid w:val="000F2DDA"/>
    <w:rsid w:val="000F3D90"/>
    <w:rsid w:val="000F51D5"/>
    <w:rsid w:val="000F724C"/>
    <w:rsid w:val="000F7402"/>
    <w:rsid w:val="00103D7C"/>
    <w:rsid w:val="00104034"/>
    <w:rsid w:val="00104C08"/>
    <w:rsid w:val="00110EEA"/>
    <w:rsid w:val="00117795"/>
    <w:rsid w:val="001206AB"/>
    <w:rsid w:val="00120915"/>
    <w:rsid w:val="00130C7D"/>
    <w:rsid w:val="00130E81"/>
    <w:rsid w:val="00132BB7"/>
    <w:rsid w:val="00133EF1"/>
    <w:rsid w:val="00134E5A"/>
    <w:rsid w:val="0014035B"/>
    <w:rsid w:val="00142C7C"/>
    <w:rsid w:val="00143B51"/>
    <w:rsid w:val="001450A5"/>
    <w:rsid w:val="001515D1"/>
    <w:rsid w:val="00154210"/>
    <w:rsid w:val="00154E81"/>
    <w:rsid w:val="00160938"/>
    <w:rsid w:val="0016142D"/>
    <w:rsid w:val="0016272A"/>
    <w:rsid w:val="00163FD7"/>
    <w:rsid w:val="001650DD"/>
    <w:rsid w:val="0017193D"/>
    <w:rsid w:val="0017196E"/>
    <w:rsid w:val="0017239F"/>
    <w:rsid w:val="00173847"/>
    <w:rsid w:val="00173D56"/>
    <w:rsid w:val="00173E5C"/>
    <w:rsid w:val="00174CAB"/>
    <w:rsid w:val="001752E9"/>
    <w:rsid w:val="0017618B"/>
    <w:rsid w:val="00176EA7"/>
    <w:rsid w:val="0017771E"/>
    <w:rsid w:val="00181D27"/>
    <w:rsid w:val="00183092"/>
    <w:rsid w:val="00183FA2"/>
    <w:rsid w:val="00186949"/>
    <w:rsid w:val="00194212"/>
    <w:rsid w:val="001A0ADE"/>
    <w:rsid w:val="001A2E28"/>
    <w:rsid w:val="001A4329"/>
    <w:rsid w:val="001B0953"/>
    <w:rsid w:val="001B3522"/>
    <w:rsid w:val="001B399F"/>
    <w:rsid w:val="001B4EB6"/>
    <w:rsid w:val="001B6646"/>
    <w:rsid w:val="001C0178"/>
    <w:rsid w:val="001C0B72"/>
    <w:rsid w:val="001C0FDC"/>
    <w:rsid w:val="001C20C3"/>
    <w:rsid w:val="001C32E9"/>
    <w:rsid w:val="001C3F90"/>
    <w:rsid w:val="001C5CC1"/>
    <w:rsid w:val="001C6555"/>
    <w:rsid w:val="001C79D2"/>
    <w:rsid w:val="001C7F24"/>
    <w:rsid w:val="001D007F"/>
    <w:rsid w:val="001D2B32"/>
    <w:rsid w:val="001D4DCB"/>
    <w:rsid w:val="001E23BD"/>
    <w:rsid w:val="001E28B4"/>
    <w:rsid w:val="001E2CBB"/>
    <w:rsid w:val="001E3BB6"/>
    <w:rsid w:val="001E7E56"/>
    <w:rsid w:val="001F09BA"/>
    <w:rsid w:val="001F1CA1"/>
    <w:rsid w:val="001F2ED2"/>
    <w:rsid w:val="001F39C9"/>
    <w:rsid w:val="001F4959"/>
    <w:rsid w:val="001F52BD"/>
    <w:rsid w:val="001F63D6"/>
    <w:rsid w:val="00200B72"/>
    <w:rsid w:val="002048A9"/>
    <w:rsid w:val="00204F32"/>
    <w:rsid w:val="0021314E"/>
    <w:rsid w:val="00214F7F"/>
    <w:rsid w:val="00217CB5"/>
    <w:rsid w:val="00220ABF"/>
    <w:rsid w:val="002232B1"/>
    <w:rsid w:val="00224286"/>
    <w:rsid w:val="002242F4"/>
    <w:rsid w:val="00224325"/>
    <w:rsid w:val="00225115"/>
    <w:rsid w:val="00225CD6"/>
    <w:rsid w:val="00225CE4"/>
    <w:rsid w:val="00234AD7"/>
    <w:rsid w:val="00234D47"/>
    <w:rsid w:val="00235ADC"/>
    <w:rsid w:val="00236BEF"/>
    <w:rsid w:val="00240A23"/>
    <w:rsid w:val="002428DE"/>
    <w:rsid w:val="00242E6F"/>
    <w:rsid w:val="00242F0A"/>
    <w:rsid w:val="00245EF1"/>
    <w:rsid w:val="00254575"/>
    <w:rsid w:val="002567B7"/>
    <w:rsid w:val="0026158C"/>
    <w:rsid w:val="0027167D"/>
    <w:rsid w:val="00274605"/>
    <w:rsid w:val="002802DD"/>
    <w:rsid w:val="002802F5"/>
    <w:rsid w:val="0028794B"/>
    <w:rsid w:val="00287ED2"/>
    <w:rsid w:val="002920BF"/>
    <w:rsid w:val="0029326D"/>
    <w:rsid w:val="0029330D"/>
    <w:rsid w:val="00293CBE"/>
    <w:rsid w:val="002952CC"/>
    <w:rsid w:val="002A0A80"/>
    <w:rsid w:val="002A1BF4"/>
    <w:rsid w:val="002B782D"/>
    <w:rsid w:val="002C011A"/>
    <w:rsid w:val="002C03F5"/>
    <w:rsid w:val="002C2F2C"/>
    <w:rsid w:val="002C7C4F"/>
    <w:rsid w:val="002D0832"/>
    <w:rsid w:val="002D0CA3"/>
    <w:rsid w:val="002D311E"/>
    <w:rsid w:val="002D34B3"/>
    <w:rsid w:val="002D34CB"/>
    <w:rsid w:val="002D5179"/>
    <w:rsid w:val="002D7662"/>
    <w:rsid w:val="002D792B"/>
    <w:rsid w:val="002E0870"/>
    <w:rsid w:val="002E2790"/>
    <w:rsid w:val="002E392F"/>
    <w:rsid w:val="002E3B7F"/>
    <w:rsid w:val="002F3241"/>
    <w:rsid w:val="002F66F4"/>
    <w:rsid w:val="002F6799"/>
    <w:rsid w:val="002F7BDA"/>
    <w:rsid w:val="0030118C"/>
    <w:rsid w:val="00303208"/>
    <w:rsid w:val="00310CB9"/>
    <w:rsid w:val="003122E0"/>
    <w:rsid w:val="00321A93"/>
    <w:rsid w:val="00323D7E"/>
    <w:rsid w:val="003246BF"/>
    <w:rsid w:val="0032502D"/>
    <w:rsid w:val="0032591C"/>
    <w:rsid w:val="00326FEE"/>
    <w:rsid w:val="003273E4"/>
    <w:rsid w:val="00331309"/>
    <w:rsid w:val="00334C17"/>
    <w:rsid w:val="0034299F"/>
    <w:rsid w:val="003477F8"/>
    <w:rsid w:val="0035131F"/>
    <w:rsid w:val="00352FAA"/>
    <w:rsid w:val="00355FE5"/>
    <w:rsid w:val="00356AAB"/>
    <w:rsid w:val="00357883"/>
    <w:rsid w:val="003607FE"/>
    <w:rsid w:val="0036175A"/>
    <w:rsid w:val="00363792"/>
    <w:rsid w:val="0036488D"/>
    <w:rsid w:val="00364FC4"/>
    <w:rsid w:val="00366654"/>
    <w:rsid w:val="003700F0"/>
    <w:rsid w:val="00370EE0"/>
    <w:rsid w:val="00371709"/>
    <w:rsid w:val="0037229F"/>
    <w:rsid w:val="00377B96"/>
    <w:rsid w:val="00377CBD"/>
    <w:rsid w:val="00377F77"/>
    <w:rsid w:val="00382B27"/>
    <w:rsid w:val="00385B61"/>
    <w:rsid w:val="00385DD3"/>
    <w:rsid w:val="00386464"/>
    <w:rsid w:val="00392320"/>
    <w:rsid w:val="00394A47"/>
    <w:rsid w:val="003A0A97"/>
    <w:rsid w:val="003A24E3"/>
    <w:rsid w:val="003A25C1"/>
    <w:rsid w:val="003A72D2"/>
    <w:rsid w:val="003B0CA0"/>
    <w:rsid w:val="003B14E9"/>
    <w:rsid w:val="003B28C4"/>
    <w:rsid w:val="003B437D"/>
    <w:rsid w:val="003C0DB4"/>
    <w:rsid w:val="003C522D"/>
    <w:rsid w:val="003C5268"/>
    <w:rsid w:val="003C6F4A"/>
    <w:rsid w:val="003C749D"/>
    <w:rsid w:val="003D161A"/>
    <w:rsid w:val="003D18FF"/>
    <w:rsid w:val="003D255A"/>
    <w:rsid w:val="003D33EA"/>
    <w:rsid w:val="003D5C8D"/>
    <w:rsid w:val="003D6A90"/>
    <w:rsid w:val="003E538F"/>
    <w:rsid w:val="003E6141"/>
    <w:rsid w:val="003F5C1B"/>
    <w:rsid w:val="00400090"/>
    <w:rsid w:val="00400A21"/>
    <w:rsid w:val="0040266F"/>
    <w:rsid w:val="004031BA"/>
    <w:rsid w:val="004106CF"/>
    <w:rsid w:val="00412929"/>
    <w:rsid w:val="00414205"/>
    <w:rsid w:val="0041546F"/>
    <w:rsid w:val="00416620"/>
    <w:rsid w:val="004212E5"/>
    <w:rsid w:val="004228AD"/>
    <w:rsid w:val="00423A27"/>
    <w:rsid w:val="00425590"/>
    <w:rsid w:val="004255AC"/>
    <w:rsid w:val="004272C3"/>
    <w:rsid w:val="00427307"/>
    <w:rsid w:val="00432439"/>
    <w:rsid w:val="0043248E"/>
    <w:rsid w:val="00434F19"/>
    <w:rsid w:val="004367C6"/>
    <w:rsid w:val="00441F44"/>
    <w:rsid w:val="00445E0F"/>
    <w:rsid w:val="0045149D"/>
    <w:rsid w:val="0045221E"/>
    <w:rsid w:val="00454914"/>
    <w:rsid w:val="00455EB4"/>
    <w:rsid w:val="004628EA"/>
    <w:rsid w:val="004635E7"/>
    <w:rsid w:val="00470C5A"/>
    <w:rsid w:val="0047226A"/>
    <w:rsid w:val="00472908"/>
    <w:rsid w:val="004736C1"/>
    <w:rsid w:val="004812C3"/>
    <w:rsid w:val="004834DC"/>
    <w:rsid w:val="004855FD"/>
    <w:rsid w:val="00486D39"/>
    <w:rsid w:val="0049184D"/>
    <w:rsid w:val="00494395"/>
    <w:rsid w:val="004950FB"/>
    <w:rsid w:val="004979B2"/>
    <w:rsid w:val="004A1047"/>
    <w:rsid w:val="004A1E4D"/>
    <w:rsid w:val="004B1778"/>
    <w:rsid w:val="004B4154"/>
    <w:rsid w:val="004B6FC4"/>
    <w:rsid w:val="004B7587"/>
    <w:rsid w:val="004B76E0"/>
    <w:rsid w:val="004C3EA4"/>
    <w:rsid w:val="004D15CB"/>
    <w:rsid w:val="004D36C5"/>
    <w:rsid w:val="004D5043"/>
    <w:rsid w:val="004D5DA4"/>
    <w:rsid w:val="004E0B8A"/>
    <w:rsid w:val="004E1181"/>
    <w:rsid w:val="004E268D"/>
    <w:rsid w:val="004E31D3"/>
    <w:rsid w:val="004E3B02"/>
    <w:rsid w:val="004F1096"/>
    <w:rsid w:val="004F2555"/>
    <w:rsid w:val="004F305F"/>
    <w:rsid w:val="004F4AFA"/>
    <w:rsid w:val="004F6DBF"/>
    <w:rsid w:val="004F7688"/>
    <w:rsid w:val="00503B8C"/>
    <w:rsid w:val="00510733"/>
    <w:rsid w:val="00511B03"/>
    <w:rsid w:val="005128A7"/>
    <w:rsid w:val="00514A0D"/>
    <w:rsid w:val="0051699F"/>
    <w:rsid w:val="00516DD9"/>
    <w:rsid w:val="00521B3D"/>
    <w:rsid w:val="00530DB2"/>
    <w:rsid w:val="0053357C"/>
    <w:rsid w:val="00534D33"/>
    <w:rsid w:val="00537DB7"/>
    <w:rsid w:val="00543C05"/>
    <w:rsid w:val="0054428F"/>
    <w:rsid w:val="00545008"/>
    <w:rsid w:val="0054698B"/>
    <w:rsid w:val="005531EA"/>
    <w:rsid w:val="00555F14"/>
    <w:rsid w:val="005633C1"/>
    <w:rsid w:val="00563DBF"/>
    <w:rsid w:val="00564214"/>
    <w:rsid w:val="00565CF6"/>
    <w:rsid w:val="00567D90"/>
    <w:rsid w:val="00567ED6"/>
    <w:rsid w:val="00572A40"/>
    <w:rsid w:val="00575518"/>
    <w:rsid w:val="00576547"/>
    <w:rsid w:val="00580DD0"/>
    <w:rsid w:val="00582F51"/>
    <w:rsid w:val="00585A3E"/>
    <w:rsid w:val="0059048D"/>
    <w:rsid w:val="00595351"/>
    <w:rsid w:val="00596FA7"/>
    <w:rsid w:val="005A1DE4"/>
    <w:rsid w:val="005A4C50"/>
    <w:rsid w:val="005A5A35"/>
    <w:rsid w:val="005B10E7"/>
    <w:rsid w:val="005B277E"/>
    <w:rsid w:val="005B28A0"/>
    <w:rsid w:val="005B2D29"/>
    <w:rsid w:val="005B6C87"/>
    <w:rsid w:val="005C1F31"/>
    <w:rsid w:val="005C5598"/>
    <w:rsid w:val="005D0A91"/>
    <w:rsid w:val="005D423A"/>
    <w:rsid w:val="005D4BBD"/>
    <w:rsid w:val="005E074F"/>
    <w:rsid w:val="005E1777"/>
    <w:rsid w:val="005E180E"/>
    <w:rsid w:val="005E18A6"/>
    <w:rsid w:val="005E2D96"/>
    <w:rsid w:val="005F04D2"/>
    <w:rsid w:val="005F2B58"/>
    <w:rsid w:val="005F2DD4"/>
    <w:rsid w:val="005F59AF"/>
    <w:rsid w:val="00601654"/>
    <w:rsid w:val="00601FB1"/>
    <w:rsid w:val="006022B8"/>
    <w:rsid w:val="00602BC7"/>
    <w:rsid w:val="00604C86"/>
    <w:rsid w:val="0061223E"/>
    <w:rsid w:val="0061288E"/>
    <w:rsid w:val="006129B1"/>
    <w:rsid w:val="006148E7"/>
    <w:rsid w:val="00614957"/>
    <w:rsid w:val="006153FE"/>
    <w:rsid w:val="00617DF6"/>
    <w:rsid w:val="006210E7"/>
    <w:rsid w:val="00623420"/>
    <w:rsid w:val="00625A14"/>
    <w:rsid w:val="00631FC0"/>
    <w:rsid w:val="006340EC"/>
    <w:rsid w:val="00637330"/>
    <w:rsid w:val="006402C6"/>
    <w:rsid w:val="00640911"/>
    <w:rsid w:val="006427C0"/>
    <w:rsid w:val="0064789A"/>
    <w:rsid w:val="00652246"/>
    <w:rsid w:val="00652F49"/>
    <w:rsid w:val="00655FE6"/>
    <w:rsid w:val="00662FC1"/>
    <w:rsid w:val="00663B8F"/>
    <w:rsid w:val="006659B8"/>
    <w:rsid w:val="006717CF"/>
    <w:rsid w:val="0067223B"/>
    <w:rsid w:val="006751E8"/>
    <w:rsid w:val="00676EAC"/>
    <w:rsid w:val="00680815"/>
    <w:rsid w:val="00681908"/>
    <w:rsid w:val="00683CEB"/>
    <w:rsid w:val="0068449E"/>
    <w:rsid w:val="0068715B"/>
    <w:rsid w:val="00690182"/>
    <w:rsid w:val="0069443F"/>
    <w:rsid w:val="00694D4E"/>
    <w:rsid w:val="0069529D"/>
    <w:rsid w:val="006A11EE"/>
    <w:rsid w:val="006A2C50"/>
    <w:rsid w:val="006A4D30"/>
    <w:rsid w:val="006A4F95"/>
    <w:rsid w:val="006A546F"/>
    <w:rsid w:val="006B0565"/>
    <w:rsid w:val="006B16F0"/>
    <w:rsid w:val="006B1EA8"/>
    <w:rsid w:val="006B2091"/>
    <w:rsid w:val="006B337B"/>
    <w:rsid w:val="006C13F3"/>
    <w:rsid w:val="006C170A"/>
    <w:rsid w:val="006C224B"/>
    <w:rsid w:val="006D01F9"/>
    <w:rsid w:val="006D05B1"/>
    <w:rsid w:val="006D0F75"/>
    <w:rsid w:val="006D3B5C"/>
    <w:rsid w:val="006D5639"/>
    <w:rsid w:val="006D6030"/>
    <w:rsid w:val="006E0D67"/>
    <w:rsid w:val="006E18EA"/>
    <w:rsid w:val="006E2A62"/>
    <w:rsid w:val="006E357C"/>
    <w:rsid w:val="006F4772"/>
    <w:rsid w:val="006F640B"/>
    <w:rsid w:val="006F7475"/>
    <w:rsid w:val="007106E4"/>
    <w:rsid w:val="007145E5"/>
    <w:rsid w:val="00717CC5"/>
    <w:rsid w:val="0072026D"/>
    <w:rsid w:val="00720E1F"/>
    <w:rsid w:val="0072335D"/>
    <w:rsid w:val="00725180"/>
    <w:rsid w:val="007273C2"/>
    <w:rsid w:val="00727A98"/>
    <w:rsid w:val="00727B4B"/>
    <w:rsid w:val="00730FB8"/>
    <w:rsid w:val="00731DE8"/>
    <w:rsid w:val="00734873"/>
    <w:rsid w:val="00735ADA"/>
    <w:rsid w:val="00736108"/>
    <w:rsid w:val="0074155F"/>
    <w:rsid w:val="00741ACC"/>
    <w:rsid w:val="00741BA0"/>
    <w:rsid w:val="00741CB4"/>
    <w:rsid w:val="00742036"/>
    <w:rsid w:val="00742055"/>
    <w:rsid w:val="007436D7"/>
    <w:rsid w:val="00743BFF"/>
    <w:rsid w:val="00753267"/>
    <w:rsid w:val="007533C6"/>
    <w:rsid w:val="0075607B"/>
    <w:rsid w:val="007614F8"/>
    <w:rsid w:val="00761D23"/>
    <w:rsid w:val="00762B55"/>
    <w:rsid w:val="007641B6"/>
    <w:rsid w:val="00764B2F"/>
    <w:rsid w:val="0076611B"/>
    <w:rsid w:val="00767447"/>
    <w:rsid w:val="007711DE"/>
    <w:rsid w:val="00771671"/>
    <w:rsid w:val="00774566"/>
    <w:rsid w:val="00774AAF"/>
    <w:rsid w:val="00775329"/>
    <w:rsid w:val="00775C7F"/>
    <w:rsid w:val="00780EB1"/>
    <w:rsid w:val="0078133D"/>
    <w:rsid w:val="007830F0"/>
    <w:rsid w:val="00783D7A"/>
    <w:rsid w:val="00784D61"/>
    <w:rsid w:val="00784EEC"/>
    <w:rsid w:val="00790B54"/>
    <w:rsid w:val="007929C4"/>
    <w:rsid w:val="007A1D1D"/>
    <w:rsid w:val="007A293F"/>
    <w:rsid w:val="007A33C1"/>
    <w:rsid w:val="007A3642"/>
    <w:rsid w:val="007A590D"/>
    <w:rsid w:val="007A65FC"/>
    <w:rsid w:val="007A67B2"/>
    <w:rsid w:val="007A79B8"/>
    <w:rsid w:val="007B0187"/>
    <w:rsid w:val="007B0AA1"/>
    <w:rsid w:val="007B0CE6"/>
    <w:rsid w:val="007B32E7"/>
    <w:rsid w:val="007B4755"/>
    <w:rsid w:val="007B5260"/>
    <w:rsid w:val="007C3B7D"/>
    <w:rsid w:val="007C435F"/>
    <w:rsid w:val="007C47F3"/>
    <w:rsid w:val="007C5750"/>
    <w:rsid w:val="007C6646"/>
    <w:rsid w:val="007C69E7"/>
    <w:rsid w:val="007C7B3A"/>
    <w:rsid w:val="007C7EE3"/>
    <w:rsid w:val="007D0BBD"/>
    <w:rsid w:val="007D13F3"/>
    <w:rsid w:val="007D65E3"/>
    <w:rsid w:val="007E0966"/>
    <w:rsid w:val="007E57CA"/>
    <w:rsid w:val="007E5CCE"/>
    <w:rsid w:val="007F04EA"/>
    <w:rsid w:val="007F493E"/>
    <w:rsid w:val="007F4C0A"/>
    <w:rsid w:val="007F56F7"/>
    <w:rsid w:val="007F5E23"/>
    <w:rsid w:val="00806C65"/>
    <w:rsid w:val="008071DA"/>
    <w:rsid w:val="0080747F"/>
    <w:rsid w:val="00807A38"/>
    <w:rsid w:val="00811BBF"/>
    <w:rsid w:val="00812CBA"/>
    <w:rsid w:val="0081736B"/>
    <w:rsid w:val="00820606"/>
    <w:rsid w:val="00824544"/>
    <w:rsid w:val="008252D8"/>
    <w:rsid w:val="00832112"/>
    <w:rsid w:val="00832472"/>
    <w:rsid w:val="00832C3E"/>
    <w:rsid w:val="00835636"/>
    <w:rsid w:val="0084428E"/>
    <w:rsid w:val="00846C7B"/>
    <w:rsid w:val="00846C97"/>
    <w:rsid w:val="00850F99"/>
    <w:rsid w:val="008526A3"/>
    <w:rsid w:val="00853B99"/>
    <w:rsid w:val="00853C1D"/>
    <w:rsid w:val="00854DD7"/>
    <w:rsid w:val="00854FCB"/>
    <w:rsid w:val="008567CC"/>
    <w:rsid w:val="00860C8B"/>
    <w:rsid w:val="00860CA7"/>
    <w:rsid w:val="00867D4D"/>
    <w:rsid w:val="00870B10"/>
    <w:rsid w:val="00872263"/>
    <w:rsid w:val="0088359E"/>
    <w:rsid w:val="00884367"/>
    <w:rsid w:val="00887E27"/>
    <w:rsid w:val="008904E6"/>
    <w:rsid w:val="00893F55"/>
    <w:rsid w:val="008968C5"/>
    <w:rsid w:val="00897381"/>
    <w:rsid w:val="008A2074"/>
    <w:rsid w:val="008A3990"/>
    <w:rsid w:val="008A4333"/>
    <w:rsid w:val="008A528B"/>
    <w:rsid w:val="008A66D8"/>
    <w:rsid w:val="008A6B6E"/>
    <w:rsid w:val="008A742C"/>
    <w:rsid w:val="008A7792"/>
    <w:rsid w:val="008B170A"/>
    <w:rsid w:val="008B2450"/>
    <w:rsid w:val="008B69D0"/>
    <w:rsid w:val="008C1E7A"/>
    <w:rsid w:val="008C256E"/>
    <w:rsid w:val="008D3212"/>
    <w:rsid w:val="008D7256"/>
    <w:rsid w:val="008E08B8"/>
    <w:rsid w:val="008E0D02"/>
    <w:rsid w:val="008F582E"/>
    <w:rsid w:val="008F5C40"/>
    <w:rsid w:val="009022BF"/>
    <w:rsid w:val="00903920"/>
    <w:rsid w:val="0090420A"/>
    <w:rsid w:val="00904DD5"/>
    <w:rsid w:val="00913E6E"/>
    <w:rsid w:val="00924266"/>
    <w:rsid w:val="0092507B"/>
    <w:rsid w:val="00925799"/>
    <w:rsid w:val="009308D2"/>
    <w:rsid w:val="00935524"/>
    <w:rsid w:val="009431F5"/>
    <w:rsid w:val="00943383"/>
    <w:rsid w:val="0094425D"/>
    <w:rsid w:val="00945519"/>
    <w:rsid w:val="00945BEA"/>
    <w:rsid w:val="009461F6"/>
    <w:rsid w:val="00947534"/>
    <w:rsid w:val="009477A5"/>
    <w:rsid w:val="00952441"/>
    <w:rsid w:val="0095602F"/>
    <w:rsid w:val="00956F20"/>
    <w:rsid w:val="00960D6D"/>
    <w:rsid w:val="009616D8"/>
    <w:rsid w:val="00970864"/>
    <w:rsid w:val="00970A9D"/>
    <w:rsid w:val="0097140D"/>
    <w:rsid w:val="00972238"/>
    <w:rsid w:val="00975C9D"/>
    <w:rsid w:val="00976ACF"/>
    <w:rsid w:val="0097772A"/>
    <w:rsid w:val="00977BFB"/>
    <w:rsid w:val="009805DC"/>
    <w:rsid w:val="00981160"/>
    <w:rsid w:val="00981568"/>
    <w:rsid w:val="0098418B"/>
    <w:rsid w:val="00985F15"/>
    <w:rsid w:val="00990BF3"/>
    <w:rsid w:val="00990E03"/>
    <w:rsid w:val="00993B69"/>
    <w:rsid w:val="009947F8"/>
    <w:rsid w:val="00995A84"/>
    <w:rsid w:val="009966D7"/>
    <w:rsid w:val="009976CB"/>
    <w:rsid w:val="00997C30"/>
    <w:rsid w:val="009A13AB"/>
    <w:rsid w:val="009A1604"/>
    <w:rsid w:val="009A4A36"/>
    <w:rsid w:val="009A50C2"/>
    <w:rsid w:val="009A5975"/>
    <w:rsid w:val="009A6EAA"/>
    <w:rsid w:val="009A73AD"/>
    <w:rsid w:val="009B32C2"/>
    <w:rsid w:val="009B6416"/>
    <w:rsid w:val="009B65A1"/>
    <w:rsid w:val="009B734F"/>
    <w:rsid w:val="009B7709"/>
    <w:rsid w:val="009C0133"/>
    <w:rsid w:val="009C2FB2"/>
    <w:rsid w:val="009C624A"/>
    <w:rsid w:val="009D03B9"/>
    <w:rsid w:val="009D11E8"/>
    <w:rsid w:val="009D25CC"/>
    <w:rsid w:val="009D2EE4"/>
    <w:rsid w:val="009D4FCE"/>
    <w:rsid w:val="009E147C"/>
    <w:rsid w:val="009E20A5"/>
    <w:rsid w:val="009E3084"/>
    <w:rsid w:val="009E36CF"/>
    <w:rsid w:val="009E4358"/>
    <w:rsid w:val="009E513E"/>
    <w:rsid w:val="009F039A"/>
    <w:rsid w:val="009F0C6B"/>
    <w:rsid w:val="009F5F24"/>
    <w:rsid w:val="00A02C05"/>
    <w:rsid w:val="00A05395"/>
    <w:rsid w:val="00A06BED"/>
    <w:rsid w:val="00A07136"/>
    <w:rsid w:val="00A11282"/>
    <w:rsid w:val="00A14E86"/>
    <w:rsid w:val="00A15D1C"/>
    <w:rsid w:val="00A21269"/>
    <w:rsid w:val="00A2291B"/>
    <w:rsid w:val="00A23014"/>
    <w:rsid w:val="00A2335D"/>
    <w:rsid w:val="00A24853"/>
    <w:rsid w:val="00A24ACA"/>
    <w:rsid w:val="00A24C15"/>
    <w:rsid w:val="00A26414"/>
    <w:rsid w:val="00A2679E"/>
    <w:rsid w:val="00A2759D"/>
    <w:rsid w:val="00A277FC"/>
    <w:rsid w:val="00A27A1B"/>
    <w:rsid w:val="00A30C5F"/>
    <w:rsid w:val="00A31CE1"/>
    <w:rsid w:val="00A333B1"/>
    <w:rsid w:val="00A341A6"/>
    <w:rsid w:val="00A35854"/>
    <w:rsid w:val="00A37A36"/>
    <w:rsid w:val="00A37E34"/>
    <w:rsid w:val="00A4301A"/>
    <w:rsid w:val="00A432FC"/>
    <w:rsid w:val="00A437A2"/>
    <w:rsid w:val="00A45964"/>
    <w:rsid w:val="00A5247D"/>
    <w:rsid w:val="00A52561"/>
    <w:rsid w:val="00A55E77"/>
    <w:rsid w:val="00A56C73"/>
    <w:rsid w:val="00A65960"/>
    <w:rsid w:val="00A70B0F"/>
    <w:rsid w:val="00A74CEF"/>
    <w:rsid w:val="00A75857"/>
    <w:rsid w:val="00A75CC6"/>
    <w:rsid w:val="00A80215"/>
    <w:rsid w:val="00A81521"/>
    <w:rsid w:val="00A82BC4"/>
    <w:rsid w:val="00A85DB4"/>
    <w:rsid w:val="00A85E44"/>
    <w:rsid w:val="00A86AD4"/>
    <w:rsid w:val="00A90B13"/>
    <w:rsid w:val="00A918E4"/>
    <w:rsid w:val="00A96FC5"/>
    <w:rsid w:val="00A97FD5"/>
    <w:rsid w:val="00AA2D02"/>
    <w:rsid w:val="00AA4AB9"/>
    <w:rsid w:val="00AA648F"/>
    <w:rsid w:val="00AB11F3"/>
    <w:rsid w:val="00AB197F"/>
    <w:rsid w:val="00AB25F7"/>
    <w:rsid w:val="00AB4EB3"/>
    <w:rsid w:val="00AB5427"/>
    <w:rsid w:val="00AB6F59"/>
    <w:rsid w:val="00AC2043"/>
    <w:rsid w:val="00AC6D09"/>
    <w:rsid w:val="00AC6DC8"/>
    <w:rsid w:val="00AD1B79"/>
    <w:rsid w:val="00AD4395"/>
    <w:rsid w:val="00AD44CD"/>
    <w:rsid w:val="00AD72B6"/>
    <w:rsid w:val="00AD73FE"/>
    <w:rsid w:val="00AE1C33"/>
    <w:rsid w:val="00AE4814"/>
    <w:rsid w:val="00AE624F"/>
    <w:rsid w:val="00AE7304"/>
    <w:rsid w:val="00AF1958"/>
    <w:rsid w:val="00AF6EE6"/>
    <w:rsid w:val="00B00F3B"/>
    <w:rsid w:val="00B024E9"/>
    <w:rsid w:val="00B02E29"/>
    <w:rsid w:val="00B04954"/>
    <w:rsid w:val="00B0539E"/>
    <w:rsid w:val="00B05450"/>
    <w:rsid w:val="00B1449C"/>
    <w:rsid w:val="00B14A32"/>
    <w:rsid w:val="00B15EE6"/>
    <w:rsid w:val="00B2110C"/>
    <w:rsid w:val="00B24229"/>
    <w:rsid w:val="00B24FAB"/>
    <w:rsid w:val="00B2620A"/>
    <w:rsid w:val="00B26D42"/>
    <w:rsid w:val="00B277FC"/>
    <w:rsid w:val="00B3029B"/>
    <w:rsid w:val="00B344A4"/>
    <w:rsid w:val="00B34CBF"/>
    <w:rsid w:val="00B37296"/>
    <w:rsid w:val="00B410E3"/>
    <w:rsid w:val="00B433EC"/>
    <w:rsid w:val="00B43DD2"/>
    <w:rsid w:val="00B44499"/>
    <w:rsid w:val="00B4525C"/>
    <w:rsid w:val="00B4687C"/>
    <w:rsid w:val="00B50B41"/>
    <w:rsid w:val="00B54457"/>
    <w:rsid w:val="00B56480"/>
    <w:rsid w:val="00B56EF4"/>
    <w:rsid w:val="00B57C3B"/>
    <w:rsid w:val="00B57D7D"/>
    <w:rsid w:val="00B63579"/>
    <w:rsid w:val="00B66BC3"/>
    <w:rsid w:val="00B66FAA"/>
    <w:rsid w:val="00B67D3A"/>
    <w:rsid w:val="00B72C3F"/>
    <w:rsid w:val="00B72D16"/>
    <w:rsid w:val="00B770B4"/>
    <w:rsid w:val="00B80EF8"/>
    <w:rsid w:val="00B8720F"/>
    <w:rsid w:val="00B90F8C"/>
    <w:rsid w:val="00B91E61"/>
    <w:rsid w:val="00B94C1C"/>
    <w:rsid w:val="00B95C42"/>
    <w:rsid w:val="00B96E2C"/>
    <w:rsid w:val="00B97332"/>
    <w:rsid w:val="00B97F03"/>
    <w:rsid w:val="00BA3623"/>
    <w:rsid w:val="00BB1804"/>
    <w:rsid w:val="00BB1C5E"/>
    <w:rsid w:val="00BB2580"/>
    <w:rsid w:val="00BB25EF"/>
    <w:rsid w:val="00BB37D7"/>
    <w:rsid w:val="00BB40E2"/>
    <w:rsid w:val="00BB4D24"/>
    <w:rsid w:val="00BB7437"/>
    <w:rsid w:val="00BC55CB"/>
    <w:rsid w:val="00BC5ED4"/>
    <w:rsid w:val="00BC6127"/>
    <w:rsid w:val="00BD1009"/>
    <w:rsid w:val="00BD294D"/>
    <w:rsid w:val="00BD2DDF"/>
    <w:rsid w:val="00BD48C9"/>
    <w:rsid w:val="00BD66E4"/>
    <w:rsid w:val="00BE2192"/>
    <w:rsid w:val="00BE2BE8"/>
    <w:rsid w:val="00BE364C"/>
    <w:rsid w:val="00BE39E5"/>
    <w:rsid w:val="00BE5049"/>
    <w:rsid w:val="00BE6A4D"/>
    <w:rsid w:val="00BF0BE3"/>
    <w:rsid w:val="00BF0E97"/>
    <w:rsid w:val="00BF3E15"/>
    <w:rsid w:val="00BF4B4F"/>
    <w:rsid w:val="00C037A8"/>
    <w:rsid w:val="00C04BA7"/>
    <w:rsid w:val="00C054D8"/>
    <w:rsid w:val="00C07690"/>
    <w:rsid w:val="00C118FF"/>
    <w:rsid w:val="00C12762"/>
    <w:rsid w:val="00C139C0"/>
    <w:rsid w:val="00C20D1C"/>
    <w:rsid w:val="00C21409"/>
    <w:rsid w:val="00C230F6"/>
    <w:rsid w:val="00C273DF"/>
    <w:rsid w:val="00C27B6A"/>
    <w:rsid w:val="00C36310"/>
    <w:rsid w:val="00C36C5E"/>
    <w:rsid w:val="00C36F46"/>
    <w:rsid w:val="00C41E47"/>
    <w:rsid w:val="00C4395B"/>
    <w:rsid w:val="00C45D6A"/>
    <w:rsid w:val="00C46E34"/>
    <w:rsid w:val="00C47205"/>
    <w:rsid w:val="00C503E4"/>
    <w:rsid w:val="00C531B5"/>
    <w:rsid w:val="00C57BC8"/>
    <w:rsid w:val="00C707EB"/>
    <w:rsid w:val="00C76B4C"/>
    <w:rsid w:val="00C8237E"/>
    <w:rsid w:val="00C8348B"/>
    <w:rsid w:val="00C84291"/>
    <w:rsid w:val="00C86A3A"/>
    <w:rsid w:val="00C875E3"/>
    <w:rsid w:val="00C92DB3"/>
    <w:rsid w:val="00C979F7"/>
    <w:rsid w:val="00C97B30"/>
    <w:rsid w:val="00CA0CF8"/>
    <w:rsid w:val="00CA67F2"/>
    <w:rsid w:val="00CB284C"/>
    <w:rsid w:val="00CB28C1"/>
    <w:rsid w:val="00CB5362"/>
    <w:rsid w:val="00CB7AE0"/>
    <w:rsid w:val="00CC0316"/>
    <w:rsid w:val="00CC34D9"/>
    <w:rsid w:val="00CC434C"/>
    <w:rsid w:val="00CC4D8C"/>
    <w:rsid w:val="00CD48C7"/>
    <w:rsid w:val="00CD6C16"/>
    <w:rsid w:val="00CD7884"/>
    <w:rsid w:val="00CD7A25"/>
    <w:rsid w:val="00CE7246"/>
    <w:rsid w:val="00CF1356"/>
    <w:rsid w:val="00CF247F"/>
    <w:rsid w:val="00CF5B31"/>
    <w:rsid w:val="00CF7D17"/>
    <w:rsid w:val="00CF7F7F"/>
    <w:rsid w:val="00D019B0"/>
    <w:rsid w:val="00D01FBD"/>
    <w:rsid w:val="00D029BC"/>
    <w:rsid w:val="00D030FE"/>
    <w:rsid w:val="00D04631"/>
    <w:rsid w:val="00D1020C"/>
    <w:rsid w:val="00D1060A"/>
    <w:rsid w:val="00D106CF"/>
    <w:rsid w:val="00D10FE8"/>
    <w:rsid w:val="00D143A0"/>
    <w:rsid w:val="00D1799A"/>
    <w:rsid w:val="00D203B5"/>
    <w:rsid w:val="00D2062B"/>
    <w:rsid w:val="00D24229"/>
    <w:rsid w:val="00D26C3D"/>
    <w:rsid w:val="00D3383E"/>
    <w:rsid w:val="00D35DAC"/>
    <w:rsid w:val="00D37CBC"/>
    <w:rsid w:val="00D41894"/>
    <w:rsid w:val="00D44870"/>
    <w:rsid w:val="00D527E0"/>
    <w:rsid w:val="00D52CD7"/>
    <w:rsid w:val="00D54CD2"/>
    <w:rsid w:val="00D5648C"/>
    <w:rsid w:val="00D614D5"/>
    <w:rsid w:val="00D61DAE"/>
    <w:rsid w:val="00D65429"/>
    <w:rsid w:val="00D70ED2"/>
    <w:rsid w:val="00D7111C"/>
    <w:rsid w:val="00D735DC"/>
    <w:rsid w:val="00D76CD5"/>
    <w:rsid w:val="00D817A9"/>
    <w:rsid w:val="00D817E2"/>
    <w:rsid w:val="00D8546C"/>
    <w:rsid w:val="00D86000"/>
    <w:rsid w:val="00D8669A"/>
    <w:rsid w:val="00D86FBD"/>
    <w:rsid w:val="00D90197"/>
    <w:rsid w:val="00D94B5D"/>
    <w:rsid w:val="00D95116"/>
    <w:rsid w:val="00D95D7A"/>
    <w:rsid w:val="00DA0E5F"/>
    <w:rsid w:val="00DA2789"/>
    <w:rsid w:val="00DA6240"/>
    <w:rsid w:val="00DA68A2"/>
    <w:rsid w:val="00DB1AF5"/>
    <w:rsid w:val="00DB39C1"/>
    <w:rsid w:val="00DB60F2"/>
    <w:rsid w:val="00DB68DE"/>
    <w:rsid w:val="00DB7AF8"/>
    <w:rsid w:val="00DC0681"/>
    <w:rsid w:val="00DC2E6B"/>
    <w:rsid w:val="00DC612E"/>
    <w:rsid w:val="00DC76C6"/>
    <w:rsid w:val="00DD1D80"/>
    <w:rsid w:val="00DD2647"/>
    <w:rsid w:val="00DE06AA"/>
    <w:rsid w:val="00DE1CE3"/>
    <w:rsid w:val="00DE55A7"/>
    <w:rsid w:val="00DF07BD"/>
    <w:rsid w:val="00DF2ACF"/>
    <w:rsid w:val="00DF3275"/>
    <w:rsid w:val="00DF71D2"/>
    <w:rsid w:val="00E0197F"/>
    <w:rsid w:val="00E01D45"/>
    <w:rsid w:val="00E02F95"/>
    <w:rsid w:val="00E034ED"/>
    <w:rsid w:val="00E06398"/>
    <w:rsid w:val="00E1183E"/>
    <w:rsid w:val="00E13022"/>
    <w:rsid w:val="00E15319"/>
    <w:rsid w:val="00E163AF"/>
    <w:rsid w:val="00E22EB3"/>
    <w:rsid w:val="00E23852"/>
    <w:rsid w:val="00E249AF"/>
    <w:rsid w:val="00E25E9E"/>
    <w:rsid w:val="00E26198"/>
    <w:rsid w:val="00E305C8"/>
    <w:rsid w:val="00E32BA2"/>
    <w:rsid w:val="00E35FB8"/>
    <w:rsid w:val="00E36E93"/>
    <w:rsid w:val="00E400BC"/>
    <w:rsid w:val="00E42B07"/>
    <w:rsid w:val="00E445E3"/>
    <w:rsid w:val="00E4493C"/>
    <w:rsid w:val="00E52265"/>
    <w:rsid w:val="00E555D2"/>
    <w:rsid w:val="00E5719D"/>
    <w:rsid w:val="00E628A5"/>
    <w:rsid w:val="00E66747"/>
    <w:rsid w:val="00E67058"/>
    <w:rsid w:val="00E704DC"/>
    <w:rsid w:val="00E708D4"/>
    <w:rsid w:val="00E71516"/>
    <w:rsid w:val="00E740DF"/>
    <w:rsid w:val="00E74527"/>
    <w:rsid w:val="00E75251"/>
    <w:rsid w:val="00E7691A"/>
    <w:rsid w:val="00E85C0A"/>
    <w:rsid w:val="00E87336"/>
    <w:rsid w:val="00E91059"/>
    <w:rsid w:val="00E91661"/>
    <w:rsid w:val="00E93EF5"/>
    <w:rsid w:val="00E9483B"/>
    <w:rsid w:val="00EA0459"/>
    <w:rsid w:val="00EA17E0"/>
    <w:rsid w:val="00EA2607"/>
    <w:rsid w:val="00EA2C71"/>
    <w:rsid w:val="00EA395F"/>
    <w:rsid w:val="00EA62E8"/>
    <w:rsid w:val="00EA63E3"/>
    <w:rsid w:val="00EB10FC"/>
    <w:rsid w:val="00EB1853"/>
    <w:rsid w:val="00EB24D7"/>
    <w:rsid w:val="00EB31F8"/>
    <w:rsid w:val="00EB5DC9"/>
    <w:rsid w:val="00EB62E3"/>
    <w:rsid w:val="00EB6A65"/>
    <w:rsid w:val="00EC27D5"/>
    <w:rsid w:val="00EC6C2C"/>
    <w:rsid w:val="00ED169D"/>
    <w:rsid w:val="00ED1F25"/>
    <w:rsid w:val="00ED3B84"/>
    <w:rsid w:val="00ED499B"/>
    <w:rsid w:val="00ED525A"/>
    <w:rsid w:val="00ED5E01"/>
    <w:rsid w:val="00EE2406"/>
    <w:rsid w:val="00EE2579"/>
    <w:rsid w:val="00EE2825"/>
    <w:rsid w:val="00EE3459"/>
    <w:rsid w:val="00EE3C96"/>
    <w:rsid w:val="00EF1F22"/>
    <w:rsid w:val="00EF21B3"/>
    <w:rsid w:val="00EF291E"/>
    <w:rsid w:val="00EF428C"/>
    <w:rsid w:val="00EF4ECD"/>
    <w:rsid w:val="00EF5F8E"/>
    <w:rsid w:val="00EF66E0"/>
    <w:rsid w:val="00EF70E2"/>
    <w:rsid w:val="00EF7DFA"/>
    <w:rsid w:val="00F006A8"/>
    <w:rsid w:val="00F00BAF"/>
    <w:rsid w:val="00F01F82"/>
    <w:rsid w:val="00F024BB"/>
    <w:rsid w:val="00F03116"/>
    <w:rsid w:val="00F03986"/>
    <w:rsid w:val="00F044A2"/>
    <w:rsid w:val="00F06018"/>
    <w:rsid w:val="00F105DE"/>
    <w:rsid w:val="00F11C8F"/>
    <w:rsid w:val="00F12BD5"/>
    <w:rsid w:val="00F145DE"/>
    <w:rsid w:val="00F15652"/>
    <w:rsid w:val="00F201D8"/>
    <w:rsid w:val="00F22942"/>
    <w:rsid w:val="00F22BAD"/>
    <w:rsid w:val="00F24F6D"/>
    <w:rsid w:val="00F30BA4"/>
    <w:rsid w:val="00F31718"/>
    <w:rsid w:val="00F33DE4"/>
    <w:rsid w:val="00F35384"/>
    <w:rsid w:val="00F36AA0"/>
    <w:rsid w:val="00F36B95"/>
    <w:rsid w:val="00F4012D"/>
    <w:rsid w:val="00F449EB"/>
    <w:rsid w:val="00F455D7"/>
    <w:rsid w:val="00F50A53"/>
    <w:rsid w:val="00F51A17"/>
    <w:rsid w:val="00F51E06"/>
    <w:rsid w:val="00F53083"/>
    <w:rsid w:val="00F546AD"/>
    <w:rsid w:val="00F564E8"/>
    <w:rsid w:val="00F572E6"/>
    <w:rsid w:val="00F61742"/>
    <w:rsid w:val="00F640E5"/>
    <w:rsid w:val="00F65CC8"/>
    <w:rsid w:val="00F66B8F"/>
    <w:rsid w:val="00F716BB"/>
    <w:rsid w:val="00F73DE7"/>
    <w:rsid w:val="00F73F6D"/>
    <w:rsid w:val="00F74719"/>
    <w:rsid w:val="00F76C96"/>
    <w:rsid w:val="00F7783B"/>
    <w:rsid w:val="00F8163F"/>
    <w:rsid w:val="00F82566"/>
    <w:rsid w:val="00F825DE"/>
    <w:rsid w:val="00F844B0"/>
    <w:rsid w:val="00F84C59"/>
    <w:rsid w:val="00F85C38"/>
    <w:rsid w:val="00F93BFF"/>
    <w:rsid w:val="00F93E52"/>
    <w:rsid w:val="00F95758"/>
    <w:rsid w:val="00F95F77"/>
    <w:rsid w:val="00F96078"/>
    <w:rsid w:val="00F97699"/>
    <w:rsid w:val="00FA426E"/>
    <w:rsid w:val="00FA518D"/>
    <w:rsid w:val="00FA7518"/>
    <w:rsid w:val="00FB064D"/>
    <w:rsid w:val="00FB6A24"/>
    <w:rsid w:val="00FC0DE5"/>
    <w:rsid w:val="00FC12FF"/>
    <w:rsid w:val="00FC3739"/>
    <w:rsid w:val="00FC3B6C"/>
    <w:rsid w:val="00FC47FC"/>
    <w:rsid w:val="00FC6174"/>
    <w:rsid w:val="00FC7CC5"/>
    <w:rsid w:val="00FD15F3"/>
    <w:rsid w:val="00FD1785"/>
    <w:rsid w:val="00FD3CC3"/>
    <w:rsid w:val="00FD4B1F"/>
    <w:rsid w:val="00FD5D2F"/>
    <w:rsid w:val="00FE2186"/>
    <w:rsid w:val="00FF5208"/>
    <w:rsid w:val="00FF5E1F"/>
    <w:rsid w:val="00FF799F"/>
    <w:rsid w:val="65397F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uiPriority="39" w:semiHidden="0" w:name="toc 7"/>
    <w:lsdException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iPriority="99" w:semiHidden="0" w:name="annotation text"/>
    <w:lsdException w:uiPriority="99" w:semiHidden="0" w:name="header"/>
    <w:lsdException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uiPriority="99" w:name="Body Text First Indent"/>
    <w:lsdException w:qFormat="1" w:uiPriority="99" w:name="Body Text First Indent 2"/>
    <w:lsdException w:qFormat="1" w:unhideWhenUsed="0" w:uiPriority="0" w:name="Note Heading"/>
    <w:lsdException w:qFormat="1" w:uiPriority="0" w:name="Body Text 2"/>
    <w:lsdException w:qFormat="1" w:uiPriority="0" w:name="Body Text 3"/>
    <w:lsdException w:qFormat="1" w:unhideWhenUsed="0" w:uiPriority="0" w:name="Body Text Indent 2"/>
    <w:lsdException w:qFormat="1" w:uiPriority="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0"/>
    <w:qFormat/>
    <w:uiPriority w:val="9"/>
    <w:pPr>
      <w:keepNext/>
      <w:keepLines/>
      <w:spacing w:before="340" w:after="330" w:line="578" w:lineRule="auto"/>
      <w:outlineLvl w:val="0"/>
    </w:pPr>
    <w:rPr>
      <w:rFonts w:ascii="Times New Roman" w:hAnsi="Times New Roman" w:eastAsia="仿宋"/>
      <w:b/>
      <w:bCs/>
      <w:kern w:val="44"/>
      <w:sz w:val="36"/>
      <w:szCs w:val="44"/>
    </w:rPr>
  </w:style>
  <w:style w:type="paragraph" w:styleId="3">
    <w:name w:val="heading 2"/>
    <w:basedOn w:val="1"/>
    <w:next w:val="1"/>
    <w:link w:val="56"/>
    <w:unhideWhenUsed/>
    <w:qFormat/>
    <w:uiPriority w:val="9"/>
    <w:pPr>
      <w:keepNext/>
      <w:keepLines/>
      <w:spacing w:before="260" w:after="260" w:line="416" w:lineRule="auto"/>
      <w:outlineLvl w:val="1"/>
    </w:pPr>
    <w:rPr>
      <w:rFonts w:ascii="Times New Roman" w:hAnsi="Times New Roman" w:eastAsia="仿宋" w:cstheme="majorBidi"/>
      <w:b/>
      <w:bCs/>
      <w:sz w:val="32"/>
      <w:szCs w:val="32"/>
    </w:rPr>
  </w:style>
  <w:style w:type="paragraph" w:styleId="4">
    <w:name w:val="heading 3"/>
    <w:basedOn w:val="1"/>
    <w:next w:val="1"/>
    <w:link w:val="57"/>
    <w:unhideWhenUsed/>
    <w:qFormat/>
    <w:uiPriority w:val="0"/>
    <w:pPr>
      <w:keepNext/>
      <w:keepLines/>
      <w:spacing w:before="260" w:after="260" w:line="416" w:lineRule="auto"/>
      <w:outlineLvl w:val="2"/>
    </w:pPr>
    <w:rPr>
      <w:rFonts w:ascii="Times New Roman" w:hAnsi="Times New Roman" w:eastAsia="仿宋"/>
      <w:b/>
      <w:bCs/>
      <w:sz w:val="30"/>
      <w:szCs w:val="32"/>
    </w:rPr>
  </w:style>
  <w:style w:type="paragraph" w:styleId="5">
    <w:name w:val="heading 4"/>
    <w:basedOn w:val="1"/>
    <w:next w:val="1"/>
    <w:link w:val="66"/>
    <w:unhideWhenUsed/>
    <w:qFormat/>
    <w:uiPriority w:val="0"/>
    <w:pPr>
      <w:keepNext/>
      <w:keepLines/>
      <w:spacing w:line="360" w:lineRule="auto"/>
      <w:outlineLvl w:val="3"/>
    </w:pPr>
    <w:rPr>
      <w:rFonts w:ascii="Times New Roman" w:hAnsi="Times New Roman" w:eastAsia="仿宋" w:cstheme="majorBidi"/>
      <w:b/>
      <w:bCs/>
      <w:sz w:val="24"/>
      <w:szCs w:val="28"/>
    </w:rPr>
  </w:style>
  <w:style w:type="paragraph" w:styleId="6">
    <w:name w:val="heading 5"/>
    <w:basedOn w:val="1"/>
    <w:next w:val="1"/>
    <w:link w:val="84"/>
    <w:qFormat/>
    <w:uiPriority w:val="0"/>
    <w:pPr>
      <w:widowControl/>
      <w:spacing w:before="240" w:after="60" w:line="360" w:lineRule="auto"/>
      <w:ind w:firstLine="200" w:firstLineChars="200"/>
      <w:jc w:val="left"/>
      <w:outlineLvl w:val="4"/>
    </w:pPr>
    <w:rPr>
      <w:rFonts w:ascii="Calibri" w:hAnsi="Calibri" w:eastAsia="宋体" w:cs="Times New Roman"/>
      <w:b/>
      <w:bCs/>
      <w:i/>
      <w:iCs/>
      <w:kern w:val="0"/>
      <w:sz w:val="26"/>
      <w:szCs w:val="26"/>
      <w:lang w:bidi="en-US"/>
    </w:rPr>
  </w:style>
  <w:style w:type="paragraph" w:styleId="7">
    <w:name w:val="heading 6"/>
    <w:basedOn w:val="1"/>
    <w:next w:val="1"/>
    <w:link w:val="85"/>
    <w:qFormat/>
    <w:uiPriority w:val="0"/>
    <w:pPr>
      <w:widowControl/>
      <w:spacing w:before="240" w:after="60" w:line="360" w:lineRule="auto"/>
      <w:ind w:firstLine="200" w:firstLineChars="200"/>
      <w:jc w:val="left"/>
      <w:outlineLvl w:val="5"/>
    </w:pPr>
    <w:rPr>
      <w:rFonts w:ascii="Calibri" w:hAnsi="Calibri" w:eastAsia="宋体" w:cs="Times New Roman"/>
      <w:b/>
      <w:bCs/>
      <w:kern w:val="0"/>
      <w:sz w:val="22"/>
      <w:szCs w:val="28"/>
      <w:lang w:bidi="en-US"/>
    </w:rPr>
  </w:style>
  <w:style w:type="paragraph" w:styleId="8">
    <w:name w:val="heading 7"/>
    <w:basedOn w:val="1"/>
    <w:next w:val="1"/>
    <w:link w:val="86"/>
    <w:qFormat/>
    <w:uiPriority w:val="0"/>
    <w:pPr>
      <w:widowControl/>
      <w:spacing w:before="240" w:after="60" w:line="360" w:lineRule="auto"/>
      <w:ind w:firstLine="200" w:firstLineChars="200"/>
      <w:jc w:val="left"/>
      <w:outlineLvl w:val="6"/>
    </w:pPr>
    <w:rPr>
      <w:rFonts w:ascii="Calibri" w:hAnsi="Calibri" w:eastAsia="宋体" w:cs="Times New Roman"/>
      <w:kern w:val="0"/>
      <w:sz w:val="24"/>
      <w:szCs w:val="24"/>
      <w:lang w:bidi="en-US"/>
    </w:rPr>
  </w:style>
  <w:style w:type="paragraph" w:styleId="9">
    <w:name w:val="heading 8"/>
    <w:basedOn w:val="1"/>
    <w:next w:val="1"/>
    <w:link w:val="87"/>
    <w:qFormat/>
    <w:uiPriority w:val="0"/>
    <w:pPr>
      <w:widowControl/>
      <w:spacing w:before="240" w:after="60" w:line="360" w:lineRule="auto"/>
      <w:ind w:firstLine="200" w:firstLineChars="200"/>
      <w:jc w:val="left"/>
      <w:outlineLvl w:val="7"/>
    </w:pPr>
    <w:rPr>
      <w:rFonts w:ascii="Calibri" w:hAnsi="Calibri" w:eastAsia="宋体" w:cs="Times New Roman"/>
      <w:i/>
      <w:iCs/>
      <w:kern w:val="0"/>
      <w:sz w:val="24"/>
      <w:szCs w:val="24"/>
      <w:lang w:bidi="en-US"/>
    </w:rPr>
  </w:style>
  <w:style w:type="paragraph" w:styleId="10">
    <w:name w:val="heading 9"/>
    <w:basedOn w:val="1"/>
    <w:next w:val="1"/>
    <w:link w:val="88"/>
    <w:qFormat/>
    <w:uiPriority w:val="0"/>
    <w:pPr>
      <w:widowControl/>
      <w:spacing w:before="240" w:after="60" w:line="360" w:lineRule="auto"/>
      <w:ind w:firstLine="200" w:firstLineChars="200"/>
      <w:jc w:val="left"/>
      <w:outlineLvl w:val="8"/>
    </w:pPr>
    <w:rPr>
      <w:rFonts w:ascii="Cambria" w:hAnsi="Cambria" w:eastAsia="宋体" w:cs="Times New Roman"/>
      <w:kern w:val="0"/>
      <w:sz w:val="22"/>
      <w:szCs w:val="28"/>
      <w:lang w:bidi="en-US"/>
    </w:rPr>
  </w:style>
  <w:style w:type="character" w:default="1" w:styleId="46">
    <w:name w:val="Default Paragraph Font"/>
    <w:semiHidden/>
    <w:unhideWhenUsed/>
    <w:uiPriority w:val="1"/>
  </w:style>
  <w:style w:type="table" w:default="1" w:styleId="44">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unhideWhenUsed/>
    <w:uiPriority w:val="39"/>
    <w:pPr>
      <w:ind w:left="2520" w:leftChars="1200"/>
    </w:pPr>
  </w:style>
  <w:style w:type="paragraph" w:styleId="12">
    <w:name w:val="Note Heading"/>
    <w:basedOn w:val="1"/>
    <w:next w:val="1"/>
    <w:link w:val="146"/>
    <w:semiHidden/>
    <w:qFormat/>
    <w:uiPriority w:val="0"/>
    <w:pPr>
      <w:jc w:val="center"/>
    </w:pPr>
    <w:rPr>
      <w:rFonts w:ascii="Times New Roman" w:hAnsi="Times New Roman" w:eastAsia="宋体" w:cs="Times New Roman"/>
      <w:kern w:val="0"/>
      <w:sz w:val="28"/>
      <w:szCs w:val="24"/>
    </w:rPr>
  </w:style>
  <w:style w:type="paragraph" w:styleId="13">
    <w:name w:val="Normal Indent"/>
    <w:basedOn w:val="1"/>
    <w:qFormat/>
    <w:uiPriority w:val="0"/>
    <w:pPr>
      <w:ind w:firstLine="420" w:firstLineChars="200"/>
    </w:pPr>
    <w:rPr>
      <w:rFonts w:ascii="Times New Roman" w:hAnsi="Times New Roman" w:eastAsia="宋体" w:cs="Times New Roman"/>
      <w:kern w:val="0"/>
      <w:sz w:val="28"/>
      <w:szCs w:val="24"/>
    </w:rPr>
  </w:style>
  <w:style w:type="paragraph" w:styleId="14">
    <w:name w:val="caption"/>
    <w:basedOn w:val="1"/>
    <w:next w:val="1"/>
    <w:qFormat/>
    <w:uiPriority w:val="0"/>
    <w:pPr>
      <w:widowControl/>
      <w:ind w:firstLine="200" w:firstLineChars="200"/>
      <w:jc w:val="left"/>
    </w:pPr>
    <w:rPr>
      <w:rFonts w:ascii="Calibri" w:hAnsi="Calibri" w:eastAsia="宋体" w:cs="Times New Roman"/>
      <w:b/>
      <w:bCs/>
      <w:color w:val="4F81BD"/>
      <w:kern w:val="0"/>
      <w:sz w:val="18"/>
      <w:szCs w:val="18"/>
      <w:lang w:bidi="en-US"/>
    </w:rPr>
  </w:style>
  <w:style w:type="paragraph" w:styleId="15">
    <w:name w:val="List Bullet"/>
    <w:basedOn w:val="1"/>
    <w:unhideWhenUsed/>
    <w:qFormat/>
    <w:uiPriority w:val="99"/>
    <w:pPr>
      <w:numPr>
        <w:ilvl w:val="0"/>
        <w:numId w:val="1"/>
      </w:numPr>
      <w:contextualSpacing/>
    </w:pPr>
  </w:style>
  <w:style w:type="paragraph" w:styleId="16">
    <w:name w:val="Document Map"/>
    <w:basedOn w:val="1"/>
    <w:link w:val="92"/>
    <w:semiHidden/>
    <w:qFormat/>
    <w:uiPriority w:val="0"/>
    <w:pPr>
      <w:shd w:val="clear" w:color="auto" w:fill="000080"/>
      <w:spacing w:line="360" w:lineRule="auto"/>
      <w:ind w:firstLine="200" w:firstLineChars="200"/>
    </w:pPr>
    <w:rPr>
      <w:rFonts w:ascii="仿宋_GB2312" w:hAnsi="Times New Roman" w:eastAsia="仿宋_GB2312" w:cs="Times New Roman"/>
      <w:kern w:val="0"/>
      <w:sz w:val="24"/>
      <w:szCs w:val="24"/>
    </w:rPr>
  </w:style>
  <w:style w:type="paragraph" w:styleId="17">
    <w:name w:val="annotation text"/>
    <w:basedOn w:val="1"/>
    <w:link w:val="67"/>
    <w:unhideWhenUsed/>
    <w:qFormat/>
    <w:uiPriority w:val="99"/>
    <w:pPr>
      <w:jc w:val="left"/>
    </w:pPr>
  </w:style>
  <w:style w:type="paragraph" w:styleId="18">
    <w:name w:val="Body Text 3"/>
    <w:basedOn w:val="1"/>
    <w:link w:val="132"/>
    <w:semiHidden/>
    <w:unhideWhenUsed/>
    <w:qFormat/>
    <w:uiPriority w:val="0"/>
    <w:pPr>
      <w:widowControl/>
      <w:spacing w:after="120" w:line="360" w:lineRule="auto"/>
      <w:ind w:firstLine="200" w:firstLineChars="200"/>
      <w:jc w:val="left"/>
    </w:pPr>
    <w:rPr>
      <w:rFonts w:ascii="Calibri" w:hAnsi="Calibri" w:eastAsia="宋体" w:cs="Times New Roman"/>
      <w:kern w:val="0"/>
      <w:sz w:val="16"/>
      <w:szCs w:val="16"/>
      <w:lang w:bidi="en-US"/>
    </w:rPr>
  </w:style>
  <w:style w:type="paragraph" w:styleId="19">
    <w:name w:val="Body Text"/>
    <w:basedOn w:val="1"/>
    <w:link w:val="128"/>
    <w:qFormat/>
    <w:uiPriority w:val="0"/>
    <w:pPr>
      <w:spacing w:after="120"/>
    </w:pPr>
    <w:rPr>
      <w:rFonts w:ascii="Times New Roman" w:hAnsi="Times New Roman" w:eastAsia="宋体" w:cs="Times New Roman"/>
      <w:kern w:val="0"/>
      <w:sz w:val="24"/>
      <w:szCs w:val="24"/>
    </w:rPr>
  </w:style>
  <w:style w:type="paragraph" w:styleId="20">
    <w:name w:val="Body Text Indent"/>
    <w:basedOn w:val="1"/>
    <w:link w:val="100"/>
    <w:uiPriority w:val="0"/>
    <w:pPr>
      <w:spacing w:line="360" w:lineRule="auto"/>
      <w:ind w:firstLine="480" w:firstLineChars="200"/>
    </w:pPr>
    <w:rPr>
      <w:rFonts w:ascii="宋体" w:hAnsi="宋体" w:eastAsia="宋体" w:cs="Times New Roman"/>
      <w:kern w:val="0"/>
      <w:sz w:val="24"/>
      <w:szCs w:val="24"/>
    </w:rPr>
  </w:style>
  <w:style w:type="paragraph" w:styleId="21">
    <w:name w:val="toc 5"/>
    <w:basedOn w:val="1"/>
    <w:next w:val="1"/>
    <w:unhideWhenUsed/>
    <w:qFormat/>
    <w:uiPriority w:val="39"/>
    <w:pPr>
      <w:ind w:left="1680" w:leftChars="800"/>
    </w:pPr>
  </w:style>
  <w:style w:type="paragraph" w:styleId="22">
    <w:name w:val="toc 3"/>
    <w:basedOn w:val="1"/>
    <w:next w:val="1"/>
    <w:unhideWhenUsed/>
    <w:qFormat/>
    <w:uiPriority w:val="39"/>
    <w:pPr>
      <w:widowControl/>
      <w:spacing w:after="100" w:line="276" w:lineRule="auto"/>
      <w:ind w:left="440"/>
      <w:jc w:val="left"/>
    </w:pPr>
    <w:rPr>
      <w:kern w:val="0"/>
      <w:sz w:val="22"/>
    </w:rPr>
  </w:style>
  <w:style w:type="paragraph" w:styleId="23">
    <w:name w:val="Plain Text"/>
    <w:basedOn w:val="1"/>
    <w:link w:val="125"/>
    <w:qFormat/>
    <w:uiPriority w:val="0"/>
    <w:rPr>
      <w:rFonts w:ascii="宋体" w:hAnsi="Courier New" w:eastAsia="宋体" w:cs="Courier New"/>
      <w:kern w:val="0"/>
      <w:sz w:val="28"/>
      <w:szCs w:val="21"/>
    </w:rPr>
  </w:style>
  <w:style w:type="paragraph" w:styleId="24">
    <w:name w:val="toc 8"/>
    <w:basedOn w:val="1"/>
    <w:next w:val="1"/>
    <w:unhideWhenUsed/>
    <w:uiPriority w:val="39"/>
    <w:pPr>
      <w:ind w:left="2940" w:leftChars="1400"/>
    </w:pPr>
  </w:style>
  <w:style w:type="paragraph" w:styleId="25">
    <w:name w:val="Date"/>
    <w:basedOn w:val="1"/>
    <w:next w:val="1"/>
    <w:link w:val="64"/>
    <w:unhideWhenUsed/>
    <w:qFormat/>
    <w:uiPriority w:val="0"/>
    <w:pPr>
      <w:ind w:left="100" w:leftChars="2500"/>
    </w:pPr>
  </w:style>
  <w:style w:type="paragraph" w:styleId="26">
    <w:name w:val="Body Text Indent 2"/>
    <w:basedOn w:val="1"/>
    <w:link w:val="138"/>
    <w:semiHidden/>
    <w:qFormat/>
    <w:uiPriority w:val="0"/>
    <w:pPr>
      <w:spacing w:after="120" w:line="480" w:lineRule="auto"/>
      <w:ind w:left="420" w:leftChars="200"/>
    </w:pPr>
    <w:rPr>
      <w:rFonts w:ascii="Times New Roman" w:hAnsi="Times New Roman" w:eastAsia="宋体" w:cs="Times New Roman"/>
      <w:sz w:val="28"/>
      <w:szCs w:val="24"/>
    </w:rPr>
  </w:style>
  <w:style w:type="paragraph" w:styleId="27">
    <w:name w:val="Balloon Text"/>
    <w:basedOn w:val="1"/>
    <w:link w:val="63"/>
    <w:semiHidden/>
    <w:unhideWhenUsed/>
    <w:qFormat/>
    <w:uiPriority w:val="99"/>
    <w:rPr>
      <w:sz w:val="18"/>
      <w:szCs w:val="18"/>
    </w:rPr>
  </w:style>
  <w:style w:type="paragraph" w:styleId="28">
    <w:name w:val="footer"/>
    <w:basedOn w:val="1"/>
    <w:link w:val="54"/>
    <w:unhideWhenUsed/>
    <w:uiPriority w:val="99"/>
    <w:pPr>
      <w:tabs>
        <w:tab w:val="center" w:pos="4153"/>
        <w:tab w:val="right" w:pos="8306"/>
      </w:tabs>
      <w:snapToGrid w:val="0"/>
      <w:jc w:val="left"/>
    </w:pPr>
    <w:rPr>
      <w:sz w:val="18"/>
      <w:szCs w:val="18"/>
    </w:rPr>
  </w:style>
  <w:style w:type="paragraph" w:styleId="29">
    <w:name w:val="header"/>
    <w:basedOn w:val="1"/>
    <w:link w:val="53"/>
    <w:unhideWhenUsed/>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unhideWhenUsed/>
    <w:qFormat/>
    <w:uiPriority w:val="39"/>
    <w:pPr>
      <w:widowControl/>
      <w:tabs>
        <w:tab w:val="right" w:leader="dot" w:pos="8296"/>
      </w:tabs>
      <w:spacing w:after="100" w:line="276" w:lineRule="auto"/>
      <w:jc w:val="left"/>
    </w:pPr>
    <w:rPr>
      <w:rFonts w:ascii="Times New Roman" w:hAnsi="Times New Roman" w:eastAsia="仿宋" w:cs="Times New Roman"/>
      <w:b/>
      <w:color w:val="0D0D0D" w:themeColor="text1" w:themeTint="F2"/>
      <w:kern w:val="0"/>
      <w:sz w:val="24"/>
      <w:szCs w:val="24"/>
      <w14:textFill>
        <w14:solidFill>
          <w14:schemeClr w14:val="tx1">
            <w14:lumMod w14:val="95000"/>
            <w14:lumOff w14:val="5000"/>
          </w14:schemeClr>
        </w14:solidFill>
      </w14:textFill>
    </w:rPr>
  </w:style>
  <w:style w:type="paragraph" w:styleId="31">
    <w:name w:val="toc 4"/>
    <w:basedOn w:val="1"/>
    <w:next w:val="1"/>
    <w:unhideWhenUsed/>
    <w:qFormat/>
    <w:uiPriority w:val="39"/>
    <w:pPr>
      <w:ind w:left="1260" w:leftChars="600"/>
    </w:pPr>
  </w:style>
  <w:style w:type="paragraph" w:styleId="32">
    <w:name w:val="Subtitle"/>
    <w:basedOn w:val="1"/>
    <w:next w:val="1"/>
    <w:link w:val="109"/>
    <w:qFormat/>
    <w:uiPriority w:val="0"/>
    <w:pPr>
      <w:widowControl/>
      <w:spacing w:after="60" w:line="360" w:lineRule="auto"/>
      <w:ind w:firstLine="200" w:firstLineChars="200"/>
      <w:jc w:val="center"/>
      <w:outlineLvl w:val="1"/>
    </w:pPr>
    <w:rPr>
      <w:rFonts w:ascii="Cambria" w:hAnsi="Cambria" w:eastAsia="宋体" w:cs="Times New Roman"/>
      <w:kern w:val="0"/>
      <w:sz w:val="24"/>
      <w:szCs w:val="24"/>
      <w:lang w:bidi="en-US"/>
    </w:rPr>
  </w:style>
  <w:style w:type="paragraph" w:styleId="33">
    <w:name w:val="footnote text"/>
    <w:basedOn w:val="1"/>
    <w:link w:val="204"/>
    <w:unhideWhenUsed/>
    <w:qFormat/>
    <w:uiPriority w:val="0"/>
    <w:pPr>
      <w:widowControl/>
      <w:jc w:val="left"/>
    </w:pPr>
    <w:rPr>
      <w:rFonts w:ascii="Calibri" w:hAnsi="Calibri" w:eastAsia="宋体" w:cs="Times New Roman"/>
      <w:kern w:val="0"/>
      <w:sz w:val="20"/>
      <w:szCs w:val="20"/>
    </w:rPr>
  </w:style>
  <w:style w:type="paragraph" w:styleId="34">
    <w:name w:val="toc 6"/>
    <w:basedOn w:val="1"/>
    <w:next w:val="1"/>
    <w:unhideWhenUsed/>
    <w:qFormat/>
    <w:uiPriority w:val="39"/>
    <w:pPr>
      <w:ind w:left="2100" w:leftChars="1000"/>
    </w:pPr>
  </w:style>
  <w:style w:type="paragraph" w:styleId="35">
    <w:name w:val="Body Text Indent 3"/>
    <w:basedOn w:val="1"/>
    <w:link w:val="135"/>
    <w:semiHidden/>
    <w:unhideWhenUsed/>
    <w:qFormat/>
    <w:uiPriority w:val="0"/>
    <w:pPr>
      <w:widowControl/>
      <w:spacing w:after="120" w:line="360" w:lineRule="auto"/>
      <w:ind w:left="420" w:leftChars="200" w:firstLine="200" w:firstLineChars="200"/>
      <w:jc w:val="left"/>
    </w:pPr>
    <w:rPr>
      <w:rFonts w:ascii="Calibri" w:hAnsi="Calibri" w:eastAsia="宋体" w:cs="Times New Roman"/>
      <w:kern w:val="0"/>
      <w:sz w:val="16"/>
      <w:szCs w:val="16"/>
      <w:lang w:bidi="en-US"/>
    </w:rPr>
  </w:style>
  <w:style w:type="paragraph" w:styleId="36">
    <w:name w:val="toc 2"/>
    <w:basedOn w:val="1"/>
    <w:next w:val="1"/>
    <w:unhideWhenUsed/>
    <w:qFormat/>
    <w:uiPriority w:val="39"/>
    <w:pPr>
      <w:widowControl/>
      <w:spacing w:after="100" w:line="276" w:lineRule="auto"/>
      <w:ind w:left="220"/>
      <w:jc w:val="left"/>
    </w:pPr>
    <w:rPr>
      <w:kern w:val="0"/>
      <w:sz w:val="22"/>
    </w:rPr>
  </w:style>
  <w:style w:type="paragraph" w:styleId="37">
    <w:name w:val="toc 9"/>
    <w:basedOn w:val="1"/>
    <w:next w:val="1"/>
    <w:unhideWhenUsed/>
    <w:qFormat/>
    <w:uiPriority w:val="39"/>
    <w:pPr>
      <w:ind w:left="3360" w:leftChars="1600"/>
    </w:pPr>
  </w:style>
  <w:style w:type="paragraph" w:styleId="38">
    <w:name w:val="Body Text 2"/>
    <w:basedOn w:val="1"/>
    <w:link w:val="141"/>
    <w:semiHidden/>
    <w:unhideWhenUsed/>
    <w:qFormat/>
    <w:uiPriority w:val="0"/>
    <w:pPr>
      <w:widowControl/>
      <w:spacing w:after="120" w:line="480" w:lineRule="auto"/>
      <w:ind w:firstLine="200" w:firstLineChars="200"/>
      <w:jc w:val="left"/>
    </w:pPr>
    <w:rPr>
      <w:rFonts w:ascii="Calibri" w:hAnsi="Calibri" w:eastAsia="宋体" w:cs="Times New Roman"/>
      <w:kern w:val="0"/>
      <w:sz w:val="24"/>
      <w:szCs w:val="24"/>
      <w:lang w:bidi="en-US"/>
    </w:rPr>
  </w:style>
  <w:style w:type="paragraph" w:styleId="39">
    <w:name w:val="Normal (Web)"/>
    <w:basedOn w:val="1"/>
    <w:qFormat/>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styleId="40">
    <w:name w:val="Title"/>
    <w:basedOn w:val="1"/>
    <w:next w:val="1"/>
    <w:link w:val="107"/>
    <w:qFormat/>
    <w:uiPriority w:val="10"/>
    <w:pPr>
      <w:widowControl/>
      <w:spacing w:before="240" w:after="60" w:line="360" w:lineRule="auto"/>
      <w:ind w:firstLine="200" w:firstLineChars="200"/>
      <w:jc w:val="center"/>
      <w:outlineLvl w:val="0"/>
    </w:pPr>
    <w:rPr>
      <w:rFonts w:ascii="Cambria" w:hAnsi="Cambria" w:eastAsia="宋体" w:cs="Times New Roman"/>
      <w:b/>
      <w:bCs/>
      <w:kern w:val="28"/>
      <w:sz w:val="32"/>
      <w:szCs w:val="32"/>
      <w:lang w:bidi="en-US"/>
    </w:rPr>
  </w:style>
  <w:style w:type="paragraph" w:styleId="41">
    <w:name w:val="annotation subject"/>
    <w:basedOn w:val="17"/>
    <w:next w:val="17"/>
    <w:link w:val="68"/>
    <w:semiHidden/>
    <w:unhideWhenUsed/>
    <w:qFormat/>
    <w:uiPriority w:val="99"/>
    <w:rPr>
      <w:b/>
      <w:bCs/>
    </w:rPr>
  </w:style>
  <w:style w:type="paragraph" w:styleId="42">
    <w:name w:val="Body Text First Indent"/>
    <w:basedOn w:val="19"/>
    <w:link w:val="315"/>
    <w:semiHidden/>
    <w:unhideWhenUsed/>
    <w:uiPriority w:val="99"/>
    <w:pPr>
      <w:ind w:firstLine="420" w:firstLineChars="100"/>
    </w:pPr>
    <w:rPr>
      <w:rFonts w:asciiTheme="minorHAnsi" w:hAnsiTheme="minorHAnsi" w:eastAsiaTheme="minorEastAsia" w:cstheme="minorBidi"/>
      <w:kern w:val="2"/>
      <w:sz w:val="21"/>
      <w:szCs w:val="22"/>
    </w:rPr>
  </w:style>
  <w:style w:type="paragraph" w:styleId="43">
    <w:name w:val="Body Text First Indent 2"/>
    <w:basedOn w:val="20"/>
    <w:link w:val="316"/>
    <w:semiHidden/>
    <w:unhideWhenUsed/>
    <w:qFormat/>
    <w:uiPriority w:val="99"/>
    <w:pPr>
      <w:spacing w:after="120" w:line="240" w:lineRule="auto"/>
      <w:ind w:left="420" w:leftChars="200" w:firstLine="420"/>
    </w:pPr>
    <w:rPr>
      <w:rFonts w:asciiTheme="minorHAnsi" w:hAnsiTheme="minorHAnsi" w:eastAsiaTheme="minorEastAsia" w:cstheme="minorBidi"/>
      <w:kern w:val="2"/>
      <w:sz w:val="21"/>
      <w:szCs w:val="22"/>
    </w:rPr>
  </w:style>
  <w:style w:type="table" w:styleId="45">
    <w:name w:val="Table Grid"/>
    <w:basedOn w:val="4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Emphasis"/>
    <w:qFormat/>
    <w:uiPriority w:val="0"/>
    <w:rPr>
      <w:rFonts w:ascii="Calibri" w:hAnsi="Calibri"/>
      <w:b/>
      <w:i/>
      <w:iCs/>
    </w:rPr>
  </w:style>
  <w:style w:type="character" w:styleId="51">
    <w:name w:val="Hyperlink"/>
    <w:qFormat/>
    <w:uiPriority w:val="99"/>
    <w:rPr>
      <w:color w:val="0000FF"/>
      <w:u w:val="single"/>
    </w:rPr>
  </w:style>
  <w:style w:type="character" w:styleId="52">
    <w:name w:val="annotation reference"/>
    <w:basedOn w:val="46"/>
    <w:unhideWhenUsed/>
    <w:qFormat/>
    <w:uiPriority w:val="99"/>
    <w:rPr>
      <w:sz w:val="21"/>
      <w:szCs w:val="21"/>
    </w:rPr>
  </w:style>
  <w:style w:type="character" w:customStyle="1" w:styleId="53">
    <w:name w:val="页眉 Char1"/>
    <w:basedOn w:val="46"/>
    <w:link w:val="29"/>
    <w:uiPriority w:val="99"/>
    <w:rPr>
      <w:sz w:val="18"/>
      <w:szCs w:val="18"/>
    </w:rPr>
  </w:style>
  <w:style w:type="character" w:customStyle="1" w:styleId="54">
    <w:name w:val="页脚 Char1"/>
    <w:basedOn w:val="46"/>
    <w:link w:val="28"/>
    <w:qFormat/>
    <w:uiPriority w:val="99"/>
    <w:rPr>
      <w:sz w:val="18"/>
      <w:szCs w:val="18"/>
    </w:rPr>
  </w:style>
  <w:style w:type="paragraph" w:styleId="55">
    <w:name w:val="List Paragraph"/>
    <w:basedOn w:val="1"/>
    <w:qFormat/>
    <w:uiPriority w:val="34"/>
    <w:pPr>
      <w:ind w:firstLine="420" w:firstLineChars="200"/>
    </w:pPr>
  </w:style>
  <w:style w:type="character" w:customStyle="1" w:styleId="56">
    <w:name w:val="标题 2 Char2"/>
    <w:basedOn w:val="46"/>
    <w:link w:val="3"/>
    <w:qFormat/>
    <w:uiPriority w:val="9"/>
    <w:rPr>
      <w:rFonts w:ascii="Times New Roman" w:hAnsi="Times New Roman" w:eastAsia="仿宋" w:cstheme="majorBidi"/>
      <w:b/>
      <w:bCs/>
      <w:sz w:val="32"/>
      <w:szCs w:val="32"/>
    </w:rPr>
  </w:style>
  <w:style w:type="character" w:customStyle="1" w:styleId="57">
    <w:name w:val="标题 3 Char2"/>
    <w:basedOn w:val="46"/>
    <w:link w:val="4"/>
    <w:qFormat/>
    <w:uiPriority w:val="9"/>
    <w:rPr>
      <w:rFonts w:ascii="Times New Roman" w:hAnsi="Times New Roman" w:eastAsia="仿宋"/>
      <w:b/>
      <w:bCs/>
      <w:sz w:val="30"/>
      <w:szCs w:val="32"/>
    </w:rPr>
  </w:style>
  <w:style w:type="paragraph" w:customStyle="1" w:styleId="58">
    <w:name w:val="Char Char Char"/>
    <w:basedOn w:val="1"/>
    <w:semiHidden/>
    <w:qFormat/>
    <w:uiPriority w:val="0"/>
    <w:rPr>
      <w:rFonts w:ascii="Times New Roman" w:hAnsi="Times New Roman" w:eastAsia="宋体" w:cs="Times New Roman"/>
      <w:szCs w:val="24"/>
    </w:rPr>
  </w:style>
  <w:style w:type="character" w:customStyle="1" w:styleId="59">
    <w:name w:val="15"/>
    <w:basedOn w:val="46"/>
    <w:qFormat/>
    <w:uiPriority w:val="0"/>
    <w:rPr>
      <w:rFonts w:hint="default" w:ascii="Times New Roman" w:hAnsi="Times New Roman" w:cs="Times New Roman"/>
      <w:color w:val="0000FF"/>
      <w:u w:val="single"/>
    </w:rPr>
  </w:style>
  <w:style w:type="character" w:customStyle="1" w:styleId="60">
    <w:name w:val="标题 1 Char2"/>
    <w:basedOn w:val="46"/>
    <w:link w:val="2"/>
    <w:qFormat/>
    <w:uiPriority w:val="9"/>
    <w:rPr>
      <w:rFonts w:ascii="Times New Roman" w:hAnsi="Times New Roman" w:eastAsia="仿宋"/>
      <w:b/>
      <w:bCs/>
      <w:kern w:val="44"/>
      <w:sz w:val="36"/>
      <w:szCs w:val="44"/>
    </w:rPr>
  </w:style>
  <w:style w:type="paragraph" w:customStyle="1" w:styleId="61">
    <w:name w:val="文字"/>
    <w:basedOn w:val="1"/>
    <w:link w:val="97"/>
    <w:qFormat/>
    <w:uiPriority w:val="0"/>
    <w:pPr>
      <w:widowControl/>
      <w:spacing w:after="120" w:afterLines="50" w:line="360" w:lineRule="auto"/>
      <w:ind w:firstLine="420"/>
    </w:pPr>
    <w:rPr>
      <w:rFonts w:ascii="Times New Roman" w:hAnsi="Times New Roman" w:eastAsia="宋体" w:cs="Times New Roman"/>
      <w:kern w:val="0"/>
      <w:sz w:val="24"/>
      <w:szCs w:val="24"/>
    </w:rPr>
  </w:style>
  <w:style w:type="paragraph" w:customStyle="1" w:styleId="62">
    <w:name w:val="Char Char Char2"/>
    <w:basedOn w:val="1"/>
    <w:semiHidden/>
    <w:qFormat/>
    <w:uiPriority w:val="0"/>
    <w:rPr>
      <w:rFonts w:ascii="Times New Roman" w:hAnsi="Times New Roman" w:eastAsia="宋体" w:cs="Times New Roman"/>
      <w:szCs w:val="24"/>
    </w:rPr>
  </w:style>
  <w:style w:type="character" w:customStyle="1" w:styleId="63">
    <w:name w:val="批注框文本 Char2"/>
    <w:basedOn w:val="46"/>
    <w:link w:val="27"/>
    <w:semiHidden/>
    <w:qFormat/>
    <w:uiPriority w:val="99"/>
    <w:rPr>
      <w:sz w:val="18"/>
      <w:szCs w:val="18"/>
    </w:rPr>
  </w:style>
  <w:style w:type="character" w:customStyle="1" w:styleId="64">
    <w:name w:val="日期 Char1"/>
    <w:basedOn w:val="46"/>
    <w:link w:val="25"/>
    <w:qFormat/>
    <w:uiPriority w:val="0"/>
  </w:style>
  <w:style w:type="paragraph" w:customStyle="1" w:styleId="65">
    <w:name w:val="表格内容"/>
    <w:basedOn w:val="1"/>
    <w:next w:val="1"/>
    <w:qFormat/>
    <w:uiPriority w:val="0"/>
    <w:pPr>
      <w:jc w:val="center"/>
    </w:pPr>
    <w:rPr>
      <w:rFonts w:ascii="Times New Roman" w:hAnsi="Times New Roman" w:eastAsia="仿宋_GB2312" w:cs="Times New Roman"/>
      <w:kern w:val="0"/>
      <w:sz w:val="24"/>
      <w:szCs w:val="24"/>
    </w:rPr>
  </w:style>
  <w:style w:type="character" w:customStyle="1" w:styleId="66">
    <w:name w:val="标题 4 Char1"/>
    <w:basedOn w:val="46"/>
    <w:link w:val="5"/>
    <w:qFormat/>
    <w:uiPriority w:val="9"/>
    <w:rPr>
      <w:rFonts w:ascii="Times New Roman" w:hAnsi="Times New Roman" w:eastAsia="仿宋" w:cstheme="majorBidi"/>
      <w:b/>
      <w:bCs/>
      <w:sz w:val="24"/>
      <w:szCs w:val="28"/>
    </w:rPr>
  </w:style>
  <w:style w:type="character" w:customStyle="1" w:styleId="67">
    <w:name w:val="批注文字 Char1"/>
    <w:basedOn w:val="46"/>
    <w:link w:val="17"/>
    <w:qFormat/>
    <w:uiPriority w:val="99"/>
  </w:style>
  <w:style w:type="character" w:customStyle="1" w:styleId="68">
    <w:name w:val="批注主题 Char1"/>
    <w:basedOn w:val="67"/>
    <w:link w:val="41"/>
    <w:semiHidden/>
    <w:qFormat/>
    <w:uiPriority w:val="99"/>
    <w:rPr>
      <w:b/>
      <w:bCs/>
    </w:rPr>
  </w:style>
  <w:style w:type="character" w:customStyle="1" w:styleId="69">
    <w:name w:val="标题 5 字符"/>
    <w:basedOn w:val="46"/>
    <w:semiHidden/>
    <w:qFormat/>
    <w:uiPriority w:val="9"/>
    <w:rPr>
      <w:b/>
      <w:bCs/>
      <w:sz w:val="28"/>
      <w:szCs w:val="28"/>
    </w:rPr>
  </w:style>
  <w:style w:type="character" w:customStyle="1" w:styleId="70">
    <w:name w:val="标题 6 字符"/>
    <w:basedOn w:val="46"/>
    <w:semiHidden/>
    <w:qFormat/>
    <w:uiPriority w:val="9"/>
    <w:rPr>
      <w:rFonts w:asciiTheme="majorHAnsi" w:hAnsiTheme="majorHAnsi" w:eastAsiaTheme="majorEastAsia" w:cstheme="majorBidi"/>
      <w:b/>
      <w:bCs/>
      <w:sz w:val="24"/>
      <w:szCs w:val="24"/>
    </w:rPr>
  </w:style>
  <w:style w:type="character" w:customStyle="1" w:styleId="71">
    <w:name w:val="标题 7 字符"/>
    <w:basedOn w:val="46"/>
    <w:semiHidden/>
    <w:qFormat/>
    <w:uiPriority w:val="9"/>
    <w:rPr>
      <w:b/>
      <w:bCs/>
      <w:sz w:val="24"/>
      <w:szCs w:val="24"/>
    </w:rPr>
  </w:style>
  <w:style w:type="character" w:customStyle="1" w:styleId="72">
    <w:name w:val="标题 8 字符"/>
    <w:basedOn w:val="46"/>
    <w:semiHidden/>
    <w:qFormat/>
    <w:uiPriority w:val="9"/>
    <w:rPr>
      <w:rFonts w:asciiTheme="majorHAnsi" w:hAnsiTheme="majorHAnsi" w:eastAsiaTheme="majorEastAsia" w:cstheme="majorBidi"/>
      <w:sz w:val="24"/>
      <w:szCs w:val="24"/>
    </w:rPr>
  </w:style>
  <w:style w:type="character" w:customStyle="1" w:styleId="73">
    <w:name w:val="标题 9 字符"/>
    <w:basedOn w:val="46"/>
    <w:semiHidden/>
    <w:qFormat/>
    <w:uiPriority w:val="9"/>
    <w:rPr>
      <w:rFonts w:asciiTheme="majorHAnsi" w:hAnsiTheme="majorHAnsi" w:eastAsiaTheme="majorEastAsia" w:cstheme="majorBidi"/>
      <w:szCs w:val="21"/>
    </w:rPr>
  </w:style>
  <w:style w:type="character" w:customStyle="1" w:styleId="74">
    <w:name w:val="页脚 Char"/>
    <w:qFormat/>
    <w:uiPriority w:val="99"/>
    <w:rPr>
      <w:sz w:val="18"/>
      <w:szCs w:val="18"/>
    </w:rPr>
  </w:style>
  <w:style w:type="paragraph" w:customStyle="1" w:styleId="75">
    <w:name w:val="Char Char Char1 Char Char Char Char Char Char2 Char"/>
    <w:basedOn w:val="1"/>
    <w:semiHidden/>
    <w:qFormat/>
    <w:uiPriority w:val="0"/>
    <w:rPr>
      <w:rFonts w:ascii="黑体" w:hAnsi="Times New Roman" w:eastAsia="黑体" w:cs="Times New Roman"/>
      <w:b/>
      <w:kern w:val="0"/>
      <w:sz w:val="32"/>
      <w:szCs w:val="32"/>
    </w:rPr>
  </w:style>
  <w:style w:type="character" w:customStyle="1" w:styleId="76">
    <w:name w:val="页眉 Char"/>
    <w:qFormat/>
    <w:uiPriority w:val="99"/>
    <w:rPr>
      <w:sz w:val="18"/>
      <w:szCs w:val="18"/>
    </w:rPr>
  </w:style>
  <w:style w:type="paragraph" w:customStyle="1" w:styleId="77">
    <w:name w:val="Char Char Char1 Char Char Char Char Char Char2 Char1"/>
    <w:basedOn w:val="1"/>
    <w:semiHidden/>
    <w:qFormat/>
    <w:uiPriority w:val="0"/>
    <w:rPr>
      <w:rFonts w:ascii="黑体" w:hAnsi="Times New Roman" w:eastAsia="黑体" w:cs="Times New Roman"/>
      <w:b/>
      <w:kern w:val="0"/>
      <w:sz w:val="32"/>
      <w:szCs w:val="32"/>
    </w:rPr>
  </w:style>
  <w:style w:type="paragraph" w:customStyle="1" w:styleId="78">
    <w:name w:val="Char"/>
    <w:basedOn w:val="1"/>
    <w:next w:val="1"/>
    <w:link w:val="150"/>
    <w:qFormat/>
    <w:uiPriority w:val="0"/>
    <w:pPr>
      <w:spacing w:line="360" w:lineRule="auto"/>
      <w:ind w:left="240" w:firstLine="200" w:firstLineChars="200"/>
      <w:jc w:val="left"/>
    </w:pPr>
    <w:rPr>
      <w:rFonts w:ascii="Calibri" w:hAnsi="Calibri" w:eastAsia="宋体" w:cs="Times New Roman"/>
      <w:kern w:val="0"/>
      <w:sz w:val="24"/>
      <w:szCs w:val="24"/>
      <w:lang w:bidi="en-US"/>
    </w:rPr>
  </w:style>
  <w:style w:type="character" w:customStyle="1" w:styleId="79">
    <w:name w:val="日期 Char"/>
    <w:basedOn w:val="46"/>
    <w:qFormat/>
    <w:uiPriority w:val="0"/>
  </w:style>
  <w:style w:type="character" w:customStyle="1" w:styleId="80">
    <w:name w:val="标题 1 Char"/>
    <w:qFormat/>
    <w:uiPriority w:val="0"/>
    <w:rPr>
      <w:b/>
      <w:bCs/>
      <w:kern w:val="44"/>
      <w:sz w:val="44"/>
      <w:szCs w:val="44"/>
    </w:rPr>
  </w:style>
  <w:style w:type="character" w:customStyle="1" w:styleId="81">
    <w:name w:val="标题 2 Char"/>
    <w:qFormat/>
    <w:uiPriority w:val="0"/>
    <w:rPr>
      <w:rFonts w:ascii="Calibri Light" w:hAnsi="Calibri Light" w:eastAsia="宋体" w:cs="Times New Roman"/>
      <w:b/>
      <w:bCs/>
      <w:sz w:val="32"/>
      <w:szCs w:val="32"/>
    </w:rPr>
  </w:style>
  <w:style w:type="character" w:customStyle="1" w:styleId="82">
    <w:name w:val="标题 3 Char"/>
    <w:qFormat/>
    <w:uiPriority w:val="0"/>
    <w:rPr>
      <w:b/>
      <w:bCs/>
      <w:sz w:val="32"/>
      <w:szCs w:val="32"/>
    </w:rPr>
  </w:style>
  <w:style w:type="character" w:customStyle="1" w:styleId="83">
    <w:name w:val="标题 4 Char"/>
    <w:qFormat/>
    <w:uiPriority w:val="0"/>
    <w:rPr>
      <w:rFonts w:ascii="Calibri" w:hAnsi="Calibri" w:eastAsia="宋体" w:cs="Times New Roman"/>
      <w:b/>
      <w:bCs/>
      <w:kern w:val="0"/>
      <w:sz w:val="28"/>
      <w:szCs w:val="28"/>
      <w:lang w:bidi="en-US"/>
    </w:rPr>
  </w:style>
  <w:style w:type="character" w:customStyle="1" w:styleId="84">
    <w:name w:val="标题 5 Char1"/>
    <w:link w:val="6"/>
    <w:qFormat/>
    <w:uiPriority w:val="0"/>
    <w:rPr>
      <w:rFonts w:ascii="Calibri" w:hAnsi="Calibri" w:eastAsia="宋体" w:cs="Times New Roman"/>
      <w:b/>
      <w:bCs/>
      <w:i/>
      <w:iCs/>
      <w:kern w:val="0"/>
      <w:sz w:val="26"/>
      <w:szCs w:val="26"/>
      <w:lang w:bidi="en-US"/>
    </w:rPr>
  </w:style>
  <w:style w:type="character" w:customStyle="1" w:styleId="85">
    <w:name w:val="标题 6 Char1"/>
    <w:link w:val="7"/>
    <w:qFormat/>
    <w:uiPriority w:val="0"/>
    <w:rPr>
      <w:rFonts w:ascii="Calibri" w:hAnsi="Calibri" w:eastAsia="宋体" w:cs="Times New Roman"/>
      <w:b/>
      <w:bCs/>
      <w:kern w:val="0"/>
      <w:sz w:val="22"/>
      <w:szCs w:val="28"/>
      <w:lang w:bidi="en-US"/>
    </w:rPr>
  </w:style>
  <w:style w:type="character" w:customStyle="1" w:styleId="86">
    <w:name w:val="标题 7 Char1"/>
    <w:link w:val="8"/>
    <w:qFormat/>
    <w:uiPriority w:val="0"/>
    <w:rPr>
      <w:rFonts w:ascii="Calibri" w:hAnsi="Calibri" w:eastAsia="宋体" w:cs="Times New Roman"/>
      <w:kern w:val="0"/>
      <w:sz w:val="24"/>
      <w:szCs w:val="24"/>
      <w:lang w:bidi="en-US"/>
    </w:rPr>
  </w:style>
  <w:style w:type="character" w:customStyle="1" w:styleId="87">
    <w:name w:val="标题 8 Char1"/>
    <w:link w:val="9"/>
    <w:qFormat/>
    <w:uiPriority w:val="0"/>
    <w:rPr>
      <w:rFonts w:ascii="Calibri" w:hAnsi="Calibri" w:eastAsia="宋体" w:cs="Times New Roman"/>
      <w:i/>
      <w:iCs/>
      <w:kern w:val="0"/>
      <w:sz w:val="24"/>
      <w:szCs w:val="24"/>
      <w:lang w:bidi="en-US"/>
    </w:rPr>
  </w:style>
  <w:style w:type="character" w:customStyle="1" w:styleId="88">
    <w:name w:val="标题 9 Char1"/>
    <w:link w:val="10"/>
    <w:qFormat/>
    <w:uiPriority w:val="0"/>
    <w:rPr>
      <w:rFonts w:ascii="Cambria" w:hAnsi="Cambria" w:eastAsia="宋体" w:cs="Times New Roman"/>
      <w:kern w:val="0"/>
      <w:sz w:val="22"/>
      <w:szCs w:val="28"/>
      <w:lang w:bidi="en-US"/>
    </w:rPr>
  </w:style>
  <w:style w:type="character" w:customStyle="1" w:styleId="89">
    <w:name w:val="标题 1 Char1"/>
    <w:qFormat/>
    <w:uiPriority w:val="0"/>
    <w:rPr>
      <w:rFonts w:ascii="仿宋_GB2312" w:hAnsi="Times New Roman" w:eastAsia="仿宋_GB2312" w:cs="Times New Roman"/>
      <w:b/>
      <w:bCs/>
      <w:kern w:val="44"/>
      <w:sz w:val="32"/>
      <w:szCs w:val="44"/>
    </w:rPr>
  </w:style>
  <w:style w:type="character" w:customStyle="1" w:styleId="90">
    <w:name w:val="标题 2 Char1"/>
    <w:qFormat/>
    <w:uiPriority w:val="0"/>
    <w:rPr>
      <w:rFonts w:ascii="Arial" w:hAnsi="Arial" w:eastAsia="黑体" w:cs="Times New Roman"/>
      <w:b/>
      <w:bCs/>
      <w:kern w:val="0"/>
      <w:sz w:val="30"/>
      <w:szCs w:val="32"/>
    </w:rPr>
  </w:style>
  <w:style w:type="character" w:customStyle="1" w:styleId="91">
    <w:name w:val="标题 3 Char1"/>
    <w:qFormat/>
    <w:uiPriority w:val="0"/>
    <w:rPr>
      <w:rFonts w:ascii="仿宋_GB2312" w:hAnsi="Times New Roman" w:eastAsia="仿宋_GB2312" w:cs="Times New Roman"/>
      <w:b/>
      <w:bCs/>
      <w:kern w:val="0"/>
      <w:sz w:val="28"/>
      <w:szCs w:val="32"/>
    </w:rPr>
  </w:style>
  <w:style w:type="character" w:customStyle="1" w:styleId="92">
    <w:name w:val="文档结构图 Char2"/>
    <w:link w:val="16"/>
    <w:semiHidden/>
    <w:qFormat/>
    <w:uiPriority w:val="0"/>
    <w:rPr>
      <w:rFonts w:ascii="仿宋_GB2312" w:hAnsi="Times New Roman" w:eastAsia="仿宋_GB2312" w:cs="Times New Roman"/>
      <w:kern w:val="0"/>
      <w:sz w:val="24"/>
      <w:szCs w:val="24"/>
      <w:shd w:val="clear" w:color="auto" w:fill="000080"/>
    </w:rPr>
  </w:style>
  <w:style w:type="character" w:customStyle="1" w:styleId="93">
    <w:name w:val="文档结构图 字符"/>
    <w:basedOn w:val="46"/>
    <w:semiHidden/>
    <w:qFormat/>
    <w:uiPriority w:val="99"/>
    <w:rPr>
      <w:rFonts w:ascii="Microsoft YaHei UI" w:eastAsia="Microsoft YaHei UI"/>
      <w:sz w:val="18"/>
      <w:szCs w:val="18"/>
    </w:rPr>
  </w:style>
  <w:style w:type="character" w:customStyle="1" w:styleId="94">
    <w:name w:val="文档结构图 Char1"/>
    <w:semiHidden/>
    <w:qFormat/>
    <w:uiPriority w:val="99"/>
    <w:rPr>
      <w:rFonts w:ascii="Microsoft YaHei UI" w:eastAsia="Microsoft YaHei UI"/>
      <w:sz w:val="18"/>
      <w:szCs w:val="18"/>
    </w:rPr>
  </w:style>
  <w:style w:type="paragraph" w:customStyle="1" w:styleId="95">
    <w:name w:val="样式 标题 2 + 首行缩进:  2 字符 段前: 0.5 行 段后: 0.5 行"/>
    <w:basedOn w:val="3"/>
    <w:uiPriority w:val="0"/>
    <w:pPr>
      <w:spacing w:before="50" w:beforeLines="50" w:after="50" w:afterLines="50" w:line="360" w:lineRule="auto"/>
    </w:pPr>
    <w:rPr>
      <w:rFonts w:ascii="Arial" w:hAnsi="Arial" w:eastAsia="黑体" w:cs="宋体"/>
      <w:kern w:val="0"/>
      <w:sz w:val="30"/>
      <w:szCs w:val="20"/>
    </w:rPr>
  </w:style>
  <w:style w:type="paragraph" w:customStyle="1" w:styleId="96">
    <w:name w:val="样式 标题 3 + 首行缩进:  2 字符"/>
    <w:basedOn w:val="4"/>
    <w:uiPriority w:val="0"/>
    <w:pPr>
      <w:spacing w:before="0" w:after="0" w:line="360" w:lineRule="auto"/>
    </w:pPr>
    <w:rPr>
      <w:rFonts w:ascii="仿宋_GB2312" w:eastAsia="仿宋_GB2312" w:cs="宋体"/>
      <w:kern w:val="0"/>
      <w:sz w:val="28"/>
      <w:szCs w:val="20"/>
    </w:rPr>
  </w:style>
  <w:style w:type="character" w:customStyle="1" w:styleId="97">
    <w:name w:val="文字 Char"/>
    <w:link w:val="61"/>
    <w:uiPriority w:val="0"/>
    <w:rPr>
      <w:rFonts w:ascii="Times New Roman" w:hAnsi="Times New Roman" w:eastAsia="宋体" w:cs="Times New Roman"/>
      <w:kern w:val="0"/>
      <w:sz w:val="24"/>
      <w:szCs w:val="24"/>
    </w:rPr>
  </w:style>
  <w:style w:type="character" w:customStyle="1" w:styleId="98">
    <w:name w:val="正文文本缩进 字符"/>
    <w:basedOn w:val="46"/>
    <w:semiHidden/>
    <w:uiPriority w:val="99"/>
  </w:style>
  <w:style w:type="character" w:customStyle="1" w:styleId="99">
    <w:name w:val="正文文本缩进 Char"/>
    <w:basedOn w:val="46"/>
    <w:qFormat/>
    <w:uiPriority w:val="0"/>
  </w:style>
  <w:style w:type="character" w:customStyle="1" w:styleId="100">
    <w:name w:val="正文文本缩进 Char2"/>
    <w:link w:val="20"/>
    <w:qFormat/>
    <w:uiPriority w:val="0"/>
    <w:rPr>
      <w:rFonts w:ascii="宋体" w:hAnsi="宋体" w:eastAsia="宋体" w:cs="Times New Roman"/>
      <w:kern w:val="0"/>
      <w:sz w:val="24"/>
      <w:szCs w:val="24"/>
    </w:rPr>
  </w:style>
  <w:style w:type="paragraph" w:customStyle="1" w:styleId="101">
    <w:name w:val="l_text"/>
    <w:basedOn w:val="1"/>
    <w:qFormat/>
    <w:uiPriority w:val="0"/>
    <w:pPr>
      <w:overflowPunct w:val="0"/>
      <w:autoSpaceDE w:val="0"/>
      <w:autoSpaceDN w:val="0"/>
      <w:adjustRightInd w:val="0"/>
      <w:spacing w:line="360" w:lineRule="auto"/>
      <w:ind w:left="200" w:leftChars="100" w:right="12" w:rightChars="6" w:firstLine="562"/>
      <w:textAlignment w:val="baseline"/>
    </w:pPr>
    <w:rPr>
      <w:rFonts w:ascii="宋体" w:hAnsi="Times New Roman" w:eastAsia="宋体" w:cs="Times New Roman"/>
      <w:kern w:val="0"/>
      <w:sz w:val="28"/>
      <w:szCs w:val="20"/>
      <w:lang w:val="en-GB"/>
    </w:rPr>
  </w:style>
  <w:style w:type="paragraph" w:customStyle="1" w:styleId="102">
    <w:name w:val="其他表格"/>
    <w:basedOn w:val="1"/>
    <w:qFormat/>
    <w:uiPriority w:val="0"/>
    <w:pPr>
      <w:widowControl/>
      <w:spacing w:line="360" w:lineRule="exact"/>
    </w:pPr>
    <w:rPr>
      <w:rFonts w:ascii="宋体" w:hAnsi="宋体" w:eastAsia="宋体" w:cs="Times New Roman"/>
      <w:kern w:val="0"/>
      <w:sz w:val="28"/>
      <w:szCs w:val="21"/>
    </w:rPr>
  </w:style>
  <w:style w:type="paragraph" w:customStyle="1" w:styleId="103">
    <w:name w:val="样式 表中文字 + 行距: 固定值 14 磅"/>
    <w:basedOn w:val="1"/>
    <w:qFormat/>
    <w:uiPriority w:val="0"/>
    <w:pPr>
      <w:widowControl/>
      <w:adjustRightInd w:val="0"/>
      <w:snapToGrid w:val="0"/>
      <w:spacing w:line="280" w:lineRule="exact"/>
      <w:jc w:val="center"/>
    </w:pPr>
    <w:rPr>
      <w:rFonts w:ascii="Times New Roman" w:hAnsi="Times New Roman" w:eastAsia="华文中宋" w:cs="Times New Roman"/>
      <w:kern w:val="0"/>
      <w:sz w:val="28"/>
      <w:szCs w:val="20"/>
    </w:rPr>
  </w:style>
  <w:style w:type="paragraph" w:customStyle="1" w:styleId="104">
    <w:name w:val="样式 首行缩进:  2 字符"/>
    <w:basedOn w:val="1"/>
    <w:next w:val="1"/>
    <w:qFormat/>
    <w:uiPriority w:val="0"/>
    <w:pPr>
      <w:widowControl/>
      <w:spacing w:line="360" w:lineRule="auto"/>
      <w:ind w:firstLine="560" w:firstLineChars="200"/>
      <w:jc w:val="left"/>
    </w:pPr>
    <w:rPr>
      <w:rFonts w:ascii="Calibri" w:hAnsi="Calibri" w:eastAsia="宋体" w:cs="宋体"/>
      <w:kern w:val="0"/>
      <w:sz w:val="24"/>
      <w:szCs w:val="20"/>
      <w:lang w:bidi="en-US"/>
    </w:rPr>
  </w:style>
  <w:style w:type="character" w:customStyle="1" w:styleId="105">
    <w:name w:val="样式 超链接 + (西文) Arial (中文) 黑体 三号 加粗 自动设置 无下划线"/>
    <w:qFormat/>
    <w:uiPriority w:val="0"/>
    <w:rPr>
      <w:rFonts w:ascii="Arial" w:hAnsi="Arial" w:eastAsia="黑体"/>
      <w:b/>
      <w:bCs/>
      <w:color w:val="auto"/>
      <w:sz w:val="32"/>
      <w:u w:val="none"/>
    </w:rPr>
  </w:style>
  <w:style w:type="character" w:customStyle="1" w:styleId="106">
    <w:name w:val="标题 字符"/>
    <w:basedOn w:val="46"/>
    <w:qFormat/>
    <w:uiPriority w:val="10"/>
    <w:rPr>
      <w:rFonts w:asciiTheme="majorHAnsi" w:hAnsiTheme="majorHAnsi" w:eastAsiaTheme="majorEastAsia" w:cstheme="majorBidi"/>
      <w:b/>
      <w:bCs/>
      <w:sz w:val="32"/>
      <w:szCs w:val="32"/>
    </w:rPr>
  </w:style>
  <w:style w:type="character" w:customStyle="1" w:styleId="107">
    <w:name w:val="标题 Char1"/>
    <w:link w:val="40"/>
    <w:qFormat/>
    <w:uiPriority w:val="0"/>
    <w:rPr>
      <w:rFonts w:ascii="Cambria" w:hAnsi="Cambria" w:eastAsia="宋体" w:cs="Times New Roman"/>
      <w:b/>
      <w:bCs/>
      <w:kern w:val="28"/>
      <w:sz w:val="32"/>
      <w:szCs w:val="32"/>
      <w:lang w:bidi="en-US"/>
    </w:rPr>
  </w:style>
  <w:style w:type="character" w:customStyle="1" w:styleId="108">
    <w:name w:val="副标题 字符"/>
    <w:basedOn w:val="46"/>
    <w:qFormat/>
    <w:uiPriority w:val="11"/>
    <w:rPr>
      <w:b/>
      <w:bCs/>
      <w:kern w:val="28"/>
      <w:sz w:val="32"/>
      <w:szCs w:val="32"/>
    </w:rPr>
  </w:style>
  <w:style w:type="character" w:customStyle="1" w:styleId="109">
    <w:name w:val="副标题 Char1"/>
    <w:link w:val="32"/>
    <w:qFormat/>
    <w:uiPriority w:val="0"/>
    <w:rPr>
      <w:rFonts w:ascii="Cambria" w:hAnsi="Cambria" w:eastAsia="宋体" w:cs="Times New Roman"/>
      <w:kern w:val="0"/>
      <w:sz w:val="24"/>
      <w:szCs w:val="24"/>
      <w:lang w:bidi="en-US"/>
    </w:rPr>
  </w:style>
  <w:style w:type="paragraph" w:styleId="110">
    <w:name w:val="No Spacing"/>
    <w:basedOn w:val="1"/>
    <w:link w:val="111"/>
    <w:qFormat/>
    <w:uiPriority w:val="0"/>
    <w:pPr>
      <w:widowControl/>
      <w:jc w:val="center"/>
    </w:pPr>
    <w:rPr>
      <w:rFonts w:ascii="Calibri" w:hAnsi="Calibri" w:eastAsia="宋体" w:cs="Times New Roman"/>
      <w:kern w:val="0"/>
      <w:sz w:val="24"/>
      <w:szCs w:val="24"/>
      <w:lang w:bidi="en-US"/>
    </w:rPr>
  </w:style>
  <w:style w:type="character" w:customStyle="1" w:styleId="111">
    <w:name w:val="无间隔 Char1"/>
    <w:link w:val="110"/>
    <w:qFormat/>
    <w:uiPriority w:val="0"/>
    <w:rPr>
      <w:rFonts w:ascii="Calibri" w:hAnsi="Calibri" w:eastAsia="宋体" w:cs="Times New Roman"/>
      <w:kern w:val="0"/>
      <w:sz w:val="24"/>
      <w:szCs w:val="24"/>
      <w:lang w:bidi="en-US"/>
    </w:rPr>
  </w:style>
  <w:style w:type="paragraph" w:styleId="112">
    <w:name w:val="Quote"/>
    <w:basedOn w:val="1"/>
    <w:next w:val="1"/>
    <w:link w:val="114"/>
    <w:qFormat/>
    <w:uiPriority w:val="0"/>
    <w:pPr>
      <w:widowControl/>
      <w:spacing w:line="360" w:lineRule="auto"/>
      <w:ind w:firstLine="200" w:firstLineChars="200"/>
      <w:jc w:val="left"/>
    </w:pPr>
    <w:rPr>
      <w:rFonts w:ascii="Calibri" w:hAnsi="Calibri" w:eastAsia="宋体" w:cs="Times New Roman"/>
      <w:i/>
      <w:kern w:val="0"/>
      <w:sz w:val="24"/>
      <w:szCs w:val="24"/>
      <w:lang w:bidi="en-US"/>
    </w:rPr>
  </w:style>
  <w:style w:type="character" w:customStyle="1" w:styleId="113">
    <w:name w:val="引用 字符"/>
    <w:basedOn w:val="46"/>
    <w:qFormat/>
    <w:uiPriority w:val="29"/>
    <w:rPr>
      <w:i/>
      <w:iCs/>
      <w:color w:val="404040" w:themeColor="text1" w:themeTint="BF"/>
      <w14:textFill>
        <w14:solidFill>
          <w14:schemeClr w14:val="tx1">
            <w14:lumMod w14:val="75000"/>
            <w14:lumOff w14:val="25000"/>
          </w14:schemeClr>
        </w14:solidFill>
      </w14:textFill>
    </w:rPr>
  </w:style>
  <w:style w:type="character" w:customStyle="1" w:styleId="114">
    <w:name w:val="引用 Char1"/>
    <w:link w:val="112"/>
    <w:qFormat/>
    <w:uiPriority w:val="0"/>
    <w:rPr>
      <w:rFonts w:ascii="Calibri" w:hAnsi="Calibri" w:eastAsia="宋体" w:cs="Times New Roman"/>
      <w:i/>
      <w:kern w:val="0"/>
      <w:sz w:val="24"/>
      <w:szCs w:val="24"/>
      <w:lang w:bidi="en-US"/>
    </w:rPr>
  </w:style>
  <w:style w:type="paragraph" w:styleId="115">
    <w:name w:val="Intense Quote"/>
    <w:basedOn w:val="1"/>
    <w:next w:val="1"/>
    <w:link w:val="117"/>
    <w:qFormat/>
    <w:uiPriority w:val="0"/>
    <w:pPr>
      <w:widowControl/>
      <w:spacing w:line="360" w:lineRule="auto"/>
      <w:ind w:left="720" w:right="720" w:firstLine="200" w:firstLineChars="200"/>
      <w:jc w:val="left"/>
    </w:pPr>
    <w:rPr>
      <w:rFonts w:ascii="Calibri" w:hAnsi="Calibri" w:eastAsia="宋体" w:cs="Times New Roman"/>
      <w:b/>
      <w:i/>
      <w:kern w:val="0"/>
      <w:sz w:val="24"/>
      <w:szCs w:val="28"/>
      <w:lang w:bidi="en-US"/>
    </w:rPr>
  </w:style>
  <w:style w:type="character" w:customStyle="1" w:styleId="116">
    <w:name w:val="明显引用 字符"/>
    <w:basedOn w:val="46"/>
    <w:uiPriority w:val="30"/>
    <w:rPr>
      <w:i/>
      <w:iCs/>
      <w:color w:val="4F81BD" w:themeColor="accent1"/>
      <w14:textFill>
        <w14:solidFill>
          <w14:schemeClr w14:val="accent1"/>
        </w14:solidFill>
      </w14:textFill>
    </w:rPr>
  </w:style>
  <w:style w:type="character" w:customStyle="1" w:styleId="117">
    <w:name w:val="明显引用 Char1"/>
    <w:link w:val="115"/>
    <w:uiPriority w:val="0"/>
    <w:rPr>
      <w:rFonts w:ascii="Calibri" w:hAnsi="Calibri" w:eastAsia="宋体" w:cs="Times New Roman"/>
      <w:b/>
      <w:i/>
      <w:kern w:val="0"/>
      <w:sz w:val="24"/>
      <w:szCs w:val="28"/>
      <w:lang w:bidi="en-US"/>
    </w:rPr>
  </w:style>
  <w:style w:type="character" w:customStyle="1" w:styleId="118">
    <w:name w:val="Subtle Emphasis"/>
    <w:qFormat/>
    <w:uiPriority w:val="0"/>
    <w:rPr>
      <w:i/>
      <w:color w:val="5A5A5A"/>
    </w:rPr>
  </w:style>
  <w:style w:type="character" w:customStyle="1" w:styleId="119">
    <w:name w:val="Intense Emphasis"/>
    <w:qFormat/>
    <w:uiPriority w:val="0"/>
    <w:rPr>
      <w:b/>
      <w:i/>
      <w:sz w:val="24"/>
      <w:szCs w:val="24"/>
      <w:u w:val="single"/>
    </w:rPr>
  </w:style>
  <w:style w:type="character" w:customStyle="1" w:styleId="120">
    <w:name w:val="Subtle Reference"/>
    <w:qFormat/>
    <w:uiPriority w:val="0"/>
    <w:rPr>
      <w:sz w:val="24"/>
      <w:szCs w:val="24"/>
      <w:u w:val="single"/>
    </w:rPr>
  </w:style>
  <w:style w:type="character" w:customStyle="1" w:styleId="121">
    <w:name w:val="Intense Reference"/>
    <w:qFormat/>
    <w:uiPriority w:val="0"/>
    <w:rPr>
      <w:b/>
      <w:sz w:val="24"/>
      <w:u w:val="single"/>
    </w:rPr>
  </w:style>
  <w:style w:type="character" w:customStyle="1" w:styleId="122">
    <w:name w:val="Book Title"/>
    <w:qFormat/>
    <w:uiPriority w:val="0"/>
    <w:rPr>
      <w:rFonts w:ascii="Cambria" w:hAnsi="Cambria" w:eastAsia="宋体"/>
      <w:b/>
      <w:i/>
      <w:sz w:val="24"/>
      <w:szCs w:val="24"/>
    </w:rPr>
  </w:style>
  <w:style w:type="paragraph" w:customStyle="1" w:styleId="123">
    <w:name w:val="TOC Heading"/>
    <w:basedOn w:val="2"/>
    <w:next w:val="1"/>
    <w:qFormat/>
    <w:uiPriority w:val="39"/>
    <w:pPr>
      <w:keepLines w:val="0"/>
      <w:widowControl/>
      <w:spacing w:before="240" w:after="60" w:line="360" w:lineRule="auto"/>
      <w:ind w:firstLine="200" w:firstLineChars="200"/>
      <w:jc w:val="left"/>
      <w:outlineLvl w:val="9"/>
    </w:pPr>
    <w:rPr>
      <w:rFonts w:ascii="Cambria" w:hAnsi="Cambria" w:eastAsia="宋体" w:cs="Times New Roman"/>
      <w:kern w:val="32"/>
      <w:sz w:val="32"/>
      <w:szCs w:val="32"/>
      <w:lang w:bidi="en-US"/>
    </w:rPr>
  </w:style>
  <w:style w:type="character" w:customStyle="1" w:styleId="124">
    <w:name w:val="纯文本 字符"/>
    <w:basedOn w:val="46"/>
    <w:semiHidden/>
    <w:qFormat/>
    <w:uiPriority w:val="99"/>
    <w:rPr>
      <w:rFonts w:hAnsi="Courier New" w:cs="Courier New" w:asciiTheme="minorEastAsia"/>
    </w:rPr>
  </w:style>
  <w:style w:type="character" w:customStyle="1" w:styleId="125">
    <w:name w:val="纯文本 Char1"/>
    <w:link w:val="23"/>
    <w:qFormat/>
    <w:uiPriority w:val="0"/>
    <w:rPr>
      <w:rFonts w:ascii="宋体" w:hAnsi="Courier New" w:eastAsia="宋体" w:cs="Courier New"/>
      <w:kern w:val="0"/>
      <w:sz w:val="28"/>
      <w:szCs w:val="21"/>
    </w:rPr>
  </w:style>
  <w:style w:type="character" w:customStyle="1" w:styleId="126">
    <w:name w:val="content1"/>
    <w:qFormat/>
    <w:uiPriority w:val="0"/>
    <w:rPr>
      <w:sz w:val="21"/>
      <w:szCs w:val="21"/>
    </w:rPr>
  </w:style>
  <w:style w:type="character" w:customStyle="1" w:styleId="127">
    <w:name w:val="正文文本 字符"/>
    <w:basedOn w:val="46"/>
    <w:semiHidden/>
    <w:qFormat/>
    <w:uiPriority w:val="99"/>
  </w:style>
  <w:style w:type="character" w:customStyle="1" w:styleId="128">
    <w:name w:val="正文文本 Char1"/>
    <w:link w:val="19"/>
    <w:qFormat/>
    <w:uiPriority w:val="0"/>
    <w:rPr>
      <w:rFonts w:ascii="Times New Roman" w:hAnsi="Times New Roman" w:eastAsia="宋体" w:cs="Times New Roman"/>
      <w:kern w:val="0"/>
      <w:sz w:val="24"/>
      <w:szCs w:val="24"/>
    </w:rPr>
  </w:style>
  <w:style w:type="character" w:customStyle="1" w:styleId="129">
    <w:name w:val="正文首行缩进 Char"/>
    <w:qFormat/>
    <w:uiPriority w:val="0"/>
    <w:rPr>
      <w:rFonts w:ascii="Times New Roman" w:hAnsi="Times New Roman" w:eastAsia="宋体" w:cs="Times New Roman"/>
      <w:sz w:val="24"/>
      <w:szCs w:val="24"/>
    </w:rPr>
  </w:style>
  <w:style w:type="character" w:customStyle="1" w:styleId="130">
    <w:name w:val="正文首行缩进 Char1"/>
    <w:qFormat/>
    <w:uiPriority w:val="0"/>
    <w:rPr>
      <w:rFonts w:ascii="Times New Roman" w:hAnsi="Times New Roman" w:eastAsia="宋体" w:cs="Times New Roman"/>
      <w:sz w:val="28"/>
      <w:szCs w:val="24"/>
    </w:rPr>
  </w:style>
  <w:style w:type="paragraph" w:customStyle="1" w:styleId="131">
    <w:name w:val="样式 标题 3 + 小四 段前: 0 磅 段后: 0 磅"/>
    <w:basedOn w:val="4"/>
    <w:qFormat/>
    <w:uiPriority w:val="0"/>
    <w:pPr>
      <w:widowControl/>
      <w:spacing w:before="100" w:beforeAutospacing="1" w:after="100" w:afterAutospacing="1" w:line="360" w:lineRule="auto"/>
      <w:ind w:left="942" w:firstLine="200" w:firstLineChars="200"/>
      <w:jc w:val="left"/>
    </w:pPr>
    <w:rPr>
      <w:rFonts w:ascii="宋体" w:hAnsi="宋体" w:eastAsia="宋体" w:cs="宋体"/>
      <w:kern w:val="0"/>
      <w:sz w:val="28"/>
      <w:szCs w:val="28"/>
      <w:lang w:bidi="en-US"/>
    </w:rPr>
  </w:style>
  <w:style w:type="character" w:customStyle="1" w:styleId="132">
    <w:name w:val="正文文本 3 Char2"/>
    <w:link w:val="18"/>
    <w:semiHidden/>
    <w:qFormat/>
    <w:uiPriority w:val="0"/>
    <w:rPr>
      <w:rFonts w:ascii="Calibri" w:hAnsi="Calibri" w:eastAsia="宋体" w:cs="Times New Roman"/>
      <w:kern w:val="0"/>
      <w:sz w:val="16"/>
      <w:szCs w:val="16"/>
      <w:lang w:bidi="en-US"/>
    </w:rPr>
  </w:style>
  <w:style w:type="character" w:customStyle="1" w:styleId="133">
    <w:name w:val="正文文本 3 字符"/>
    <w:basedOn w:val="46"/>
    <w:semiHidden/>
    <w:qFormat/>
    <w:uiPriority w:val="99"/>
    <w:rPr>
      <w:sz w:val="16"/>
      <w:szCs w:val="16"/>
    </w:rPr>
  </w:style>
  <w:style w:type="character" w:customStyle="1" w:styleId="134">
    <w:name w:val="正文文本 3 Char1"/>
    <w:semiHidden/>
    <w:qFormat/>
    <w:uiPriority w:val="99"/>
    <w:rPr>
      <w:sz w:val="16"/>
      <w:szCs w:val="16"/>
    </w:rPr>
  </w:style>
  <w:style w:type="character" w:customStyle="1" w:styleId="135">
    <w:name w:val="正文文本缩进 3 Char2"/>
    <w:link w:val="35"/>
    <w:semiHidden/>
    <w:qFormat/>
    <w:uiPriority w:val="0"/>
    <w:rPr>
      <w:rFonts w:ascii="Calibri" w:hAnsi="Calibri" w:eastAsia="宋体" w:cs="Times New Roman"/>
      <w:kern w:val="0"/>
      <w:sz w:val="16"/>
      <w:szCs w:val="16"/>
      <w:lang w:bidi="en-US"/>
    </w:rPr>
  </w:style>
  <w:style w:type="character" w:customStyle="1" w:styleId="136">
    <w:name w:val="正文文本缩进 3 字符"/>
    <w:basedOn w:val="46"/>
    <w:semiHidden/>
    <w:qFormat/>
    <w:uiPriority w:val="99"/>
    <w:rPr>
      <w:sz w:val="16"/>
      <w:szCs w:val="16"/>
    </w:rPr>
  </w:style>
  <w:style w:type="character" w:customStyle="1" w:styleId="137">
    <w:name w:val="正文文本缩进 3 Char1"/>
    <w:semiHidden/>
    <w:qFormat/>
    <w:uiPriority w:val="99"/>
    <w:rPr>
      <w:sz w:val="16"/>
      <w:szCs w:val="16"/>
    </w:rPr>
  </w:style>
  <w:style w:type="character" w:customStyle="1" w:styleId="138">
    <w:name w:val="正文文本缩进 2 Char2"/>
    <w:link w:val="26"/>
    <w:semiHidden/>
    <w:qFormat/>
    <w:uiPriority w:val="0"/>
    <w:rPr>
      <w:rFonts w:ascii="Times New Roman" w:hAnsi="Times New Roman" w:eastAsia="宋体" w:cs="Times New Roman"/>
      <w:sz w:val="28"/>
      <w:szCs w:val="24"/>
    </w:rPr>
  </w:style>
  <w:style w:type="character" w:customStyle="1" w:styleId="139">
    <w:name w:val="正文文本缩进 2 字符"/>
    <w:basedOn w:val="46"/>
    <w:semiHidden/>
    <w:qFormat/>
    <w:uiPriority w:val="99"/>
  </w:style>
  <w:style w:type="character" w:customStyle="1" w:styleId="140">
    <w:name w:val="正文文本缩进 2 Char1"/>
    <w:basedOn w:val="46"/>
    <w:semiHidden/>
    <w:qFormat/>
    <w:uiPriority w:val="99"/>
  </w:style>
  <w:style w:type="character" w:customStyle="1" w:styleId="141">
    <w:name w:val="正文文本 2 Char2"/>
    <w:link w:val="38"/>
    <w:semiHidden/>
    <w:qFormat/>
    <w:uiPriority w:val="0"/>
    <w:rPr>
      <w:rFonts w:ascii="Calibri" w:hAnsi="Calibri" w:eastAsia="宋体" w:cs="Times New Roman"/>
      <w:kern w:val="0"/>
      <w:sz w:val="24"/>
      <w:szCs w:val="24"/>
      <w:lang w:bidi="en-US"/>
    </w:rPr>
  </w:style>
  <w:style w:type="character" w:customStyle="1" w:styleId="142">
    <w:name w:val="正文文本 2 字符"/>
    <w:basedOn w:val="46"/>
    <w:semiHidden/>
    <w:qFormat/>
    <w:uiPriority w:val="99"/>
  </w:style>
  <w:style w:type="character" w:customStyle="1" w:styleId="143">
    <w:name w:val="正文文本 2 Char1"/>
    <w:basedOn w:val="46"/>
    <w:semiHidden/>
    <w:qFormat/>
    <w:uiPriority w:val="99"/>
  </w:style>
  <w:style w:type="paragraph" w:customStyle="1" w:styleId="144">
    <w:name w:val="样式1"/>
    <w:basedOn w:val="2"/>
    <w:next w:val="12"/>
    <w:qFormat/>
    <w:uiPriority w:val="0"/>
    <w:pPr>
      <w:widowControl/>
      <w:tabs>
        <w:tab w:val="left" w:pos="432"/>
      </w:tabs>
      <w:spacing w:before="240" w:after="240" w:line="360" w:lineRule="auto"/>
      <w:ind w:left="432" w:hanging="432" w:firstLineChars="200"/>
      <w:jc w:val="left"/>
    </w:pPr>
    <w:rPr>
      <w:rFonts w:ascii="Calibri" w:hAnsi="Calibri" w:eastAsia="黑体" w:cs="Times New Roman"/>
      <w:bCs w:val="0"/>
      <w:sz w:val="32"/>
      <w:lang w:bidi="en-US"/>
    </w:rPr>
  </w:style>
  <w:style w:type="character" w:customStyle="1" w:styleId="145">
    <w:name w:val="注释标题 字符"/>
    <w:basedOn w:val="46"/>
    <w:semiHidden/>
    <w:qFormat/>
    <w:uiPriority w:val="99"/>
  </w:style>
  <w:style w:type="character" w:customStyle="1" w:styleId="146">
    <w:name w:val="注释标题 Char1"/>
    <w:link w:val="12"/>
    <w:semiHidden/>
    <w:uiPriority w:val="0"/>
    <w:rPr>
      <w:rFonts w:ascii="Times New Roman" w:hAnsi="Times New Roman" w:eastAsia="宋体" w:cs="Times New Roman"/>
      <w:kern w:val="0"/>
      <w:sz w:val="28"/>
      <w:szCs w:val="24"/>
    </w:rPr>
  </w:style>
  <w:style w:type="paragraph" w:customStyle="1" w:styleId="147">
    <w:name w:val="样式2"/>
    <w:basedOn w:val="28"/>
    <w:next w:val="144"/>
    <w:uiPriority w:val="0"/>
    <w:rPr>
      <w:rFonts w:ascii="Times New Roman" w:hAnsi="Times New Roman" w:eastAsia="宋体" w:cs="Times New Roman"/>
      <w:kern w:val="0"/>
    </w:rPr>
  </w:style>
  <w:style w:type="character" w:customStyle="1" w:styleId="148">
    <w:name w:val="批注框文本 Char"/>
    <w:semiHidden/>
    <w:uiPriority w:val="99"/>
    <w:rPr>
      <w:rFonts w:ascii="Calibri" w:hAnsi="Calibri" w:eastAsia="宋体" w:cs="Times New Roman"/>
      <w:kern w:val="0"/>
      <w:sz w:val="18"/>
      <w:szCs w:val="18"/>
      <w:lang w:bidi="en-US"/>
    </w:rPr>
  </w:style>
  <w:style w:type="character" w:customStyle="1" w:styleId="149">
    <w:name w:val="批注框文本 Char1"/>
    <w:semiHidden/>
    <w:qFormat/>
    <w:uiPriority w:val="99"/>
    <w:rPr>
      <w:sz w:val="18"/>
      <w:szCs w:val="18"/>
    </w:rPr>
  </w:style>
  <w:style w:type="character" w:customStyle="1" w:styleId="150">
    <w:name w:val="正文首行缩进 2 Char"/>
    <w:link w:val="78"/>
    <w:qFormat/>
    <w:uiPriority w:val="0"/>
    <w:rPr>
      <w:rFonts w:ascii="Calibri" w:hAnsi="Calibri" w:eastAsia="宋体" w:cs="Times New Roman"/>
      <w:kern w:val="0"/>
      <w:sz w:val="24"/>
      <w:szCs w:val="24"/>
      <w:lang w:bidi="en-US"/>
    </w:rPr>
  </w:style>
  <w:style w:type="character" w:customStyle="1" w:styleId="151">
    <w:name w:val="nine2"/>
    <w:basedOn w:val="46"/>
    <w:qFormat/>
    <w:uiPriority w:val="0"/>
  </w:style>
  <w:style w:type="paragraph" w:customStyle="1" w:styleId="152">
    <w:name w:val="表格1"/>
    <w:basedOn w:val="1"/>
    <w:qFormat/>
    <w:uiPriority w:val="0"/>
    <w:pPr>
      <w:wordWrap w:val="0"/>
      <w:spacing w:before="24" w:after="24"/>
      <w:jc w:val="center"/>
    </w:pPr>
    <w:rPr>
      <w:rFonts w:ascii="Times New Roman" w:hAnsi="Times New Roman" w:eastAsia="宋体" w:cs="Times New Roman"/>
      <w:kern w:val="0"/>
      <w:sz w:val="24"/>
      <w:szCs w:val="21"/>
    </w:rPr>
  </w:style>
  <w:style w:type="paragraph" w:customStyle="1" w:styleId="153">
    <w:name w:val="表格2"/>
    <w:basedOn w:val="20"/>
    <w:qFormat/>
    <w:uiPriority w:val="0"/>
    <w:pPr>
      <w:spacing w:before="20" w:after="20" w:line="240" w:lineRule="auto"/>
      <w:ind w:firstLine="0" w:firstLineChars="0"/>
      <w:jc w:val="center"/>
      <w:outlineLvl w:val="0"/>
    </w:pPr>
    <w:rPr>
      <w:rFonts w:ascii="Times New Roman" w:hAnsi="Times New Roman"/>
    </w:rPr>
  </w:style>
  <w:style w:type="paragraph" w:customStyle="1" w:styleId="154">
    <w:name w:val="表头"/>
    <w:basedOn w:val="1"/>
    <w:qFormat/>
    <w:uiPriority w:val="0"/>
    <w:pPr>
      <w:adjustRightInd w:val="0"/>
      <w:snapToGrid w:val="0"/>
      <w:spacing w:before="120" w:after="60"/>
      <w:jc w:val="center"/>
    </w:pPr>
    <w:rPr>
      <w:rFonts w:ascii="Times New Roman" w:hAnsi="Times New Roman" w:eastAsia="宋体" w:cs="Times New Roman"/>
      <w:b/>
      <w:kern w:val="0"/>
      <w:sz w:val="24"/>
      <w:szCs w:val="24"/>
    </w:rPr>
  </w:style>
  <w:style w:type="paragraph" w:customStyle="1" w:styleId="155">
    <w:name w:val="样式 正文首行缩进 + 首行缩进:  2 字符2"/>
    <w:basedOn w:val="42"/>
    <w:qFormat/>
    <w:uiPriority w:val="0"/>
    <w:pPr>
      <w:spacing w:after="0" w:line="460" w:lineRule="exact"/>
      <w:ind w:firstLine="480" w:firstLineChars="200"/>
      <w:jc w:val="left"/>
    </w:pPr>
    <w:rPr>
      <w:rFonts w:ascii="Times New Roman" w:hAnsi="Times New Roman" w:eastAsia="宋体" w:cs="宋体"/>
      <w:kern w:val="0"/>
      <w:sz w:val="24"/>
      <w:szCs w:val="24"/>
    </w:rPr>
  </w:style>
  <w:style w:type="paragraph" w:customStyle="1" w:styleId="156">
    <w:name w:val="xl3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character" w:customStyle="1" w:styleId="157">
    <w:name w:val="样式"/>
    <w:qFormat/>
    <w:uiPriority w:val="0"/>
    <w:rPr>
      <w:rFonts w:eastAsia="宋体"/>
    </w:rPr>
  </w:style>
  <w:style w:type="paragraph" w:customStyle="1" w:styleId="158">
    <w:name w:val="正文文字缩进"/>
    <w:basedOn w:val="1"/>
    <w:qFormat/>
    <w:uiPriority w:val="0"/>
    <w:pPr>
      <w:spacing w:after="120"/>
      <w:ind w:left="420" w:leftChars="200"/>
    </w:pPr>
    <w:rPr>
      <w:rFonts w:ascii="Times New Roman" w:hAnsi="Times New Roman" w:eastAsia="宋体" w:cs="Times New Roman"/>
      <w:kern w:val="0"/>
      <w:sz w:val="28"/>
      <w:szCs w:val="21"/>
    </w:rPr>
  </w:style>
  <w:style w:type="paragraph" w:customStyle="1" w:styleId="159">
    <w:name w:val="样式 正文首行缩进 + 首行缩进:  2 字符1"/>
    <w:basedOn w:val="42"/>
    <w:qFormat/>
    <w:uiPriority w:val="0"/>
    <w:pPr>
      <w:spacing w:after="0" w:line="440" w:lineRule="exact"/>
      <w:ind w:firstLine="480" w:firstLineChars="200"/>
    </w:pPr>
    <w:rPr>
      <w:rFonts w:ascii="宋体" w:hAnsi="宋体" w:eastAsia="宋体" w:cs="Times New Roman"/>
      <w:kern w:val="0"/>
      <w:sz w:val="24"/>
      <w:szCs w:val="20"/>
    </w:rPr>
  </w:style>
  <w:style w:type="paragraph" w:customStyle="1" w:styleId="160">
    <w:name w:val="正文文字 3"/>
    <w:basedOn w:val="1"/>
    <w:uiPriority w:val="0"/>
    <w:pPr>
      <w:widowControl/>
      <w:spacing w:after="120" w:line="360" w:lineRule="auto"/>
      <w:ind w:firstLine="200" w:firstLineChars="200"/>
      <w:jc w:val="left"/>
    </w:pPr>
    <w:rPr>
      <w:rFonts w:ascii="Times New Roman" w:hAnsi="Times New Roman" w:eastAsia="宋体" w:cs="Times New Roman"/>
      <w:kern w:val="0"/>
      <w:sz w:val="16"/>
      <w:szCs w:val="16"/>
      <w:lang w:eastAsia="en-US"/>
    </w:rPr>
  </w:style>
  <w:style w:type="paragraph" w:customStyle="1" w:styleId="161">
    <w:name w:val="样式 首行缩进:  0.99 厘米"/>
    <w:basedOn w:val="1"/>
    <w:qFormat/>
    <w:uiPriority w:val="0"/>
    <w:pPr>
      <w:spacing w:line="420" w:lineRule="exact"/>
      <w:ind w:firstLine="567"/>
    </w:pPr>
    <w:rPr>
      <w:rFonts w:ascii="Times New Roman" w:hAnsi="Times New Roman" w:eastAsia="宋体" w:cs="宋体"/>
      <w:kern w:val="0"/>
      <w:sz w:val="24"/>
      <w:szCs w:val="20"/>
    </w:rPr>
  </w:style>
  <w:style w:type="paragraph" w:customStyle="1" w:styleId="162">
    <w:name w:val="图框"/>
    <w:basedOn w:val="3"/>
    <w:qFormat/>
    <w:uiPriority w:val="0"/>
    <w:pPr>
      <w:autoSpaceDE w:val="0"/>
      <w:autoSpaceDN w:val="0"/>
      <w:adjustRightInd w:val="0"/>
      <w:spacing w:before="20" w:after="20" w:line="240" w:lineRule="auto"/>
      <w:jc w:val="center"/>
    </w:pPr>
    <w:rPr>
      <w:rFonts w:eastAsia="宋体" w:cs="Times New Roman"/>
      <w:b w:val="0"/>
      <w:bCs w:val="0"/>
      <w:color w:val="000000"/>
      <w:kern w:val="0"/>
      <w:sz w:val="24"/>
      <w:szCs w:val="20"/>
    </w:rPr>
  </w:style>
  <w:style w:type="paragraph" w:customStyle="1" w:styleId="163">
    <w:name w:val="文本框"/>
    <w:basedOn w:val="1"/>
    <w:qFormat/>
    <w:uiPriority w:val="0"/>
    <w:pPr>
      <w:adjustRightInd w:val="0"/>
      <w:spacing w:before="20" w:after="20"/>
      <w:jc w:val="center"/>
    </w:pPr>
    <w:rPr>
      <w:rFonts w:ascii="Times New Roman" w:hAnsi="Times New Roman" w:eastAsia="宋体" w:cs="Times New Roman"/>
      <w:spacing w:val="20"/>
      <w:kern w:val="0"/>
      <w:sz w:val="24"/>
      <w:szCs w:val="24"/>
    </w:rPr>
  </w:style>
  <w:style w:type="character" w:customStyle="1" w:styleId="164">
    <w:name w:val="样式 标题 3 + 宋体 小四 非加粗 蓝色 Char"/>
    <w:qFormat/>
    <w:uiPriority w:val="0"/>
    <w:rPr>
      <w:rFonts w:ascii="宋体" w:hAnsi="宋体" w:eastAsia="宋体"/>
      <w:b/>
      <w:color w:val="0000FF"/>
      <w:kern w:val="2"/>
      <w:sz w:val="28"/>
      <w:szCs w:val="28"/>
      <w:lang w:val="en-US" w:eastAsia="zh-CN" w:bidi="ar-SA"/>
    </w:rPr>
  </w:style>
  <w:style w:type="paragraph" w:customStyle="1" w:styleId="165">
    <w:name w:val="样式 标题 1 + (符号) 宋体"/>
    <w:basedOn w:val="2"/>
    <w:qFormat/>
    <w:uiPriority w:val="0"/>
    <w:pPr>
      <w:spacing w:before="50" w:beforeLines="50" w:after="50" w:afterLines="50" w:line="240" w:lineRule="auto"/>
    </w:pPr>
    <w:rPr>
      <w:rFonts w:ascii="黑体" w:hAnsi="Arial" w:eastAsia="黑体" w:cs="Times New Roman"/>
      <w:sz w:val="30"/>
      <w:szCs w:val="32"/>
    </w:rPr>
  </w:style>
  <w:style w:type="character" w:customStyle="1" w:styleId="166">
    <w:name w:val="样式 样式 宋体 四号 黑色 + Times New Roman 小四 加粗 自动设置"/>
    <w:qFormat/>
    <w:uiPriority w:val="0"/>
    <w:rPr>
      <w:rFonts w:ascii="Times New Roman" w:hAnsi="Times New Roman"/>
      <w:b/>
      <w:bCs/>
      <w:color w:val="auto"/>
      <w:sz w:val="28"/>
    </w:rPr>
  </w:style>
  <w:style w:type="paragraph" w:customStyle="1" w:styleId="167">
    <w:name w:val="列表-4"/>
    <w:basedOn w:val="1"/>
    <w:qFormat/>
    <w:uiPriority w:val="0"/>
    <w:pPr>
      <w:spacing w:line="400" w:lineRule="atLeast"/>
    </w:pPr>
    <w:rPr>
      <w:rFonts w:ascii="Times New Roman" w:hAnsi="Times New Roman" w:eastAsia="宋体" w:cs="Times New Roman"/>
      <w:kern w:val="0"/>
      <w:sz w:val="24"/>
      <w:szCs w:val="20"/>
    </w:rPr>
  </w:style>
  <w:style w:type="paragraph" w:customStyle="1" w:styleId="168">
    <w:name w:val="1"/>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paragraph" w:customStyle="1" w:styleId="169">
    <w:name w:val="样式 正文首行缩进 + 首行缩进:  2 字符"/>
    <w:basedOn w:val="42"/>
    <w:qFormat/>
    <w:uiPriority w:val="0"/>
    <w:pPr>
      <w:spacing w:after="0" w:line="420" w:lineRule="exact"/>
      <w:ind w:firstLine="200" w:firstLineChars="200"/>
      <w:jc w:val="left"/>
    </w:pPr>
    <w:rPr>
      <w:rFonts w:ascii="Times New Roman" w:hAnsi="Times New Roman" w:eastAsia="宋体" w:cs="宋体"/>
      <w:kern w:val="0"/>
      <w:sz w:val="24"/>
      <w:szCs w:val="20"/>
    </w:rPr>
  </w:style>
  <w:style w:type="paragraph" w:customStyle="1" w:styleId="170">
    <w:name w:val="样式 正文首行缩进 + 黑色"/>
    <w:basedOn w:val="42"/>
    <w:qFormat/>
    <w:uiPriority w:val="0"/>
    <w:pPr>
      <w:spacing w:after="0" w:line="420" w:lineRule="exact"/>
      <w:ind w:firstLine="200" w:firstLineChars="200"/>
      <w:jc w:val="left"/>
    </w:pPr>
    <w:rPr>
      <w:rFonts w:ascii="Times New Roman" w:hAnsi="Times New Roman" w:eastAsia="宋体" w:cs="Times New Roman"/>
      <w:color w:val="000000"/>
      <w:kern w:val="0"/>
      <w:sz w:val="24"/>
      <w:szCs w:val="28"/>
    </w:rPr>
  </w:style>
  <w:style w:type="character" w:customStyle="1" w:styleId="171">
    <w:name w:val="样式 正文首行缩进 + 黑色 Char"/>
    <w:qFormat/>
    <w:uiPriority w:val="0"/>
    <w:rPr>
      <w:rFonts w:ascii="Times New Roman" w:hAnsi="Times New Roman" w:eastAsia="宋体" w:cs="Times New Roman"/>
      <w:color w:val="000000"/>
      <w:kern w:val="2"/>
      <w:sz w:val="24"/>
      <w:szCs w:val="28"/>
      <w:lang w:val="en-US" w:eastAsia="zh-CN" w:bidi="ar-SA"/>
    </w:rPr>
  </w:style>
  <w:style w:type="paragraph" w:customStyle="1" w:styleId="172">
    <w:name w:val="样式 样式 标题 3 + 段前: 1 行 段后: 6 磅 + 段前: 0.1 行 段后: 0.1 行"/>
    <w:basedOn w:val="1"/>
    <w:qFormat/>
    <w:uiPriority w:val="0"/>
    <w:pPr>
      <w:keepNext/>
      <w:keepLines/>
      <w:adjustRightInd w:val="0"/>
      <w:spacing w:before="80" w:beforeLines="80" w:line="360" w:lineRule="auto"/>
      <w:textAlignment w:val="baseline"/>
      <w:outlineLvl w:val="2"/>
    </w:pPr>
    <w:rPr>
      <w:rFonts w:ascii="Times New Roman" w:hAnsi="Times New Roman" w:eastAsia="宋体" w:cs="Times New Roman"/>
      <w:b/>
      <w:bCs/>
      <w:kern w:val="0"/>
      <w:sz w:val="24"/>
      <w:szCs w:val="20"/>
    </w:rPr>
  </w:style>
  <w:style w:type="paragraph" w:customStyle="1" w:styleId="173">
    <w:name w:val="样式 标题 2 + (中文) 宋体 蓝色"/>
    <w:basedOn w:val="3"/>
    <w:qFormat/>
    <w:uiPriority w:val="0"/>
    <w:pPr>
      <w:adjustRightInd w:val="0"/>
      <w:spacing w:before="100" w:beforeAutospacing="1" w:after="0" w:line="360" w:lineRule="auto"/>
      <w:textAlignment w:val="baseline"/>
    </w:pPr>
    <w:rPr>
      <w:rFonts w:ascii="黑体" w:eastAsia="黑体" w:cs="Times New Roman"/>
      <w:sz w:val="30"/>
      <w:szCs w:val="30"/>
    </w:rPr>
  </w:style>
  <w:style w:type="paragraph" w:customStyle="1" w:styleId="174">
    <w:name w:val="表格-01"/>
    <w:basedOn w:val="1"/>
    <w:qFormat/>
    <w:uiPriority w:val="0"/>
    <w:pPr>
      <w:adjustRightInd w:val="0"/>
      <w:spacing w:line="280" w:lineRule="exact"/>
      <w:jc w:val="center"/>
      <w:textAlignment w:val="baseline"/>
    </w:pPr>
    <w:rPr>
      <w:rFonts w:ascii="宋体" w:hAnsi="Times New Roman" w:eastAsia="宋体" w:cs="Times New Roman"/>
      <w:kern w:val="0"/>
      <w:sz w:val="18"/>
      <w:szCs w:val="18"/>
    </w:rPr>
  </w:style>
  <w:style w:type="character" w:customStyle="1" w:styleId="175">
    <w:name w:val="ourfont21"/>
    <w:qFormat/>
    <w:uiPriority w:val="0"/>
    <w:rPr>
      <w:sz w:val="18"/>
      <w:szCs w:val="18"/>
    </w:rPr>
  </w:style>
  <w:style w:type="paragraph" w:customStyle="1" w:styleId="176">
    <w:name w:val="样式 标题 2 + 段后: 3 行"/>
    <w:basedOn w:val="3"/>
    <w:qFormat/>
    <w:uiPriority w:val="0"/>
    <w:pPr>
      <w:spacing w:before="100" w:beforeLines="100" w:after="60" w:afterLines="100" w:line="400" w:lineRule="exact"/>
    </w:pPr>
    <w:rPr>
      <w:rFonts w:eastAsia="宋体" w:cs="宋体"/>
      <w:sz w:val="30"/>
      <w:szCs w:val="20"/>
    </w:rPr>
  </w:style>
  <w:style w:type="paragraph" w:customStyle="1" w:styleId="177">
    <w:name w:val="3"/>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paragraph" w:customStyle="1" w:styleId="178">
    <w:name w:val="2"/>
    <w:basedOn w:val="1"/>
    <w:next w:val="13"/>
    <w:qFormat/>
    <w:uiPriority w:val="0"/>
    <w:pPr>
      <w:spacing w:line="360" w:lineRule="auto"/>
      <w:ind w:firstLine="561"/>
    </w:pPr>
    <w:rPr>
      <w:rFonts w:ascii="Times New Roman" w:hAnsi="Times New Roman" w:eastAsia="宋体" w:cs="Times New Roman"/>
      <w:color w:val="000000"/>
      <w:kern w:val="0"/>
      <w:sz w:val="24"/>
      <w:szCs w:val="28"/>
    </w:rPr>
  </w:style>
  <w:style w:type="character" w:customStyle="1" w:styleId="179">
    <w:name w:val="样式 宋体 四号 黑色"/>
    <w:qFormat/>
    <w:uiPriority w:val="0"/>
    <w:rPr>
      <w:rFonts w:ascii="宋体" w:hAnsi="宋体"/>
      <w:color w:val="000000"/>
      <w:sz w:val="28"/>
    </w:rPr>
  </w:style>
  <w:style w:type="paragraph" w:customStyle="1" w:styleId="180">
    <w:name w:val="样式1 Char Char"/>
    <w:basedOn w:val="2"/>
    <w:qFormat/>
    <w:uiPriority w:val="0"/>
    <w:pPr>
      <w:tabs>
        <w:tab w:val="left" w:pos="720"/>
      </w:tabs>
      <w:spacing w:before="240" w:after="120" w:line="240" w:lineRule="auto"/>
    </w:pPr>
    <w:rPr>
      <w:rFonts w:eastAsia="黑体" w:cs="Times New Roman"/>
      <w:sz w:val="32"/>
    </w:rPr>
  </w:style>
  <w:style w:type="character" w:customStyle="1" w:styleId="181">
    <w:name w:val="标题 1 Char Char"/>
    <w:qFormat/>
    <w:uiPriority w:val="0"/>
    <w:rPr>
      <w:rFonts w:eastAsia="黑体"/>
      <w:b/>
      <w:bCs/>
      <w:kern w:val="44"/>
      <w:sz w:val="32"/>
      <w:szCs w:val="44"/>
      <w:lang w:val="en-US" w:eastAsia="zh-CN" w:bidi="ar-SA"/>
    </w:rPr>
  </w:style>
  <w:style w:type="character" w:customStyle="1" w:styleId="182">
    <w:name w:val="样式1 Char Char Char"/>
    <w:qFormat/>
    <w:uiPriority w:val="0"/>
    <w:rPr>
      <w:rFonts w:eastAsia="黑体"/>
      <w:b/>
      <w:bCs/>
      <w:kern w:val="44"/>
      <w:sz w:val="32"/>
      <w:szCs w:val="44"/>
      <w:lang w:val="en-US" w:eastAsia="zh-CN" w:bidi="ar-SA"/>
    </w:rPr>
  </w:style>
  <w:style w:type="paragraph" w:customStyle="1" w:styleId="183">
    <w:name w:val="样式 标题 1 + 小三 黑色 Char"/>
    <w:basedOn w:val="2"/>
    <w:uiPriority w:val="0"/>
    <w:pPr>
      <w:tabs>
        <w:tab w:val="left" w:pos="720"/>
      </w:tabs>
      <w:spacing w:before="240" w:after="120" w:line="240" w:lineRule="auto"/>
    </w:pPr>
    <w:rPr>
      <w:rFonts w:eastAsia="黑体" w:cs="Times New Roman"/>
      <w:color w:val="000000"/>
      <w:sz w:val="30"/>
    </w:rPr>
  </w:style>
  <w:style w:type="character" w:customStyle="1" w:styleId="184">
    <w:name w:val="样式 标题 1 + 小三 黑色 Char Char"/>
    <w:qFormat/>
    <w:uiPriority w:val="0"/>
    <w:rPr>
      <w:rFonts w:eastAsia="黑体"/>
      <w:b/>
      <w:bCs/>
      <w:color w:val="000000"/>
      <w:kern w:val="44"/>
      <w:sz w:val="30"/>
      <w:szCs w:val="44"/>
      <w:lang w:val="en-US" w:eastAsia="zh-CN" w:bidi="ar-SA"/>
    </w:rPr>
  </w:style>
  <w:style w:type="paragraph" w:customStyle="1" w:styleId="185">
    <w:name w:val="正文文字-01"/>
    <w:basedOn w:val="1"/>
    <w:qFormat/>
    <w:uiPriority w:val="0"/>
    <w:pPr>
      <w:adjustRightInd w:val="0"/>
      <w:spacing w:line="500" w:lineRule="exact"/>
      <w:ind w:firstLine="454" w:firstLineChars="200"/>
      <w:textAlignment w:val="baseline"/>
    </w:pPr>
    <w:rPr>
      <w:rFonts w:ascii="Times New Roman" w:hAnsi="Times New Roman" w:eastAsia="宋体" w:cs="Times New Roman"/>
      <w:kern w:val="0"/>
      <w:sz w:val="24"/>
      <w:szCs w:val="20"/>
    </w:rPr>
  </w:style>
  <w:style w:type="paragraph" w:customStyle="1" w:styleId="186">
    <w:name w:val="正文2"/>
    <w:basedOn w:val="1"/>
    <w:qFormat/>
    <w:uiPriority w:val="0"/>
    <w:pPr>
      <w:tabs>
        <w:tab w:val="left" w:pos="720"/>
      </w:tabs>
      <w:adjustRightInd w:val="0"/>
      <w:spacing w:line="360" w:lineRule="auto"/>
      <w:ind w:left="720" w:hanging="720" w:firstLineChars="200"/>
      <w:textAlignment w:val="baseline"/>
    </w:pPr>
    <w:rPr>
      <w:rFonts w:ascii="Times New Roman" w:hAnsi="Times New Roman" w:eastAsia="仿宋_GB2312" w:cs="Times New Roman"/>
      <w:kern w:val="0"/>
      <w:sz w:val="28"/>
      <w:szCs w:val="20"/>
    </w:rPr>
  </w:style>
  <w:style w:type="paragraph" w:customStyle="1" w:styleId="187">
    <w:name w:val="样式3 Char Char"/>
    <w:basedOn w:val="180"/>
    <w:uiPriority w:val="0"/>
    <w:pPr>
      <w:keepNext w:val="0"/>
      <w:keepLines w:val="0"/>
      <w:tabs>
        <w:tab w:val="clear" w:pos="720"/>
      </w:tabs>
      <w:adjustRightInd w:val="0"/>
      <w:snapToGrid w:val="0"/>
      <w:spacing w:before="0" w:after="0"/>
      <w:jc w:val="center"/>
      <w:outlineLvl w:val="9"/>
    </w:pPr>
    <w:rPr>
      <w:sz w:val="18"/>
    </w:rPr>
  </w:style>
  <w:style w:type="character" w:customStyle="1" w:styleId="188">
    <w:name w:val="样式3 Char Char Char"/>
    <w:qFormat/>
    <w:uiPriority w:val="0"/>
    <w:rPr>
      <w:rFonts w:eastAsia="黑体"/>
      <w:b/>
      <w:bCs/>
      <w:kern w:val="44"/>
      <w:sz w:val="18"/>
      <w:szCs w:val="44"/>
      <w:lang w:val="en-US" w:eastAsia="zh-CN" w:bidi="ar-SA"/>
    </w:rPr>
  </w:style>
  <w:style w:type="paragraph" w:customStyle="1" w:styleId="189">
    <w:name w:val="样式3"/>
    <w:basedOn w:val="144"/>
    <w:qFormat/>
    <w:uiPriority w:val="0"/>
    <w:pPr>
      <w:keepNext w:val="0"/>
      <w:keepLines w:val="0"/>
      <w:widowControl w:val="0"/>
      <w:tabs>
        <w:tab w:val="clear" w:pos="432"/>
      </w:tabs>
      <w:adjustRightInd w:val="0"/>
      <w:snapToGrid w:val="0"/>
      <w:spacing w:before="0" w:after="0" w:line="240" w:lineRule="auto"/>
      <w:ind w:left="0" w:firstLine="0" w:firstLineChars="0"/>
      <w:jc w:val="center"/>
      <w:outlineLvl w:val="9"/>
    </w:pPr>
    <w:rPr>
      <w:rFonts w:ascii="Times New Roman" w:hAnsi="Times New Roman"/>
      <w:bCs/>
      <w:sz w:val="18"/>
      <w:lang w:bidi="ar-SA"/>
    </w:rPr>
  </w:style>
  <w:style w:type="character" w:customStyle="1" w:styleId="190">
    <w:name w:val="表头 Char"/>
    <w:qFormat/>
    <w:uiPriority w:val="0"/>
    <w:rPr>
      <w:rFonts w:eastAsia="宋体"/>
      <w:b/>
      <w:kern w:val="2"/>
      <w:sz w:val="24"/>
      <w:szCs w:val="24"/>
      <w:lang w:val="en-US" w:eastAsia="zh-CN" w:bidi="ar-SA"/>
    </w:rPr>
  </w:style>
  <w:style w:type="paragraph" w:customStyle="1" w:styleId="191">
    <w:name w:val="样式 表格2 + 宋体 五号"/>
    <w:basedOn w:val="153"/>
    <w:uiPriority w:val="0"/>
    <w:rPr>
      <w:spacing w:val="1"/>
      <w:sz w:val="21"/>
      <w:szCs w:val="21"/>
    </w:rPr>
  </w:style>
  <w:style w:type="character" w:customStyle="1" w:styleId="192">
    <w:name w:val="表格2 Char"/>
    <w:qFormat/>
    <w:uiPriority w:val="0"/>
    <w:rPr>
      <w:rFonts w:ascii="仿宋_GB2312" w:hAnsi="Times New Roman" w:eastAsia="宋体" w:cs="Times New Roman"/>
      <w:kern w:val="2"/>
      <w:sz w:val="24"/>
      <w:szCs w:val="24"/>
      <w:lang w:val="en-US" w:eastAsia="zh-CN" w:bidi="ar-SA"/>
    </w:rPr>
  </w:style>
  <w:style w:type="character" w:customStyle="1" w:styleId="193">
    <w:name w:val="样式 表格2 + 宋体 五号 Char"/>
    <w:qFormat/>
    <w:uiPriority w:val="0"/>
    <w:rPr>
      <w:rFonts w:ascii="仿宋_GB2312" w:hAnsi="Times New Roman" w:eastAsia="宋体" w:cs="Times New Roman"/>
      <w:spacing w:val="1"/>
      <w:kern w:val="2"/>
      <w:sz w:val="21"/>
      <w:szCs w:val="21"/>
      <w:lang w:val="en-US" w:eastAsia="zh-CN" w:bidi="ar-SA"/>
    </w:rPr>
  </w:style>
  <w:style w:type="paragraph" w:customStyle="1" w:styleId="194">
    <w:name w:val="报告正文"/>
    <w:basedOn w:val="1"/>
    <w:link w:val="195"/>
    <w:qFormat/>
    <w:uiPriority w:val="0"/>
    <w:pPr>
      <w:spacing w:line="360" w:lineRule="auto"/>
      <w:ind w:firstLine="200" w:firstLineChars="200"/>
    </w:pPr>
    <w:rPr>
      <w:rFonts w:ascii="宋体" w:hAnsi="宋体" w:eastAsia="宋体" w:cs="仿宋_GB2312"/>
      <w:kern w:val="0"/>
      <w:sz w:val="24"/>
      <w:szCs w:val="24"/>
    </w:rPr>
  </w:style>
  <w:style w:type="character" w:customStyle="1" w:styleId="195">
    <w:name w:val="报告正文 Char"/>
    <w:link w:val="194"/>
    <w:qFormat/>
    <w:uiPriority w:val="0"/>
    <w:rPr>
      <w:rFonts w:ascii="宋体" w:hAnsi="宋体" w:eastAsia="宋体" w:cs="仿宋_GB2312"/>
      <w:kern w:val="0"/>
      <w:sz w:val="24"/>
      <w:szCs w:val="24"/>
    </w:rPr>
  </w:style>
  <w:style w:type="paragraph" w:customStyle="1" w:styleId="196">
    <w:name w:val="PLOT"/>
    <w:basedOn w:val="1"/>
    <w:link w:val="197"/>
    <w:qFormat/>
    <w:uiPriority w:val="0"/>
    <w:pPr>
      <w:spacing w:line="360" w:lineRule="auto"/>
      <w:jc w:val="center"/>
    </w:pPr>
    <w:rPr>
      <w:rFonts w:ascii="宋体" w:hAnsi="宋体" w:eastAsia="宋体" w:cs="仿宋_GB2312"/>
      <w:b/>
      <w:kern w:val="0"/>
      <w:sz w:val="28"/>
      <w:szCs w:val="24"/>
    </w:rPr>
  </w:style>
  <w:style w:type="character" w:customStyle="1" w:styleId="197">
    <w:name w:val="PLOT Char"/>
    <w:link w:val="196"/>
    <w:qFormat/>
    <w:uiPriority w:val="0"/>
    <w:rPr>
      <w:rFonts w:ascii="宋体" w:hAnsi="宋体" w:eastAsia="宋体" w:cs="仿宋_GB2312"/>
      <w:b/>
      <w:kern w:val="0"/>
      <w:sz w:val="28"/>
      <w:szCs w:val="24"/>
    </w:rPr>
  </w:style>
  <w:style w:type="paragraph" w:customStyle="1" w:styleId="198">
    <w:name w:val="节1.2"/>
    <w:basedOn w:val="1"/>
    <w:qFormat/>
    <w:uiPriority w:val="0"/>
    <w:pPr>
      <w:autoSpaceDE w:val="0"/>
      <w:autoSpaceDN w:val="0"/>
      <w:adjustRightInd w:val="0"/>
      <w:spacing w:line="360" w:lineRule="auto"/>
      <w:outlineLvl w:val="1"/>
    </w:pPr>
    <w:rPr>
      <w:rFonts w:ascii="宋体" w:hAnsi="宋体" w:eastAsia="宋体" w:cs="仿宋_GB2312"/>
      <w:b/>
      <w:kern w:val="0"/>
      <w:sz w:val="24"/>
      <w:szCs w:val="24"/>
    </w:rPr>
  </w:style>
  <w:style w:type="paragraph" w:customStyle="1" w:styleId="199">
    <w:name w:val="TableHead"/>
    <w:basedOn w:val="19"/>
    <w:link w:val="200"/>
    <w:qFormat/>
    <w:uiPriority w:val="0"/>
    <w:pPr>
      <w:spacing w:after="0"/>
      <w:jc w:val="center"/>
    </w:pPr>
    <w:rPr>
      <w:rFonts w:ascii="宋体" w:hAnsi="宋体" w:cs="楷体_GB2312"/>
      <w:b/>
      <w:bCs/>
      <w:sz w:val="21"/>
    </w:rPr>
  </w:style>
  <w:style w:type="character" w:customStyle="1" w:styleId="200">
    <w:name w:val="TableHead Char"/>
    <w:link w:val="199"/>
    <w:uiPriority w:val="0"/>
    <w:rPr>
      <w:rFonts w:ascii="宋体" w:hAnsi="宋体" w:eastAsia="宋体" w:cs="楷体_GB2312"/>
      <w:b/>
      <w:bCs/>
      <w:kern w:val="0"/>
      <w:szCs w:val="24"/>
    </w:rPr>
  </w:style>
  <w:style w:type="paragraph" w:customStyle="1" w:styleId="201">
    <w:name w:val="节1.2.3"/>
    <w:basedOn w:val="1"/>
    <w:qFormat/>
    <w:uiPriority w:val="0"/>
    <w:pPr>
      <w:autoSpaceDE w:val="0"/>
      <w:autoSpaceDN w:val="0"/>
      <w:adjustRightInd w:val="0"/>
      <w:spacing w:line="360" w:lineRule="auto"/>
      <w:outlineLvl w:val="2"/>
    </w:pPr>
    <w:rPr>
      <w:rFonts w:ascii="宋体" w:hAnsi="宋体" w:eastAsia="宋体" w:cs="仿宋_GB2312"/>
      <w:b/>
      <w:kern w:val="0"/>
      <w:sz w:val="24"/>
      <w:szCs w:val="24"/>
    </w:rPr>
  </w:style>
  <w:style w:type="paragraph" w:customStyle="1" w:styleId="202">
    <w:name w:val="Decimal Aligned"/>
    <w:basedOn w:val="1"/>
    <w:qFormat/>
    <w:uiPriority w:val="0"/>
    <w:pPr>
      <w:widowControl/>
      <w:tabs>
        <w:tab w:val="decimal" w:pos="360"/>
      </w:tabs>
      <w:spacing w:after="200" w:line="276" w:lineRule="auto"/>
      <w:jc w:val="left"/>
    </w:pPr>
    <w:rPr>
      <w:rFonts w:ascii="Calibri" w:hAnsi="Calibri" w:eastAsia="宋体" w:cs="Times New Roman"/>
      <w:kern w:val="0"/>
      <w:sz w:val="22"/>
      <w:szCs w:val="28"/>
    </w:rPr>
  </w:style>
  <w:style w:type="character" w:customStyle="1" w:styleId="203">
    <w:name w:val="脚注文本 字符"/>
    <w:basedOn w:val="46"/>
    <w:semiHidden/>
    <w:qFormat/>
    <w:uiPriority w:val="99"/>
    <w:rPr>
      <w:sz w:val="18"/>
      <w:szCs w:val="18"/>
    </w:rPr>
  </w:style>
  <w:style w:type="character" w:customStyle="1" w:styleId="204">
    <w:name w:val="脚注文本 Char1"/>
    <w:link w:val="33"/>
    <w:uiPriority w:val="0"/>
    <w:rPr>
      <w:rFonts w:ascii="Calibri" w:hAnsi="Calibri" w:eastAsia="宋体" w:cs="Times New Roman"/>
      <w:kern w:val="0"/>
      <w:sz w:val="20"/>
      <w:szCs w:val="20"/>
    </w:rPr>
  </w:style>
  <w:style w:type="paragraph" w:customStyle="1" w:styleId="205">
    <w:name w:val="普通文字"/>
    <w:basedOn w:val="1"/>
    <w:qFormat/>
    <w:uiPriority w:val="0"/>
    <w:rPr>
      <w:rFonts w:ascii="宋体" w:hAnsi="Courier New" w:eastAsia="宋体" w:cs="宋体"/>
      <w:kern w:val="0"/>
      <w:sz w:val="28"/>
      <w:szCs w:val="28"/>
    </w:rPr>
  </w:style>
  <w:style w:type="paragraph" w:customStyle="1" w:styleId="206">
    <w:name w:val="copyright"/>
    <w:basedOn w:val="1"/>
    <w:qFormat/>
    <w:uiPriority w:val="0"/>
    <w:pPr>
      <w:widowControl/>
      <w:spacing w:before="100" w:beforeAutospacing="1" w:after="100" w:afterAutospacing="1" w:line="360" w:lineRule="auto"/>
      <w:jc w:val="left"/>
    </w:pPr>
    <w:rPr>
      <w:rFonts w:ascii="仿宋_GB2312" w:hAnsi="Times New Roman" w:eastAsia="宋体" w:cs="Times New Roman"/>
      <w:color w:val="000000"/>
      <w:kern w:val="0"/>
      <w:sz w:val="24"/>
      <w:szCs w:val="24"/>
    </w:rPr>
  </w:style>
  <w:style w:type="character" w:customStyle="1" w:styleId="207">
    <w:name w:val="copyright1"/>
    <w:qFormat/>
    <w:uiPriority w:val="0"/>
    <w:rPr>
      <w:rFonts w:hint="default"/>
      <w:color w:val="000000"/>
    </w:rPr>
  </w:style>
  <w:style w:type="paragraph" w:customStyle="1" w:styleId="208">
    <w:name w:val="表"/>
    <w:basedOn w:val="1"/>
    <w:link w:val="209"/>
    <w:uiPriority w:val="0"/>
    <w:pPr>
      <w:adjustRightInd w:val="0"/>
      <w:spacing w:before="50" w:after="50" w:line="240" w:lineRule="atLeast"/>
      <w:jc w:val="left"/>
      <w:textAlignment w:val="baseline"/>
    </w:pPr>
    <w:rPr>
      <w:rFonts w:ascii="Times New Roman" w:hAnsi="Times New Roman" w:eastAsia="宋体" w:cs="Times New Roman"/>
      <w:kern w:val="0"/>
      <w:sz w:val="15"/>
      <w:szCs w:val="24"/>
    </w:rPr>
  </w:style>
  <w:style w:type="character" w:customStyle="1" w:styleId="209">
    <w:name w:val="表 Char"/>
    <w:link w:val="208"/>
    <w:uiPriority w:val="0"/>
    <w:rPr>
      <w:rFonts w:ascii="Times New Roman" w:hAnsi="Times New Roman" w:eastAsia="宋体" w:cs="Times New Roman"/>
      <w:kern w:val="0"/>
      <w:sz w:val="15"/>
      <w:szCs w:val="24"/>
    </w:rPr>
  </w:style>
  <w:style w:type="paragraph" w:customStyle="1" w:styleId="210">
    <w:name w:val="表中文字（小四）"/>
    <w:basedOn w:val="1"/>
    <w:qFormat/>
    <w:uiPriority w:val="0"/>
    <w:pPr>
      <w:jc w:val="center"/>
    </w:pPr>
    <w:rPr>
      <w:rFonts w:ascii="Times New Roman" w:hAnsi="Times New Roman" w:eastAsia="宋体" w:cs="Times New Roman"/>
      <w:kern w:val="0"/>
      <w:sz w:val="24"/>
      <w:szCs w:val="18"/>
    </w:rPr>
  </w:style>
  <w:style w:type="paragraph" w:customStyle="1" w:styleId="211">
    <w:name w:val="表中文字（左对齐）"/>
    <w:basedOn w:val="1"/>
    <w:uiPriority w:val="0"/>
    <w:pPr>
      <w:jc w:val="left"/>
    </w:pPr>
    <w:rPr>
      <w:rFonts w:ascii="Times New Roman" w:hAnsi="Times New Roman" w:eastAsia="宋体" w:cs="Times New Roman"/>
      <w:kern w:val="0"/>
      <w:sz w:val="18"/>
      <w:szCs w:val="18"/>
    </w:rPr>
  </w:style>
  <w:style w:type="character" w:customStyle="1" w:styleId="212">
    <w:name w:val="apple-style-span"/>
    <w:basedOn w:val="46"/>
    <w:qFormat/>
    <w:uiPriority w:val="0"/>
  </w:style>
  <w:style w:type="paragraph" w:customStyle="1" w:styleId="213">
    <w:name w:val="Char Char Char Char Char Char Char Char Char Char Char Char Char Char Char Char Char Char Char Char Char Char Char Char Char"/>
    <w:basedOn w:val="1"/>
    <w:semiHidden/>
    <w:qFormat/>
    <w:uiPriority w:val="0"/>
    <w:rPr>
      <w:rFonts w:ascii="Times New Roman" w:hAnsi="Times New Roman" w:eastAsia="宋体" w:cs="Times New Roman"/>
      <w:kern w:val="0"/>
      <w:sz w:val="28"/>
      <w:szCs w:val="24"/>
    </w:rPr>
  </w:style>
  <w:style w:type="character" w:customStyle="1" w:styleId="214">
    <w:name w:val="批注文字 字符1"/>
    <w:uiPriority w:val="99"/>
    <w:rPr>
      <w:rFonts w:ascii="仿宋_GB2312" w:hAnsi="Times New Roman" w:eastAsia="仿宋_GB2312" w:cs="Times New Roman"/>
      <w:kern w:val="0"/>
      <w:sz w:val="24"/>
      <w:szCs w:val="24"/>
    </w:rPr>
  </w:style>
  <w:style w:type="character" w:customStyle="1" w:styleId="215">
    <w:name w:val="批注主题 字符1"/>
    <w:semiHidden/>
    <w:qFormat/>
    <w:uiPriority w:val="99"/>
    <w:rPr>
      <w:rFonts w:ascii="仿宋_GB2312" w:hAnsi="Times New Roman" w:eastAsia="仿宋_GB2312" w:cs="Times New Roman"/>
      <w:b/>
      <w:bCs/>
      <w:kern w:val="0"/>
      <w:sz w:val="24"/>
      <w:szCs w:val="24"/>
    </w:rPr>
  </w:style>
  <w:style w:type="character" w:styleId="216">
    <w:name w:val="Placeholder Text"/>
    <w:semiHidden/>
    <w:qFormat/>
    <w:uiPriority w:val="99"/>
    <w:rPr>
      <w:color w:val="808080"/>
    </w:rPr>
  </w:style>
  <w:style w:type="table" w:customStyle="1" w:styleId="217">
    <w:name w:val="网格型2"/>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18">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19">
    <w:name w:val="font6"/>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20">
    <w:name w:val="font7"/>
    <w:basedOn w:val="1"/>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1">
    <w:name w:val="font8"/>
    <w:basedOn w:val="1"/>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2">
    <w:name w:val="font9"/>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23">
    <w:name w:val="font10"/>
    <w:basedOn w:val="1"/>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224">
    <w:name w:val="font11"/>
    <w:basedOn w:val="1"/>
    <w:qFormat/>
    <w:uiPriority w:val="0"/>
    <w:pPr>
      <w:widowControl/>
      <w:spacing w:before="100" w:beforeAutospacing="1" w:after="100" w:afterAutospacing="1"/>
      <w:jc w:val="left"/>
    </w:pPr>
    <w:rPr>
      <w:rFonts w:ascii="Times New Roman" w:hAnsi="Times New Roman" w:eastAsia="宋体" w:cs="Times New Roman"/>
      <w:kern w:val="0"/>
      <w:sz w:val="20"/>
      <w:szCs w:val="20"/>
    </w:rPr>
  </w:style>
  <w:style w:type="paragraph" w:customStyle="1" w:styleId="225">
    <w:name w:val="font12"/>
    <w:basedOn w:val="1"/>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226">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7">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8">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2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3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231">
    <w:name w:val="xl7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232">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3">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kern w:val="0"/>
      <w:sz w:val="20"/>
      <w:szCs w:val="20"/>
    </w:rPr>
  </w:style>
  <w:style w:type="paragraph" w:customStyle="1" w:styleId="234">
    <w:name w:val="xl73"/>
    <w:basedOn w:val="1"/>
    <w:uiPriority w:val="0"/>
    <w:pPr>
      <w:widowControl/>
      <w:shd w:val="clear" w:color="000000" w:fill="FFFFFF"/>
      <w:spacing w:before="100" w:beforeAutospacing="1" w:after="100" w:afterAutospacing="1"/>
      <w:jc w:val="center"/>
    </w:pPr>
    <w:rPr>
      <w:rFonts w:ascii="Times New Roman" w:hAnsi="Times New Roman" w:eastAsia="宋体" w:cs="Times New Roman"/>
      <w:kern w:val="0"/>
      <w:sz w:val="24"/>
      <w:szCs w:val="24"/>
    </w:rPr>
  </w:style>
  <w:style w:type="paragraph" w:customStyle="1" w:styleId="235">
    <w:name w:val="xl7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6">
    <w:name w:val="xl7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37">
    <w:name w:val="xl76"/>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0000"/>
      <w:kern w:val="0"/>
      <w:sz w:val="20"/>
      <w:szCs w:val="20"/>
    </w:rPr>
  </w:style>
  <w:style w:type="paragraph" w:customStyle="1" w:styleId="238">
    <w:name w:val="xl77"/>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39">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0"/>
      <w:szCs w:val="20"/>
    </w:rPr>
  </w:style>
  <w:style w:type="paragraph" w:customStyle="1" w:styleId="240">
    <w:name w:val="xl7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FF0000"/>
      <w:kern w:val="0"/>
      <w:sz w:val="20"/>
      <w:szCs w:val="20"/>
    </w:rPr>
  </w:style>
  <w:style w:type="paragraph" w:customStyle="1" w:styleId="241">
    <w:name w:val="xl8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Times New Roman" w:hAnsi="Times New Roman" w:eastAsia="宋体" w:cs="Times New Roman"/>
      <w:color w:val="FF0000"/>
      <w:kern w:val="0"/>
      <w:sz w:val="20"/>
      <w:szCs w:val="20"/>
    </w:rPr>
  </w:style>
  <w:style w:type="table" w:customStyle="1" w:styleId="242">
    <w:name w:val="网格型1"/>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43">
    <w:name w:val="xl10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4">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45">
    <w:name w:val="xl10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46">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47">
    <w:name w:val="xl111"/>
    <w:basedOn w:val="1"/>
    <w:qFormat/>
    <w:uiPriority w:val="0"/>
    <w:pPr>
      <w:widowControl/>
      <w:spacing w:before="100" w:beforeAutospacing="1" w:after="100" w:afterAutospacing="1"/>
      <w:jc w:val="left"/>
    </w:pPr>
    <w:rPr>
      <w:rFonts w:ascii="宋体" w:hAnsi="宋体" w:eastAsia="宋体" w:cs="宋体"/>
      <w:b/>
      <w:bCs/>
      <w:kern w:val="0"/>
      <w:sz w:val="24"/>
      <w:szCs w:val="24"/>
    </w:rPr>
  </w:style>
  <w:style w:type="paragraph" w:customStyle="1" w:styleId="248">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49">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kern w:val="0"/>
      <w:sz w:val="24"/>
      <w:szCs w:val="24"/>
    </w:rPr>
  </w:style>
  <w:style w:type="paragraph" w:customStyle="1" w:styleId="250">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1">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2">
    <w:name w:val="xl11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3">
    <w:name w:val="xl11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4">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5">
    <w:name w:val="xl11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8">
    <w:name w:val="xl12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59">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60">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4"/>
      <w:szCs w:val="24"/>
    </w:rPr>
  </w:style>
  <w:style w:type="paragraph" w:customStyle="1" w:styleId="261">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2">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3">
    <w:name w:val="xl12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6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5">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6">
    <w:name w:val="xl1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267">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68">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69">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70">
    <w:name w:val="xl134"/>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1">
    <w:name w:val="xl135"/>
    <w:basedOn w:val="1"/>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2">
    <w:name w:val="xl13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73">
    <w:name w:val="xl6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27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75">
    <w:name w:val="HTML Top of Form"/>
    <w:basedOn w:val="1"/>
    <w:next w:val="1"/>
    <w:link w:val="277"/>
    <w:semiHidden/>
    <w:unhideWhenUsed/>
    <w:qFormat/>
    <w:uiPriority w:val="99"/>
    <w:pPr>
      <w:widowControl/>
      <w:pBdr>
        <w:bottom w:val="single" w:color="auto" w:sz="6" w:space="1"/>
      </w:pBdr>
      <w:jc w:val="center"/>
    </w:pPr>
    <w:rPr>
      <w:rFonts w:ascii="Arial" w:hAnsi="Arial" w:eastAsia="宋体" w:cs="Arial"/>
      <w:vanish/>
      <w:kern w:val="0"/>
      <w:sz w:val="16"/>
      <w:szCs w:val="16"/>
    </w:rPr>
  </w:style>
  <w:style w:type="character" w:customStyle="1" w:styleId="276">
    <w:name w:val="z-窗体顶端 字符"/>
    <w:basedOn w:val="46"/>
    <w:semiHidden/>
    <w:uiPriority w:val="99"/>
    <w:rPr>
      <w:rFonts w:ascii="Arial" w:hAnsi="Arial" w:cs="Arial"/>
      <w:vanish/>
      <w:sz w:val="16"/>
      <w:szCs w:val="16"/>
    </w:rPr>
  </w:style>
  <w:style w:type="character" w:customStyle="1" w:styleId="277">
    <w:name w:val="z-窗体顶端 Char1"/>
    <w:link w:val="275"/>
    <w:semiHidden/>
    <w:qFormat/>
    <w:uiPriority w:val="99"/>
    <w:rPr>
      <w:rFonts w:ascii="Arial" w:hAnsi="Arial" w:eastAsia="宋体" w:cs="Arial"/>
      <w:vanish/>
      <w:kern w:val="0"/>
      <w:sz w:val="16"/>
      <w:szCs w:val="16"/>
    </w:rPr>
  </w:style>
  <w:style w:type="paragraph" w:customStyle="1" w:styleId="278">
    <w:name w:val="HTML Bottom of Form"/>
    <w:basedOn w:val="1"/>
    <w:next w:val="1"/>
    <w:link w:val="280"/>
    <w:unhideWhenUsed/>
    <w:qFormat/>
    <w:uiPriority w:val="99"/>
    <w:pPr>
      <w:widowControl/>
      <w:pBdr>
        <w:top w:val="single" w:color="auto" w:sz="6" w:space="1"/>
      </w:pBdr>
      <w:jc w:val="center"/>
    </w:pPr>
    <w:rPr>
      <w:rFonts w:ascii="Arial" w:hAnsi="Arial" w:eastAsia="宋体" w:cs="Arial"/>
      <w:vanish/>
      <w:kern w:val="0"/>
      <w:sz w:val="16"/>
      <w:szCs w:val="16"/>
    </w:rPr>
  </w:style>
  <w:style w:type="character" w:customStyle="1" w:styleId="279">
    <w:name w:val="z-窗体底端 字符"/>
    <w:basedOn w:val="46"/>
    <w:semiHidden/>
    <w:qFormat/>
    <w:uiPriority w:val="99"/>
    <w:rPr>
      <w:rFonts w:ascii="Arial" w:hAnsi="Arial" w:cs="Arial"/>
      <w:vanish/>
      <w:sz w:val="16"/>
      <w:szCs w:val="16"/>
    </w:rPr>
  </w:style>
  <w:style w:type="character" w:customStyle="1" w:styleId="280">
    <w:name w:val="z-窗体底端 Char1"/>
    <w:link w:val="278"/>
    <w:qFormat/>
    <w:uiPriority w:val="99"/>
    <w:rPr>
      <w:rFonts w:ascii="Arial" w:hAnsi="Arial" w:eastAsia="宋体" w:cs="Arial"/>
      <w:vanish/>
      <w:kern w:val="0"/>
      <w:sz w:val="16"/>
      <w:szCs w:val="16"/>
    </w:rPr>
  </w:style>
  <w:style w:type="paragraph" w:customStyle="1" w:styleId="28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2">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3">
    <w:name w:val="xl83"/>
    <w:basedOn w:val="1"/>
    <w:uiPriority w:val="0"/>
    <w:pPr>
      <w:widowControl/>
      <w:pBdr>
        <w:top w:val="single" w:color="auto" w:sz="4" w:space="0"/>
        <w:left w:val="single" w:color="auto" w:sz="4" w:space="0"/>
        <w:bottom w:val="single" w:color="auto" w:sz="4" w:space="0"/>
        <w:right w:val="double" w:color="auto" w:sz="6"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4">
    <w:name w:val="xl84"/>
    <w:basedOn w:val="1"/>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6">
    <w:name w:val="xl8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87">
    <w:name w:val="xl87"/>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8">
    <w:name w:val="xl8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89">
    <w:name w:val="xl8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0">
    <w:name w:val="xl9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 w:val="24"/>
      <w:szCs w:val="24"/>
    </w:rPr>
  </w:style>
  <w:style w:type="paragraph" w:customStyle="1" w:styleId="29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3">
    <w:name w:val="xl93"/>
    <w:basedOn w:val="1"/>
    <w:qFormat/>
    <w:uiPriority w:val="0"/>
    <w:pPr>
      <w:widowControl/>
      <w:pBdr>
        <w:top w:val="single" w:color="auto" w:sz="4" w:space="0"/>
        <w:left w:val="single" w:color="auto" w:sz="4" w:space="0"/>
        <w:bottom w:val="single" w:color="auto" w:sz="4" w:space="0"/>
        <w:right w:val="double" w:color="auto" w:sz="6"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94">
    <w:name w:val="xl9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5">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7">
    <w:name w:val="xl9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8">
    <w:name w:val="xl9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299">
    <w:name w:val="xl9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0">
    <w:name w:val="xl10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1">
    <w:name w:val="xl101"/>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2">
    <w:name w:val="xl102"/>
    <w:basedOn w:val="1"/>
    <w:qFormat/>
    <w:uiPriority w:val="0"/>
    <w:pPr>
      <w:widowControl/>
      <w:pBdr>
        <w:top w:val="single" w:color="auto" w:sz="4"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03">
    <w:name w:val="xl103"/>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04">
    <w:name w:val="xl104"/>
    <w:basedOn w:val="1"/>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5">
    <w:name w:val="xl105"/>
    <w:basedOn w:val="1"/>
    <w:qFormat/>
    <w:uiPriority w:val="0"/>
    <w:pPr>
      <w:widowControl/>
      <w:pBdr>
        <w:top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6">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07">
    <w:name w:val="xl137"/>
    <w:basedOn w:val="1"/>
    <w:qFormat/>
    <w:uiPriority w:val="0"/>
    <w:pPr>
      <w:widowControl/>
      <w:pBdr>
        <w:top w:val="double" w:color="auto" w:sz="6"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Times New Roman" w:hAnsi="Times New Roman" w:eastAsia="宋体" w:cs="Times New Roman"/>
      <w:color w:val="00B050"/>
      <w:kern w:val="0"/>
      <w:sz w:val="24"/>
      <w:szCs w:val="24"/>
    </w:rPr>
  </w:style>
  <w:style w:type="paragraph" w:customStyle="1" w:styleId="308">
    <w:name w:val="xl138"/>
    <w:basedOn w:val="1"/>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eastAsia="宋体" w:cs="宋体"/>
      <w:color w:val="00B050"/>
      <w:kern w:val="0"/>
      <w:sz w:val="24"/>
      <w:szCs w:val="24"/>
    </w:rPr>
  </w:style>
  <w:style w:type="paragraph" w:customStyle="1" w:styleId="309">
    <w:name w:val="xl13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color w:val="00B050"/>
      <w:kern w:val="0"/>
      <w:sz w:val="24"/>
      <w:szCs w:val="24"/>
    </w:rPr>
  </w:style>
  <w:style w:type="paragraph" w:customStyle="1" w:styleId="310">
    <w:name w:val="xl140"/>
    <w:basedOn w:val="1"/>
    <w:qFormat/>
    <w:uiPriority w:val="0"/>
    <w:pPr>
      <w:widowControl/>
      <w:pBdr>
        <w:top w:val="double" w:color="auto" w:sz="6" w:space="0"/>
        <w:left w:val="double" w:color="auto" w:sz="6"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11">
    <w:name w:val="xl141"/>
    <w:basedOn w:val="1"/>
    <w:qFormat/>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312">
    <w:name w:val="xl142"/>
    <w:basedOn w:val="1"/>
    <w:qFormat/>
    <w:uiPriority w:val="0"/>
    <w:pPr>
      <w:widowControl/>
      <w:pBdr>
        <w:top w:val="double" w:color="auto" w:sz="6"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Times New Roman" w:hAnsi="Times New Roman" w:eastAsia="宋体" w:cs="Times New Roman"/>
      <w:color w:val="008000"/>
      <w:kern w:val="0"/>
      <w:sz w:val="24"/>
      <w:szCs w:val="24"/>
    </w:rPr>
  </w:style>
  <w:style w:type="paragraph" w:customStyle="1" w:styleId="313">
    <w:name w:val="font13"/>
    <w:basedOn w:val="1"/>
    <w:qFormat/>
    <w:uiPriority w:val="0"/>
    <w:pPr>
      <w:widowControl/>
      <w:spacing w:before="100" w:beforeAutospacing="1" w:after="100" w:afterAutospacing="1"/>
      <w:jc w:val="left"/>
    </w:pPr>
    <w:rPr>
      <w:rFonts w:ascii="宋体" w:hAnsi="宋体" w:eastAsia="宋体" w:cs="宋体"/>
      <w:b/>
      <w:bCs/>
      <w:kern w:val="0"/>
      <w:sz w:val="22"/>
      <w:szCs w:val="28"/>
    </w:rPr>
  </w:style>
  <w:style w:type="paragraph" w:customStyle="1" w:styleId="314">
    <w:name w:val="font14"/>
    <w:basedOn w:val="1"/>
    <w:qFormat/>
    <w:uiPriority w:val="0"/>
    <w:pPr>
      <w:widowControl/>
      <w:spacing w:before="100" w:beforeAutospacing="1" w:after="100" w:afterAutospacing="1"/>
      <w:jc w:val="left"/>
    </w:pPr>
    <w:rPr>
      <w:rFonts w:ascii="宋体" w:hAnsi="宋体" w:eastAsia="宋体" w:cs="宋体"/>
      <w:kern w:val="0"/>
      <w:sz w:val="22"/>
      <w:szCs w:val="28"/>
    </w:rPr>
  </w:style>
  <w:style w:type="character" w:customStyle="1" w:styleId="315">
    <w:name w:val="正文首行缩进 Char2"/>
    <w:basedOn w:val="127"/>
    <w:link w:val="42"/>
    <w:semiHidden/>
    <w:uiPriority w:val="99"/>
  </w:style>
  <w:style w:type="character" w:customStyle="1" w:styleId="316">
    <w:name w:val="正文首行缩进 2 Char1"/>
    <w:basedOn w:val="98"/>
    <w:link w:val="43"/>
    <w:semiHidden/>
    <w:uiPriority w:val="99"/>
  </w:style>
  <w:style w:type="character" w:customStyle="1" w:styleId="317">
    <w:name w:val="标题 5 Char"/>
    <w:qFormat/>
    <w:uiPriority w:val="0"/>
    <w:rPr>
      <w:rFonts w:ascii="Calibri" w:hAnsi="Calibri" w:eastAsia="宋体" w:cs="Times New Roman"/>
      <w:b/>
      <w:bCs/>
      <w:i/>
      <w:iCs/>
      <w:kern w:val="0"/>
      <w:sz w:val="26"/>
      <w:szCs w:val="26"/>
      <w:lang w:bidi="en-US"/>
    </w:rPr>
  </w:style>
  <w:style w:type="character" w:customStyle="1" w:styleId="318">
    <w:name w:val="标题 6 Char"/>
    <w:qFormat/>
    <w:uiPriority w:val="0"/>
    <w:rPr>
      <w:rFonts w:ascii="Calibri" w:hAnsi="Calibri" w:eastAsia="宋体" w:cs="Times New Roman"/>
      <w:b/>
      <w:bCs/>
      <w:kern w:val="0"/>
      <w:sz w:val="22"/>
      <w:lang w:bidi="en-US"/>
    </w:rPr>
  </w:style>
  <w:style w:type="character" w:customStyle="1" w:styleId="319">
    <w:name w:val="标题 7 Char"/>
    <w:uiPriority w:val="0"/>
    <w:rPr>
      <w:rFonts w:ascii="Calibri" w:hAnsi="Calibri" w:eastAsia="宋体" w:cs="Times New Roman"/>
      <w:kern w:val="0"/>
      <w:sz w:val="24"/>
      <w:szCs w:val="24"/>
      <w:lang w:bidi="en-US"/>
    </w:rPr>
  </w:style>
  <w:style w:type="character" w:customStyle="1" w:styleId="320">
    <w:name w:val="标题 8 Char"/>
    <w:qFormat/>
    <w:uiPriority w:val="0"/>
    <w:rPr>
      <w:rFonts w:ascii="Calibri" w:hAnsi="Calibri" w:eastAsia="宋体" w:cs="Times New Roman"/>
      <w:i/>
      <w:iCs/>
      <w:kern w:val="0"/>
      <w:sz w:val="24"/>
      <w:szCs w:val="24"/>
      <w:lang w:bidi="en-US"/>
    </w:rPr>
  </w:style>
  <w:style w:type="character" w:customStyle="1" w:styleId="321">
    <w:name w:val="标题 9 Char"/>
    <w:qFormat/>
    <w:uiPriority w:val="0"/>
    <w:rPr>
      <w:rFonts w:ascii="Cambria" w:hAnsi="Cambria" w:eastAsia="宋体" w:cs="Times New Roman"/>
      <w:kern w:val="0"/>
      <w:sz w:val="22"/>
      <w:lang w:bidi="en-US"/>
    </w:rPr>
  </w:style>
  <w:style w:type="character" w:customStyle="1" w:styleId="322">
    <w:name w:val="文档结构图 Char"/>
    <w:semiHidden/>
    <w:qFormat/>
    <w:uiPriority w:val="0"/>
    <w:rPr>
      <w:rFonts w:ascii="仿宋_GB2312" w:hAnsi="Times New Roman" w:eastAsia="仿宋_GB2312" w:cs="Times New Roman"/>
      <w:kern w:val="0"/>
      <w:sz w:val="24"/>
      <w:szCs w:val="24"/>
      <w:shd w:val="clear" w:color="auto" w:fill="000080"/>
    </w:rPr>
  </w:style>
  <w:style w:type="character" w:customStyle="1" w:styleId="323">
    <w:name w:val="正文文本缩进 Char1"/>
    <w:qFormat/>
    <w:uiPriority w:val="0"/>
    <w:rPr>
      <w:rFonts w:ascii="宋体" w:hAnsi="宋体" w:eastAsia="宋体" w:cs="Times New Roman"/>
      <w:sz w:val="24"/>
      <w:szCs w:val="24"/>
    </w:rPr>
  </w:style>
  <w:style w:type="character" w:customStyle="1" w:styleId="324">
    <w:name w:val="标题 Char"/>
    <w:qFormat/>
    <w:uiPriority w:val="0"/>
    <w:rPr>
      <w:rFonts w:ascii="Cambria" w:hAnsi="Cambria" w:eastAsia="宋体" w:cs="Times New Roman"/>
      <w:b/>
      <w:bCs/>
      <w:kern w:val="28"/>
      <w:sz w:val="32"/>
      <w:szCs w:val="32"/>
      <w:lang w:bidi="en-US"/>
    </w:rPr>
  </w:style>
  <w:style w:type="character" w:customStyle="1" w:styleId="325">
    <w:name w:val="副标题 Char"/>
    <w:qFormat/>
    <w:uiPriority w:val="0"/>
    <w:rPr>
      <w:rFonts w:ascii="Cambria" w:hAnsi="Cambria" w:eastAsia="宋体" w:cs="Times New Roman"/>
      <w:kern w:val="0"/>
      <w:sz w:val="24"/>
      <w:szCs w:val="24"/>
      <w:lang w:bidi="en-US"/>
    </w:rPr>
  </w:style>
  <w:style w:type="character" w:customStyle="1" w:styleId="326">
    <w:name w:val="无间隔 Char"/>
    <w:qFormat/>
    <w:uiPriority w:val="0"/>
    <w:rPr>
      <w:rFonts w:ascii="Calibri" w:hAnsi="Calibri" w:eastAsia="宋体" w:cs="Times New Roman"/>
      <w:kern w:val="0"/>
      <w:sz w:val="24"/>
      <w:szCs w:val="24"/>
      <w:lang w:bidi="en-US"/>
    </w:rPr>
  </w:style>
  <w:style w:type="character" w:customStyle="1" w:styleId="327">
    <w:name w:val="引用 Char"/>
    <w:qFormat/>
    <w:uiPriority w:val="0"/>
    <w:rPr>
      <w:rFonts w:ascii="Calibri" w:hAnsi="Calibri" w:eastAsia="宋体" w:cs="Times New Roman"/>
      <w:i/>
      <w:kern w:val="0"/>
      <w:sz w:val="24"/>
      <w:szCs w:val="24"/>
      <w:lang w:bidi="en-US"/>
    </w:rPr>
  </w:style>
  <w:style w:type="character" w:customStyle="1" w:styleId="328">
    <w:name w:val="明显引用 Char"/>
    <w:qFormat/>
    <w:uiPriority w:val="0"/>
    <w:rPr>
      <w:rFonts w:ascii="Calibri" w:hAnsi="Calibri" w:eastAsia="宋体" w:cs="Times New Roman"/>
      <w:b/>
      <w:i/>
      <w:kern w:val="0"/>
      <w:sz w:val="24"/>
      <w:lang w:bidi="en-US"/>
    </w:rPr>
  </w:style>
  <w:style w:type="character" w:customStyle="1" w:styleId="329">
    <w:name w:val="纯文本 Char"/>
    <w:qFormat/>
    <w:uiPriority w:val="0"/>
    <w:rPr>
      <w:rFonts w:ascii="宋体" w:hAnsi="Courier New" w:eastAsia="宋体" w:cs="Courier New"/>
      <w:sz w:val="28"/>
      <w:szCs w:val="21"/>
    </w:rPr>
  </w:style>
  <w:style w:type="character" w:customStyle="1" w:styleId="330">
    <w:name w:val="正文文本 Char"/>
    <w:qFormat/>
    <w:uiPriority w:val="0"/>
    <w:rPr>
      <w:rFonts w:ascii="Times New Roman" w:hAnsi="Times New Roman" w:eastAsia="宋体" w:cs="Times New Roman"/>
      <w:sz w:val="24"/>
      <w:szCs w:val="24"/>
    </w:rPr>
  </w:style>
  <w:style w:type="character" w:customStyle="1" w:styleId="331">
    <w:name w:val="正文文本 3 Char"/>
    <w:semiHidden/>
    <w:uiPriority w:val="0"/>
    <w:rPr>
      <w:rFonts w:ascii="Calibri" w:hAnsi="Calibri" w:eastAsia="宋体" w:cs="Times New Roman"/>
      <w:kern w:val="0"/>
      <w:sz w:val="16"/>
      <w:szCs w:val="16"/>
      <w:lang w:bidi="en-US"/>
    </w:rPr>
  </w:style>
  <w:style w:type="character" w:customStyle="1" w:styleId="332">
    <w:name w:val="正文文本缩进 3 Char"/>
    <w:semiHidden/>
    <w:uiPriority w:val="0"/>
    <w:rPr>
      <w:rFonts w:ascii="Calibri" w:hAnsi="Calibri" w:eastAsia="宋体" w:cs="Times New Roman"/>
      <w:kern w:val="0"/>
      <w:sz w:val="16"/>
      <w:szCs w:val="16"/>
      <w:lang w:bidi="en-US"/>
    </w:rPr>
  </w:style>
  <w:style w:type="character" w:customStyle="1" w:styleId="333">
    <w:name w:val="正文文本缩进 2 Char"/>
    <w:semiHidden/>
    <w:qFormat/>
    <w:uiPriority w:val="0"/>
    <w:rPr>
      <w:rFonts w:ascii="Times New Roman" w:hAnsi="Times New Roman" w:eastAsia="宋体" w:cs="Times New Roman"/>
      <w:sz w:val="28"/>
      <w:szCs w:val="24"/>
    </w:rPr>
  </w:style>
  <w:style w:type="character" w:customStyle="1" w:styleId="334">
    <w:name w:val="正文文本 2 Char"/>
    <w:semiHidden/>
    <w:uiPriority w:val="0"/>
    <w:rPr>
      <w:rFonts w:ascii="Calibri" w:hAnsi="Calibri" w:eastAsia="宋体" w:cs="Times New Roman"/>
      <w:kern w:val="0"/>
      <w:sz w:val="24"/>
      <w:szCs w:val="24"/>
      <w:lang w:bidi="en-US"/>
    </w:rPr>
  </w:style>
  <w:style w:type="character" w:customStyle="1" w:styleId="335">
    <w:name w:val="注释标题 Char"/>
    <w:semiHidden/>
    <w:qFormat/>
    <w:uiPriority w:val="0"/>
    <w:rPr>
      <w:rFonts w:ascii="Times New Roman" w:hAnsi="Times New Roman" w:eastAsia="宋体" w:cs="Times New Roman"/>
      <w:sz w:val="28"/>
      <w:szCs w:val="24"/>
    </w:rPr>
  </w:style>
  <w:style w:type="character" w:customStyle="1" w:styleId="336">
    <w:name w:val="脚注文本 Char"/>
    <w:qFormat/>
    <w:uiPriority w:val="0"/>
    <w:rPr>
      <w:rFonts w:ascii="Calibri" w:hAnsi="Calibri" w:eastAsia="宋体" w:cs="Times New Roman"/>
      <w:kern w:val="0"/>
      <w:sz w:val="20"/>
      <w:szCs w:val="20"/>
    </w:rPr>
  </w:style>
  <w:style w:type="character" w:customStyle="1" w:styleId="337">
    <w:name w:val="批注文字 Char"/>
    <w:semiHidden/>
    <w:uiPriority w:val="99"/>
    <w:rPr>
      <w:rFonts w:ascii="仿宋_GB2312" w:hAnsi="Times New Roman" w:eastAsia="仿宋_GB2312" w:cs="Times New Roman"/>
      <w:kern w:val="0"/>
      <w:sz w:val="24"/>
      <w:szCs w:val="24"/>
    </w:rPr>
  </w:style>
  <w:style w:type="character" w:customStyle="1" w:styleId="338">
    <w:name w:val="批注主题 Char"/>
    <w:semiHidden/>
    <w:qFormat/>
    <w:uiPriority w:val="99"/>
    <w:rPr>
      <w:rFonts w:ascii="仿宋_GB2312" w:hAnsi="Times New Roman" w:eastAsia="仿宋_GB2312" w:cs="Times New Roman"/>
      <w:b/>
      <w:bCs/>
      <w:kern w:val="0"/>
      <w:sz w:val="24"/>
      <w:szCs w:val="24"/>
    </w:rPr>
  </w:style>
  <w:style w:type="character" w:customStyle="1" w:styleId="339">
    <w:name w:val="z-窗体顶端 Char"/>
    <w:semiHidden/>
    <w:qFormat/>
    <w:uiPriority w:val="99"/>
    <w:rPr>
      <w:rFonts w:ascii="Arial" w:hAnsi="Arial" w:eastAsia="宋体" w:cs="Arial"/>
      <w:vanish/>
      <w:kern w:val="0"/>
      <w:sz w:val="16"/>
      <w:szCs w:val="16"/>
    </w:rPr>
  </w:style>
  <w:style w:type="character" w:customStyle="1" w:styleId="340">
    <w:name w:val="z-窗体底端 Char"/>
    <w:qFormat/>
    <w:uiPriority w:val="99"/>
    <w:rPr>
      <w:rFonts w:ascii="Arial" w:hAnsi="Arial" w:eastAsia="宋体" w:cs="Arial"/>
      <w:vanish/>
      <w:kern w:val="0"/>
      <w:sz w:val="16"/>
      <w:szCs w:val="16"/>
    </w:rPr>
  </w:style>
  <w:style w:type="character" w:customStyle="1" w:styleId="341">
    <w:name w:val="未处理的提及1"/>
    <w:basedOn w:val="46"/>
    <w:semiHidden/>
    <w:unhideWhenUsed/>
    <w:qFormat/>
    <w:uiPriority w:val="99"/>
    <w:rPr>
      <w:color w:val="605E5C"/>
      <w:shd w:val="clear" w:color="auto" w:fill="E1DFDD"/>
    </w:rPr>
  </w:style>
  <w:style w:type="character" w:customStyle="1" w:styleId="342">
    <w:name w:val="未处理的提及2"/>
    <w:basedOn w:val="46"/>
    <w:semiHidden/>
    <w:unhideWhenUsed/>
    <w:qFormat/>
    <w:uiPriority w:val="99"/>
    <w:rPr>
      <w:color w:val="605E5C"/>
      <w:shd w:val="clear" w:color="auto" w:fill="E1DFDD"/>
    </w:rPr>
  </w:style>
  <w:style w:type="paragraph" w:customStyle="1" w:styleId="343">
    <w:name w:val="Char Char Char1"/>
    <w:basedOn w:val="1"/>
    <w:semiHidden/>
    <w:uiPriority w:val="0"/>
    <w:rPr>
      <w:rFonts w:ascii="Times New Roman" w:hAnsi="Times New Roman" w:eastAsia="宋体" w:cs="Times New Roman"/>
      <w:szCs w:val="24"/>
    </w:rPr>
  </w:style>
  <w:style w:type="character" w:customStyle="1" w:styleId="344">
    <w:name w:val="批注文字 字符"/>
    <w:basedOn w:val="46"/>
    <w:uiPriority w:val="99"/>
  </w:style>
  <w:style w:type="character" w:customStyle="1" w:styleId="345">
    <w:name w:val="批注主题 字符"/>
    <w:basedOn w:val="344"/>
    <w:semiHidden/>
    <w:uiPriority w:val="99"/>
    <w:rPr>
      <w:b/>
      <w:bCs/>
    </w:rPr>
  </w:style>
  <w:style w:type="paragraph" w:customStyle="1" w:styleId="346">
    <w:name w:val="4"/>
    <w:basedOn w:val="1"/>
    <w:next w:val="1"/>
    <w:qFormat/>
    <w:uiPriority w:val="39"/>
    <w:pPr>
      <w:spacing w:line="360" w:lineRule="auto"/>
      <w:ind w:left="240" w:firstLine="200" w:firstLineChars="200"/>
      <w:jc w:val="left"/>
    </w:pPr>
    <w:rPr>
      <w:rFonts w:ascii="Times New Roman" w:hAnsi="Times New Roman" w:eastAsia="仿宋_GB2312" w:cs="Times New Roman"/>
      <w:smallCaps/>
      <w:kern w:val="0"/>
      <w:sz w:val="20"/>
      <w:szCs w:val="20"/>
    </w:rPr>
  </w:style>
  <w:style w:type="character" w:customStyle="1" w:styleId="347">
    <w:name w:val="未处理的提及3"/>
    <w:basedOn w:val="46"/>
    <w:semiHidden/>
    <w:unhideWhenUsed/>
    <w:qFormat/>
    <w:uiPriority w:val="99"/>
    <w:rPr>
      <w:color w:val="605E5C"/>
      <w:shd w:val="clear" w:color="auto" w:fill="E1DFDD"/>
    </w:rPr>
  </w:style>
  <w:style w:type="character" w:customStyle="1" w:styleId="348">
    <w:name w:val="未处理的提及4"/>
    <w:basedOn w:val="46"/>
    <w:semiHidden/>
    <w:unhideWhenUsed/>
    <w:qFormat/>
    <w:uiPriority w:val="99"/>
    <w:rPr>
      <w:color w:val="605E5C"/>
      <w:shd w:val="clear" w:color="auto" w:fill="E1DFDD"/>
    </w:rPr>
  </w:style>
  <w:style w:type="paragraph" w:customStyle="1" w:styleId="349">
    <w:name w:val="段"/>
    <w:basedOn w:val="1"/>
    <w:link w:val="351"/>
    <w:qFormat/>
    <w:uiPriority w:val="0"/>
    <w:pPr>
      <w:adjustRightInd w:val="0"/>
      <w:spacing w:line="440" w:lineRule="exact"/>
      <w:ind w:firstLine="560" w:firstLineChars="200"/>
      <w:textAlignment w:val="baseline"/>
    </w:pPr>
    <w:rPr>
      <w:rFonts w:ascii="Times New Roman" w:hAnsi="Times New Roman" w:eastAsia="宋体" w:cs="Times New Roman"/>
      <w:kern w:val="0"/>
      <w:sz w:val="28"/>
      <w:szCs w:val="28"/>
    </w:rPr>
  </w:style>
  <w:style w:type="paragraph" w:customStyle="1" w:styleId="350">
    <w:name w:val="Char Char Char Char Char Char Char"/>
    <w:basedOn w:val="1"/>
    <w:semiHidden/>
    <w:qFormat/>
    <w:uiPriority w:val="0"/>
    <w:pPr>
      <w:jc w:val="left"/>
    </w:pPr>
    <w:rPr>
      <w:rFonts w:ascii="宋体" w:hAnsi="宋体" w:eastAsia="宋体" w:cs="宋体"/>
      <w:kern w:val="0"/>
      <w:sz w:val="24"/>
      <w:szCs w:val="24"/>
    </w:rPr>
  </w:style>
  <w:style w:type="character" w:customStyle="1" w:styleId="351">
    <w:name w:val="段 Char1"/>
    <w:basedOn w:val="46"/>
    <w:link w:val="349"/>
    <w:uiPriority w:val="0"/>
    <w:rPr>
      <w:rFonts w:ascii="Times New Roman" w:hAnsi="Times New Roman" w:eastAsia="宋体" w:cs="Times New Roman"/>
      <w:kern w:val="0"/>
      <w:sz w:val="28"/>
      <w:szCs w:val="28"/>
    </w:rPr>
  </w:style>
  <w:style w:type="character" w:customStyle="1" w:styleId="352">
    <w:name w:val="未处理的提及5"/>
    <w:basedOn w:val="46"/>
    <w:semiHidden/>
    <w:unhideWhenUsed/>
    <w:uiPriority w:val="99"/>
    <w:rPr>
      <w:color w:val="605E5C"/>
      <w:shd w:val="clear" w:color="auto" w:fill="E1DFDD"/>
    </w:rPr>
  </w:style>
  <w:style w:type="character" w:customStyle="1" w:styleId="353">
    <w:name w:val="Unresolved Mention"/>
    <w:basedOn w:val="46"/>
    <w:semiHidden/>
    <w:unhideWhenUsed/>
    <w:uiPriority w:val="99"/>
    <w:rPr>
      <w:color w:val="605E5C"/>
      <w:shd w:val="clear" w:color="auto" w:fill="E1DFDD"/>
    </w:rPr>
  </w:style>
  <w:style w:type="table" w:customStyle="1" w:styleId="354">
    <w:name w:val="网格型3"/>
    <w:basedOn w:val="4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table" w:customStyle="1" w:styleId="355">
    <w:name w:val="网格型21"/>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356">
    <w:name w:val="网格型11"/>
    <w:basedOn w:val="44"/>
    <w:qFormat/>
    <w:uiPriority w:val="59"/>
    <w:rPr>
      <w:rFonts w:ascii="Times New Roman" w:hAnsi="Times New Roman" w:eastAsia="方正仿宋_GBK"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jpeg"/><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image" Target="media/image7.emf"/><Relationship Id="rId17" Type="http://schemas.openxmlformats.org/officeDocument/2006/relationships/image" Target="media/image6.emf"/><Relationship Id="rId16" Type="http://schemas.openxmlformats.org/officeDocument/2006/relationships/image" Target="media/image5.png"/><Relationship Id="rId15" Type="http://schemas.openxmlformats.org/officeDocument/2006/relationships/image" Target="media/image4.wmf"/><Relationship Id="rId14" Type="http://schemas.openxmlformats.org/officeDocument/2006/relationships/oleObject" Target="embeddings/oleObject2.bin"/><Relationship Id="rId13" Type="http://schemas.openxmlformats.org/officeDocument/2006/relationships/image" Target="media/image3.wmf"/><Relationship Id="rId12" Type="http://schemas.openxmlformats.org/officeDocument/2006/relationships/oleObject" Target="embeddings/oleObject1.bin"/><Relationship Id="rId11" Type="http://schemas.openxmlformats.org/officeDocument/2006/relationships/image" Target="media/image2.e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828966-48EC-4943-AE51-FF71E30C38FD}">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64</Pages>
  <Words>6222</Words>
  <Characters>35466</Characters>
  <Lines>295</Lines>
  <Paragraphs>83</Paragraphs>
  <TotalTime>98</TotalTime>
  <ScaleCrop>false</ScaleCrop>
  <LinksUpToDate>false</LinksUpToDate>
  <CharactersWithSpaces>41605</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2019-12-17T06:10:00Z</dcterms:created>
  <dc:creator>Administrator</dc:creator>
  <cp:lastModifiedBy>ynfyzfb</cp:lastModifiedBy>
  <cp:lastPrinted>2019-09-29T02:51:00Z</cp:lastPrinted>
  <dcterms:modified xsi:type="dcterms:W3CDTF">2020-11-05T09:37:34Z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