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w:t>
      </w:r>
      <w:bookmarkStart w:id="230" w:name="_GoBack"/>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老厂镇老厂</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水库</w:t>
      </w:r>
      <w:bookmarkEnd w:id="230"/>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2472"/>
          <w:tab w:val="left" w:pos="3586"/>
          <w:tab w:val="center" w:pos="4331"/>
        </w:tabs>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委托单位：老厂镇人民政府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"_Toc27523469"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_Toc27523469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"_Toc27523476"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"_Toc27523479"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_Toc27523479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"_Toc27523489"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_Toc27523489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"_Toc27523499"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_Toc27523499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"_Toc27523501"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"_Toc27523507"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"_Toc27523509"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_Toc27523509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"_Toc27523517"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"_Toc27523519"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_Toc27523519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"_Toc27523520"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_Toc27523520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"_Toc27523521"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富源县老厂水库饮用水水源地基础信息表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_Toc27523521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"_Toc27523522"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富源县老厂水库集中式饮用水水源保护区划分结果表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_Toc27523522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"_Toc27523523"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富源县老厂水库饮用水水源地保护区污染源调查表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_Toc27523523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老厂水库饮用水源地区位图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老厂水库饮用水源地水系图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老厂水库饮用水源地保护区区划图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老厂水库饮用水源地保护区划污染源分布图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老厂水库饮用水源地保护区划拐点图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3" w:name="_Toc27523469"/>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523470"/>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27523471"/>
      <w:bookmarkStart w:id="7" w:name="_Toc478744139"/>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478744140"/>
      <w:bookmarkStart w:id="9" w:name="_Toc200905490"/>
      <w:bookmarkStart w:id="10" w:name="_Toc272332582"/>
      <w:bookmarkStart w:id="11" w:name="_Toc27523472"/>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478744141"/>
      <w:bookmarkStart w:id="15" w:name="_Toc200905491"/>
      <w:bookmarkStart w:id="16" w:name="_Toc272332583"/>
      <w:bookmarkStart w:id="17" w:name="_Toc27523473"/>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72332584"/>
      <w:bookmarkStart w:id="19" w:name="_Toc200905492"/>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523474"/>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523475"/>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富源县老厂镇老厂</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523476"/>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2456051"/>
      <w:bookmarkStart w:id="28" w:name="_Toc27523477"/>
      <w:bookmarkStart w:id="29" w:name="_Toc10729966"/>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0729967"/>
      <w:bookmarkStart w:id="31" w:name="_Toc12456052"/>
      <w:bookmarkStart w:id="32" w:name="_Toc27523478"/>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老厂水库位于富源县老厂镇，地理位置为东经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104°31'53"，北纬25°13'48"。</w:t>
      </w:r>
    </w:p>
    <w:p>
      <w:pPr>
        <w:pStyle w:val="4"/>
        <w:rPr>
          <w:color w:val="0D0D0D" w:themeColor="text1" w:themeTint="F2"/>
          <w14:textFill>
            <w14:solidFill>
              <w14:schemeClr w14:val="tx1">
                <w14:lumMod w14:val="95000"/>
                <w14:lumOff w14:val="5000"/>
              </w14:schemeClr>
            </w14:solidFill>
          </w14:textFill>
        </w:rPr>
      </w:pPr>
      <w:bookmarkStart w:id="33" w:name="_Toc10729968"/>
      <w:bookmarkStart w:id="34" w:name="_Toc12456053"/>
      <w:bookmarkStart w:id="35" w:name="_Toc27523479"/>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12456054"/>
      <w:bookmarkStart w:id="37" w:name="_Toc27523480"/>
      <w:bookmarkStart w:id="38" w:name="_Toc10729969"/>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毫米，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27523481"/>
      <w:bookmarkStart w:id="40" w:name="_Toc10729970"/>
      <w:bookmarkStart w:id="41" w:name="_Toc12456055"/>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27523482"/>
      <w:bookmarkStart w:id="43" w:name="_Toc10729972"/>
      <w:bookmarkStart w:id="44" w:name="_Toc12456056"/>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老厂水库位于富源县老厂镇所在地东北部0.6km，处于老厂社区，居民点涉及乡镇及村委会社会经济概况统计如下。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（1）老厂镇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老厂镇位于富源县东南部，镇政府所在地距县城98km，东与黄泥河镇的阿旺、嘎拉相连，西与罗平县的吉白、必米、马米妥接壤，北抵富村镇鲁纳、水井，南连十八连山镇岔河、丕德、箐头，辖国土面积236km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全镇辖9个村（居）委会，109个自然村，121个村民小组，51499人。2018年全镇完成工农业生产总值36.8亿元、增长9.8%，农村经济总收入11.12亿元、增长8.6%，农民人均纯收入13675元、增长11.2%。2018年完成粮食种植面积8.2万亩、实现产量3500万千克。全年出栏肉猪12.26万头、肉牛2.02万头、肉羊2.94万只、家禽16.8万羽。</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（2）老厂水库保护区范围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老厂水库一级保护区内仅有几户居民居住，约22人；涉及耕地面积28.72hm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，均为旱地，保护区内主要为有林地和灌木林地。</w:t>
      </w:r>
    </w:p>
    <w:p>
      <w:pPr>
        <w:pStyle w:val="3"/>
        <w:rPr>
          <w:color w:val="0D0D0D" w:themeColor="text1" w:themeTint="F2"/>
          <w14:textFill>
            <w14:solidFill>
              <w14:schemeClr w14:val="tx1">
                <w14:lumMod w14:val="95000"/>
                <w14:lumOff w14:val="5000"/>
              </w14:schemeClr>
            </w14:solidFill>
          </w14:textFill>
        </w:rPr>
      </w:pPr>
      <w:bookmarkStart w:id="45" w:name="_Toc25679051"/>
      <w:bookmarkStart w:id="46" w:name="_Toc12621568"/>
      <w:bookmarkStart w:id="47" w:name="_Toc27523483"/>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对老厂水库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保护区内土地利用方式主要为有林地，占保护区面积的41.97%；其次是旱地，占保护区面积的26.90%；灌木林地占保护区面积的25.01%；其他土地利用类型面积均较小。老厂水库保护区土地利用现状见表2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老厂水库保护区土地利用现状</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3432"/>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361" w:type="dxa"/>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5289"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老厂水库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361"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5289"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4361"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343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85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61"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343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44.81</w:t>
            </w:r>
          </w:p>
        </w:tc>
        <w:tc>
          <w:tcPr>
            <w:tcW w:w="185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6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灌木林地</w:t>
            </w:r>
          </w:p>
        </w:tc>
        <w:tc>
          <w:tcPr>
            <w:tcW w:w="3432"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26.69</w:t>
            </w:r>
          </w:p>
        </w:tc>
        <w:tc>
          <w:tcPr>
            <w:tcW w:w="185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6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旱地</w:t>
            </w:r>
          </w:p>
        </w:tc>
        <w:tc>
          <w:tcPr>
            <w:tcW w:w="3432"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28.72</w:t>
            </w:r>
          </w:p>
        </w:tc>
        <w:tc>
          <w:tcPr>
            <w:tcW w:w="185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61" w:type="dxa"/>
            <w:shd w:val="clear" w:color="auto" w:fill="auto"/>
            <w:vAlign w:val="center"/>
          </w:tcPr>
          <w:p>
            <w:pPr>
              <w:widowControl/>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水域</w:t>
            </w:r>
          </w:p>
        </w:tc>
        <w:tc>
          <w:tcPr>
            <w:tcW w:w="343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5.66</w:t>
            </w:r>
          </w:p>
        </w:tc>
        <w:tc>
          <w:tcPr>
            <w:tcW w:w="185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61"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建设用地</w:t>
            </w:r>
          </w:p>
        </w:tc>
        <w:tc>
          <w:tcPr>
            <w:tcW w:w="3432"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0.88</w:t>
            </w:r>
          </w:p>
        </w:tc>
        <w:tc>
          <w:tcPr>
            <w:tcW w:w="185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6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3432"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106.76</w:t>
            </w:r>
          </w:p>
        </w:tc>
        <w:tc>
          <w:tcPr>
            <w:tcW w:w="185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4850" cy="2886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4850" cy="2886075"/>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老厂水库保护区内土地利用状况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12456059"/>
      <w:bookmarkStart w:id="49" w:name="_Toc27523484"/>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老厂水库属于珠江流域南盘江水系，根据《云南省地表水环境功能区划（2010-2020年）》，老厂水库所在水环境功能区划为：黄泥河富源境内段，为工业用水、农业用水、饮用二级，水质类别为III类。</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老厂水库属于地表水水，现状功能为饮用水，水质功能类别为III类。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老厂水库饮用水水源地位于曲靖市富源县老厂镇，根据《云南省主体功能区规划》，富源县属于省级重点开发区域。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根据《云南省生态功能区划》，老厂水库水源地位于富源县老厂镇，所在生态功能分区为：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27523485"/>
      <w:bookmarkStart w:id="52" w:name="_Toc1245606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老厂镇老厂水库为地表水型饮用水源地，为在用水源地。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老厂镇老厂水库水源地基本信息表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老厂水库</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8"/>
                <w14:textFill>
                  <w14:solidFill>
                    <w14:schemeClr w14:val="tx1">
                      <w14:lumMod w14:val="95000"/>
                      <w14:lumOff w14:val="5000"/>
                    </w14:schemeClr>
                  </w14:solidFill>
                </w14:textFill>
              </w:rPr>
              <w:t>104°31'53"</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8"/>
                <w14:textFill>
                  <w14:solidFill>
                    <w14:schemeClr w14:val="tx1">
                      <w14:lumMod w14:val="95000"/>
                      <w14:lumOff w14:val="5000"/>
                    </w14:schemeClr>
                  </w14:solidFill>
                </w14:textFill>
              </w:rPr>
              <w:t>25°13'49"</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jc w:val="center"/>
        <w:rPr>
          <w:color w:val="0D0D0D" w:themeColor="text1" w:themeTint="F2"/>
          <w14:textFill>
            <w14:solidFill>
              <w14:schemeClr w14:val="tx1">
                <w14:lumMod w14:val="95000"/>
                <w14:lumOff w14:val="5000"/>
              </w14:schemeClr>
            </w14:solidFill>
          </w14:textFill>
        </w:rPr>
      </w:pPr>
      <w:bookmarkStart w:id="53" w:name="_Toc12456061"/>
      <w:bookmarkStart w:id="54" w:name="_Toc10729974"/>
      <w:r>
        <w:rPr>
          <w:color w:val="0D0D0D" w:themeColor="text1" w:themeTint="F2"/>
          <w14:textFill>
            <w14:solidFill>
              <w14:schemeClr w14:val="tx1">
                <w14:lumMod w14:val="95000"/>
                <w14:lumOff w14:val="5000"/>
              </w14:schemeClr>
            </w14:solidFill>
          </w14:textFill>
        </w:rPr>
        <w:drawing>
          <wp:inline distT="0" distB="0" distL="0" distR="0">
            <wp:extent cx="4323715" cy="324231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3882" cy="3242911"/>
                    </a:xfrm>
                    <a:prstGeom prst="rect">
                      <a:avLst/>
                    </a:prstGeom>
                    <a:noFill/>
                  </pic:spPr>
                </pic:pic>
              </a:graphicData>
            </a:graphic>
          </wp:inline>
        </w:drawing>
      </w:r>
    </w:p>
    <w:p>
      <w:pPr>
        <w:adjustRightInd w:val="0"/>
        <w:snapToGrid w:val="0"/>
        <w:spacing w:line="360" w:lineRule="auto"/>
        <w:jc w:val="cente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2.5</w:t>
      </w: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-1  老厂水库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5" w:name="_Toc27523486"/>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水库概况</w:t>
      </w:r>
      <w:bookmarkEnd w:id="5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老厂水库是一座解决老厂乡所在地和拖竹村委会生活供水，改善农田灌溉，促进区域发展的小（二）型水利工程，水库始建于2004年，竣工于2005年5月并投入使用。水库控制径流面积1km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下游灌溉农田1000亩，解决14884人饮水。根据国家《防洪标准》（GB50201—94），水规（1989）21号水利部印发《水利枢纽工程险加固近期应用洪水标准意见》的通知，老厂水库总库容41.56万方，属小（二）型工程，工程级别是V等，大坝级别为5级，正常运用洪水标准为20年一遇，非常运用洪水标准为200年一遇。水库枢纽工程由大坝、溢洪道、输水隧洞组成。大坝为粘土心墙坝，坝高22.5m，坝顶高程为1985.5m，坝顶长96m，坝顶宽5m。对水库进行调洪演算复核，现有溢洪道过流能力满足要求，且过洪能力余度较大，本次除险加固工程只对溢洪道控制段进行加固。现状溢洪道堰顶高程1980.15m，本次除险加固设计溢洪道堰顶加高至1981.6m，堰型采用WES实用堰。输水涵洞布置于大坝右岸溢洪道左下方，净宽1.2m，高1.8m，进口底高程为1974.00m，总长61.6m，采用砼拱涵，安装600×600mm潜没式平面钢闸门一道，并在涵洞底部安装一条70m长的Φ150mm的铸铁管作为生活供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总库容46.51万m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32.38万m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，正常蓄水位1982.74m，死水位1977.61m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1983.58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m，校核洪水位为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1984.02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891"/>
        <w:gridCol w:w="2086"/>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891"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208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3107"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老厂水库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1982.74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1977.61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1983.58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1984.02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死</w:t>
            </w:r>
            <w:r>
              <w:rPr>
                <w:rFonts w:eastAsia="仿宋"/>
                <w:color w:val="0D0D0D" w:themeColor="text1" w:themeTint="F2"/>
                <w:sz w:val="24"/>
                <w:szCs w:val="24"/>
                <w14:textFill>
                  <w14:solidFill>
                    <w14:schemeClr w14:val="tx1">
                      <w14:lumMod w14:val="95000"/>
                      <w14:lumOff w14:val="5000"/>
                    </w14:schemeClr>
                  </w14:solidFill>
                </w14:textFill>
              </w:rPr>
              <w:t>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8.03</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478742807"/>
      <w:bookmarkStart w:id="57" w:name="_Toc27523487"/>
      <w:bookmarkStart w:id="58" w:name="_Toc12456062"/>
      <w:bookmarkStart w:id="59" w:name="_Toc524596427"/>
      <w:bookmarkStart w:id="60" w:name="_Toc10729975"/>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供</w:t>
      </w:r>
      <w:r>
        <w:rPr>
          <w:color w:val="0D0D0D" w:themeColor="text1" w:themeTint="F2"/>
          <w:sz w:val="28"/>
          <w:szCs w:val="28"/>
          <w14:textFill>
            <w14:solidFill>
              <w14:schemeClr w14:val="tx1">
                <w14:lumMod w14:val="95000"/>
                <w14:lumOff w14:val="5000"/>
              </w14:schemeClr>
            </w14:solidFill>
          </w14:textFill>
        </w:rPr>
        <w:t>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老厂水库为富源县老厂镇自来水厂水源点，年供水量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47.45</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-3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老厂水库供水情况统计表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老厂水库</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47.45</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27523488"/>
      <w:bookmarkStart w:id="63" w:name="_Toc12456063"/>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老厂镇老厂水库2019年11月由曲靖市生态环境局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监测数据对老厂镇老厂水库水环境质量进行评估。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27063969"/>
      <w:bookmarkStart w:id="65" w:name="_Toc27523489"/>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老厂镇老厂水库水质目标按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水质标准。本区划根据常规监测评价结果，结合流域现状主要污染源，对所有已开展的监测因子进行水质类别评价，选取pH、溶解氧、高锰酸盐指数、化学需氧量（COD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8"/>
        <w:gridCol w:w="3194"/>
        <w:gridCol w:w="2374"/>
        <w:gridCol w:w="996"/>
        <w:gridCol w:w="876"/>
        <w:gridCol w:w="816"/>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5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31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23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老厂镇老厂水库采用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水源地现状水质监测点为老厂镇老厂水库。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6" w:name="_Toc27063970"/>
      <w:bookmarkStart w:id="67" w:name="_Toc27523490"/>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6"/>
      <w:bookmarkEnd w:id="67"/>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老厂镇老厂水库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5.25pt;" o:ole="t" fillcolor="#FFFFFF"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75pt;width:57.75pt;" o:ole="t" fillcolor="#FFFFFF"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4"/>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4"/>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值</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09"/>
        <w:gridCol w:w="1608"/>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表2.6-3   水质类别与评分值对应表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289"/>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3289"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3071"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widowControl/>
              <w:spacing w:line="36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68" w:name="_Toc27523491"/>
      <w:bookmarkStart w:id="69" w:name="_Toc27063971"/>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68"/>
      <w:bookmarkEnd w:id="69"/>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老厂镇老厂水库2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）表1中的标准限值，老厂镇老厂水库所有监测项目均能满足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4597"/>
        <w:gridCol w:w="196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597"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917"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597"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94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15.8</w:t>
            </w:r>
          </w:p>
        </w:tc>
        <w:tc>
          <w:tcPr>
            <w:tcW w:w="1949" w:type="dxa"/>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7.22</w:t>
            </w:r>
          </w:p>
        </w:tc>
        <w:tc>
          <w:tcPr>
            <w:tcW w:w="1949" w:type="dxa"/>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6.8</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1.3</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0.213</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0.013</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0.91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0.55</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w:t>
            </w: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/L</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241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根据老厂镇老厂水库2019年1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老厂水库2019年常规监测补充项目达标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06"/>
        <w:gridCol w:w="2772"/>
        <w:gridCol w:w="1531"/>
        <w:gridCol w:w="2911"/>
        <w:gridCol w:w="15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06"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77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531"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tc>
        <w:tc>
          <w:tcPr>
            <w:tcW w:w="4441" w:type="dxa"/>
            <w:gridSpan w:val="2"/>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06"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77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531"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91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530"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772"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24</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0.65</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根据老厂镇老厂水库常规监测水质功能类别评价结果，结合老厂镇老厂水库流域现状主要污染源，选取选取pH、溶解氧、高锰酸盐指数、化学需氧量（COD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项指标进行单因子指数法水质评价。老厂镇老厂水库水质按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4194"/>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644"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19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812"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81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所有的指标单因子评价指数均小于1，即达到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水质标准。总氮的监测值为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0.91mg/L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评价指数为0.91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mg/L，其单因子评价指数为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，为潜在污染物因子。</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rFonts w:hint="eastAsia"/>
          <w:color w:val="0D0D0D" w:themeColor="text1" w:themeTint="F2"/>
          <w:sz w:val="28"/>
          <w14:textFill>
            <w14:solidFill>
              <w14:schemeClr w14:val="tx1">
                <w14:lumMod w14:val="95000"/>
                <w14:lumOff w14:val="5000"/>
              </w14:schemeClr>
            </w14:solidFill>
          </w14:textFill>
        </w:rPr>
        <w:t>2.6.3.3</w:t>
      </w:r>
      <w:r>
        <w:rPr>
          <w:color w:val="0D0D0D" w:themeColor="text1" w:themeTint="F2"/>
          <w:sz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老厂镇老厂水库2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评价分数均低于30，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29.93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，处于贫营养状态，从营养状态评价水库水质优。老厂镇老厂水库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spacing w:line="360" w:lineRule="auto"/>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老厂镇老厂水库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6"/>
        <w:gridCol w:w="3586"/>
        <w:gridCol w:w="358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35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588"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5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588"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35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240</w:t>
            </w:r>
          </w:p>
        </w:tc>
        <w:tc>
          <w:tcPr>
            <w:tcW w:w="3588"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0.91</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0.013</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35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29.93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贫营养化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650"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老厂镇老厂水库各项监测指标均达到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标准、集中式饮用水地表水源地补充项目标准限值要求。老厂镇老厂水库按</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水质目标要求，所有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检测项目未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类水质标准。未超过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类水质标准的因子中，总氮的监测值为0.91mg/L，其单因子评价指数为0.91，大于0.8，为主要污染物因子；溶解氧的监测值为6.8mg/L，其单因子评价指数为0.63，大于0.6，为潜在污染物因子。各指标分析如下。</w:t>
      </w:r>
    </w:p>
    <w:p>
      <w:pPr>
        <w:pStyle w:val="55"/>
        <w:widowControl/>
        <w:adjustRightInd w:val="0"/>
        <w:snapToGrid w:val="0"/>
        <w:spacing w:line="360" w:lineRule="auto"/>
        <w:ind w:left="1312" w:firstLine="0" w:firstLineChars="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（1）总氮</w:t>
      </w:r>
    </w:p>
    <w:p>
      <w:pPr>
        <w:widowControl/>
        <w:adjustRightInd w:val="0"/>
        <w:snapToGrid w:val="0"/>
        <w:spacing w:line="360" w:lineRule="auto"/>
        <w:ind w:left="561"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根据老厂镇老厂水库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0.91mg/L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为0.91，大于0.8，为主要污染物因子。总氮是老厂镇老厂水库的主要污染物。水环境中，总氮主要包括硝酸盐氮、亚硝酸盐氮、氨氮等，其中氨氮主要来源于生活污水、畜禽粪便和水土流失，硝酸盐氮主要来源于种植面源（化肥）和水土流失。</w:t>
      </w:r>
    </w:p>
    <w:p>
      <w:pPr>
        <w:pStyle w:val="55"/>
        <w:widowControl/>
        <w:adjustRightInd w:val="0"/>
        <w:snapToGrid w:val="0"/>
        <w:spacing w:line="360" w:lineRule="auto"/>
        <w:ind w:left="1312" w:firstLine="0" w:firstLineChars="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（2）溶解氧</w:t>
      </w:r>
    </w:p>
    <w:p>
      <w:pPr>
        <w:widowControl/>
        <w:adjustRightInd w:val="0"/>
        <w:snapToGrid w:val="0"/>
        <w:spacing w:line="360" w:lineRule="auto"/>
        <w:ind w:left="561"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溶解氧主要表征水体受污染程度。老厂镇老厂水库富营养化状态总体处于贫营养，水质总体优。2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6.8mg/L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水质标准限值。溶解氧的单因子评价指数为0.63，大于0.6，为潜在污染物因子。</w:t>
      </w:r>
    </w:p>
    <w:p>
      <w:pPr>
        <w:widowControl/>
        <w:adjustRightInd w:val="0"/>
        <w:snapToGrid w:val="0"/>
        <w:spacing w:line="360" w:lineRule="auto"/>
        <w:ind w:left="561"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综上分析，总氮为老厂镇老厂水库的主要污染物，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溶解氧为潜在污染物。</w:t>
      </w:r>
    </w:p>
    <w:p>
      <w:pPr>
        <w:pStyle w:val="3"/>
        <w:rPr>
          <w:color w:val="0D0D0D" w:themeColor="text1" w:themeTint="F2"/>
          <w14:textFill>
            <w14:solidFill>
              <w14:schemeClr w14:val="tx1">
                <w14:lumMod w14:val="95000"/>
                <w14:lumOff w14:val="5000"/>
              </w14:schemeClr>
            </w14:solidFill>
          </w14:textFill>
        </w:rPr>
      </w:pPr>
      <w:bookmarkStart w:id="70" w:name="_Toc27523492"/>
      <w:bookmarkStart w:id="71" w:name="_Toc12456067"/>
      <w:bookmarkStart w:id="72" w:name="_Toc1072998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0"/>
      <w:bookmarkEnd w:id="71"/>
      <w:bookmarkEnd w:id="7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3" w:name="_Hlk17929028"/>
      <w:bookmarkStart w:id="74" w:name="_Toc10723878"/>
      <w:bookmarkStart w:id="75" w:name="_Toc12456077"/>
      <w:bookmarkStart w:id="76" w:name="_Toc32618011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通过现场踏勘及资料收集，对老厂水库水源地周边及上游范围内的污染源进行调查，从点源、面源、流动源进行分析。</w:t>
      </w:r>
    </w:p>
    <w:bookmarkEnd w:id="73"/>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7" w:name="_Toc18506526"/>
      <w:bookmarkStart w:id="78" w:name="_Toc25679061"/>
      <w:bookmarkStart w:id="79" w:name="_Toc2752349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77"/>
      <w:bookmarkEnd w:id="78"/>
      <w:bookmarkEnd w:id="7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0"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调查分析可知，老厂水库水源地保护区范围内未发现工业企业及违法违规建设项目存在，无城镇生活污水排放口，也无规模化畜禽养殖场（小区）等点源存在。</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1" w:name="_Toc18506527"/>
      <w:bookmarkStart w:id="82" w:name="_Toc25679062"/>
      <w:bookmarkStart w:id="83" w:name="_Toc275234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81"/>
      <w:bookmarkEnd w:id="82"/>
      <w:bookmarkEnd w:id="83"/>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4"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根据调查可知，老厂水库水源地保护区范围内主要为面源污染，由农村生活污水、农村生活垃圾、农田种植、水土流失等污染组成。</w:t>
      </w:r>
    </w:p>
    <w:bookmarkEnd w:id="84"/>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5" w:name="_Toc10729981"/>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农村生活污水</w:t>
      </w:r>
      <w:bookmarkEnd w:id="8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经统计，老厂水库保护区范围内涉及农村居民22人，居住在一级保护区内。</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采用人均排污系数法核算农村生活污水及污染物排放量。参考第一次全国污染源普查中西南区污染物排放系数，见下表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  农村人均生活污水排污系数</w:t>
      </w:r>
    </w:p>
    <w:tbl>
      <w:tblPr>
        <w:tblStyle w:val="44"/>
        <w:tblW w:w="96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1676"/>
        <w:gridCol w:w="1629"/>
        <w:gridCol w:w="1629"/>
        <w:gridCol w:w="1629"/>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45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6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污水量（L/cap.d）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45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6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24.48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19.68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0.40</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同时根据部门收资及现场调查，老厂水库保护区内居民点未建农村生活污水集中处理设施。</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根据保护区范围内人口统计结果及排污系数计算，老厂水库保护区范围内污水、化学需氧量、氨氮、总氮、总磷排放量分别为196.57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0.158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0.003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0.002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p>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农村生活垃圾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经统计，老厂水库保护区范围内涉及涉及农村居民22人，居住在一级保护区内。</w:t>
      </w:r>
    </w:p>
    <w:p>
      <w:pPr>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采用人均排污系数法核算农村生活垃圾及污染物排放量，参考第一次全国污染源普查中西南区污染物排放系数，见下表</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农村人均生活垃圾排</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系数</w:t>
      </w:r>
    </w:p>
    <w:tbl>
      <w:tblPr>
        <w:tblStyle w:val="44"/>
        <w:tblW w:w="96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5"/>
        <w:gridCol w:w="1523"/>
        <w:gridCol w:w="1519"/>
        <w:gridCol w:w="1519"/>
        <w:gridCol w:w="1523"/>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0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指标</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生活垃圾（kg/p.d）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bCs/>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-N（g/p.d）</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2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0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产生系数</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1.053</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1.755</w:t>
            </w:r>
          </w:p>
        </w:tc>
        <w:tc>
          <w:tcPr>
            <w:tcW w:w="152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0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15.80</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0.47</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0.79</w:t>
            </w:r>
          </w:p>
        </w:tc>
        <w:tc>
          <w:tcPr>
            <w:tcW w:w="152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根据现场调查了解生活垃圾收集清运情况，本次核算已建设生活垃圾收集处理设施的村落生活垃圾收集处理率取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人口统计结果及排污系数计算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生活垃圾、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、氨氮、总氮、总磷排放量分别为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0.004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0.006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0.003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28.72hm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均为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。耕地种植施用大量的化肥农药，污染物流失对水源地造成污染。老厂水库保护区范围内耕地面积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1553"/>
        <w:gridCol w:w="1554"/>
        <w:gridCol w:w="1554"/>
        <w:gridCol w:w="155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885"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553"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旱地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1554"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5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52"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52"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85"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553"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28.72</w:t>
            </w:r>
          </w:p>
        </w:tc>
        <w:tc>
          <w:tcPr>
            <w:tcW w:w="1554"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0.646</w:t>
            </w:r>
          </w:p>
        </w:tc>
        <w:tc>
          <w:tcPr>
            <w:tcW w:w="1554"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c>
          <w:tcPr>
            <w:tcW w:w="1552"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0.355</w:t>
            </w:r>
          </w:p>
        </w:tc>
        <w:tc>
          <w:tcPr>
            <w:tcW w:w="1552"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0.041</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2.4</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.7-4。</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86"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86"/>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老厂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.7-5。</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（2）老厂水库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87"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106.76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87"/>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11.91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11.16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94.85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88.84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46.30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48.82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41.10h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43.33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7.44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7.85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无极强烈侵蚀</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1933.97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•a），总体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轻度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侵蚀，年均土壤流失量约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2064.64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老厂水库保护区范围内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233"/>
        <w:gridCol w:w="1658"/>
        <w:gridCol w:w="2553"/>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6631"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3019" w:type="dxa"/>
            <w:shd w:val="clear" w:color="auto" w:fill="D8D8D8" w:themeFill="background1" w:themeFillShade="D9"/>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老厂水库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6631"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3019"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631"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078"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078"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8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2891"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8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891"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8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33"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658"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8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33"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58"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8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33"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58"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8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33"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58"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8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33"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58"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8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33"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58"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55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631"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1933.97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631"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3019"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2064.64</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厂水库保护区内水土流失现状，对保护区范围内的土壤氮磷含量进行综合分析，流失土壤中总氮含量取1.32g/kg，总磷含量取19.30mg/kg，化学需氧量含量取2.13%，按照20%的淋溶率计算水土流失污染物入库量。老厂水库保护区范围内水土流失污染物入库量，如下表2.7-7。</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老厂水库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1933.97</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2064.64</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8.795</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0.545</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0.008</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8" w:name="_Toc18506528"/>
      <w:bookmarkStart w:id="89" w:name="_Toc27523495"/>
      <w:bookmarkStart w:id="90"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88"/>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89"/>
      <w:bookmarkEnd w:id="90"/>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县道X050穿过一级保护区，穿越路段长约1.059km，县道连接老厂镇集镇及其他乡镇、自然村，道路接近水库水域，</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存在机动车事故泄漏燃油等环境风险。</w:t>
      </w:r>
    </w:p>
    <w:bookmarkEnd w:id="80"/>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1" w:name="_Toc18506529"/>
      <w:bookmarkStart w:id="92" w:name="_Toc25679064"/>
      <w:bookmarkStart w:id="93" w:name="_Toc27523496"/>
      <w:bookmarkStart w:id="94" w:name="_Toc25162356"/>
      <w:bookmarkStart w:id="95"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91"/>
      <w:bookmarkEnd w:id="92"/>
      <w:bookmarkEnd w:id="93"/>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，老厂水库各级保护区内各类污染源情况见表2.7-8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从各污染源分析，在一级保护区，化学需氧量主要污染源是水土流失，贡献率为90.43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%；氨氮主要污染源是农业种植，贡献率为91.10%；总氮主要污染源是水土流失、农业种植，贡献率分别达到59.92%、39.03%；总磷主要污染源是农业种植、水土流失，贡献率分别达到76.88%、14.97%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综上分析，老厂水库保护区范围内水污染防治重点为农业种植、水土流失，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其次是农村生活污染源。</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老厂水库保护区范围内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74"/>
        <w:gridCol w:w="1793"/>
        <w:gridCol w:w="1764"/>
        <w:gridCol w:w="1368"/>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trPr>
        <w:tc>
          <w:tcPr>
            <w:tcW w:w="1417"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79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76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3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33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0.158</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0.127</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0.646</w:t>
            </w:r>
          </w:p>
        </w:tc>
        <w:tc>
          <w:tcPr>
            <w:tcW w:w="1764"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c>
          <w:tcPr>
            <w:tcW w:w="1368"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0.355</w:t>
            </w:r>
          </w:p>
        </w:tc>
        <w:tc>
          <w:tcPr>
            <w:tcW w:w="1334"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8.795</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0.545</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9.726</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0.050</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0.910</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0.053</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老厂水库一级保护区内各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pStyle w:val="2"/>
        <w:jc w:val="center"/>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pStyle w:val="3"/>
        <w:rPr>
          <w:color w:val="0D0D0D" w:themeColor="text1" w:themeTint="F2"/>
          <w14:textFill>
            <w14:solidFill>
              <w14:schemeClr w14:val="tx1">
                <w14:lumMod w14:val="95000"/>
                <w14:lumOff w14:val="5000"/>
              </w14:schemeClr>
            </w14:solidFill>
          </w14:textFill>
        </w:rPr>
      </w:pPr>
      <w:bookmarkStart w:id="96" w:name="_Toc25679065"/>
      <w:bookmarkStart w:id="97" w:name="_Toc27523497"/>
      <w:r>
        <w:rPr>
          <w:rFonts w:hint="eastAsia"/>
          <w:color w:val="0D0D0D" w:themeColor="text1" w:themeTint="F2"/>
          <w14:textFill>
            <w14:solidFill>
              <w14:schemeClr w14:val="tx1">
                <w14:lumMod w14:val="95000"/>
                <w14:lumOff w14:val="5000"/>
              </w14:schemeClr>
            </w14:solidFill>
          </w14:textFill>
        </w:rPr>
        <w:t>2.8 饮用水水源地水环境风险分析</w:t>
      </w:r>
      <w:bookmarkEnd w:id="94"/>
      <w:bookmarkEnd w:id="96"/>
      <w:bookmarkEnd w:id="97"/>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老厂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老厂水库饮用水水源地环境风险评价结果</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72"/>
        <w:gridCol w:w="3146"/>
        <w:gridCol w:w="1696"/>
        <w:gridCol w:w="1698"/>
        <w:gridCol w:w="14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672"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3146"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3394"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1438"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672"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69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698"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438"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698"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438" w:type="dxa"/>
            <w:vMerge w:val="restart"/>
            <w:vAlign w:val="center"/>
          </w:tcPr>
          <w:p>
            <w:pPr>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Merge w:val="continue"/>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存在（26.90%）</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67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314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69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69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老厂水库饮用水水源地固定源环境风险低，水库保护区范围内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无固定污染源，固定源总分值为0，评分值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县道X050穿过一级保护区，穿越路段长约1.059km。</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老厂水库保护区范围内流动源总分值为10，</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Rf＞9，应采取风险应急措施，加强水库周边道路车辆通行监管，严格禁止运输危险化学品，限制运输可能对水库水质造成污染的其他物品。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根据调查，老厂水库保护区范围内现状非点源主要有农村生活、农业种植、畜禽养殖及水土流失面源污染等，具体源强详见2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老厂水库一级保护区范围内耕地面积占比为26.90%。根据非点源风险值计算，非点源风险值为10，</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老厂水库保护区范围内还存在农村生活污水及垃圾污染及水土流失污染。通过识别环境风险因素，应重点对非点源风险采取应急措施，加快农村农业面源治理及水土流失治理，降低水源保护区环境风险，保证饮用水水质安全。</w:t>
      </w:r>
    </w:p>
    <w:p>
      <w:pPr>
        <w:pStyle w:val="3"/>
        <w:rPr>
          <w:color w:val="0D0D0D" w:themeColor="text1" w:themeTint="F2"/>
          <w14:textFill>
            <w14:solidFill>
              <w14:schemeClr w14:val="tx1">
                <w14:lumMod w14:val="95000"/>
                <w14:lumOff w14:val="5000"/>
              </w14:schemeClr>
            </w14:solidFill>
          </w14:textFill>
        </w:rPr>
      </w:pPr>
      <w:bookmarkStart w:id="98" w:name="_Toc25679066"/>
      <w:bookmarkStart w:id="99" w:name="_Toc27523498"/>
      <w:r>
        <w:rPr>
          <w:rFonts w:hint="eastAsia"/>
          <w:color w:val="0D0D0D" w:themeColor="text1" w:themeTint="F2"/>
          <w14:textFill>
            <w14:solidFill>
              <w14:schemeClr w14:val="tx1">
                <w14:lumMod w14:val="95000"/>
                <w14:lumOff w14:val="5000"/>
              </w14:schemeClr>
            </w14:solidFill>
          </w14:textFill>
        </w:rPr>
        <w:t>2.9 饮用水水源保护区规范化建设</w:t>
      </w:r>
      <w:bookmarkEnd w:id="95"/>
      <w:r>
        <w:rPr>
          <w:rFonts w:hint="eastAsia"/>
          <w:color w:val="0D0D0D" w:themeColor="text1" w:themeTint="F2"/>
          <w14:textFill>
            <w14:solidFill>
              <w14:schemeClr w14:val="tx1">
                <w14:lumMod w14:val="95000"/>
                <w14:lumOff w14:val="5000"/>
              </w14:schemeClr>
            </w14:solidFill>
          </w14:textFill>
        </w:rPr>
        <w:t>现状及存在问题</w:t>
      </w:r>
      <w:bookmarkEnd w:id="98"/>
      <w:bookmarkEnd w:id="99"/>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0" w:name="_Toc12621595"/>
      <w:bookmarkStart w:id="101" w:name="_Toc25679067"/>
      <w:bookmarkStart w:id="102" w:name="_Toc27523499"/>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100"/>
      <w:bookmarkEnd w:id="101"/>
      <w:bookmarkEnd w:id="102"/>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老厂水库主管部门为富源县老厂镇人民政府，管理单位为富源县老厂镇农业综合服务中心。</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老厂水库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3" w:name="_Toc12621596"/>
      <w:bookmarkStart w:id="104" w:name="_Toc25679068"/>
      <w:bookmarkStart w:id="105" w:name="_Toc27523500"/>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103"/>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104"/>
      <w:bookmarkEnd w:id="105"/>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06"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06"/>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（1）面源污染问题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老厂水库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范围内主要涉及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少量农户居住，农村生活污水及垃圾</w:t>
      </w:r>
      <w:bookmarkStart w:id="107" w:name="_Hlk20349201"/>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老厂水库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造成一定</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污染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风险。</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内有</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部分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耕地，</w:t>
      </w:r>
      <w:bookmarkStart w:id="108"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耕地面积占比达到水库保护区面积的26.90%，</w:t>
      </w:r>
      <w:bookmarkEnd w:id="108"/>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88.84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中度及以上侵蚀面积占水土流失面积的51.18%，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07"/>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09"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根据水环境风险源分析，老厂水库流动源及非点源环境风险较大，但老厂水库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）存在煤矿采矿权问题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老厂水库保护区范围与普柏煤矿采矿区重叠，涉及水库一级保护区37.73hm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重叠区域占水库径流区面积比例较大，若在老厂水库保护区范围内进行煤矿开采，对水源地水质和水量存在较大的环境风险。由于开采可能会造成地表坍塌、影响地表植被及水源涵养，工矿厂区生产废水对水库水质造成污染等。目前老厂水库无可替代水源，建议普柏煤矿采矿权范围退出重叠区。</w:t>
      </w:r>
    </w:p>
    <w:p>
      <w:pPr>
        <w:adjustRightInd w:val="0"/>
        <w:snapToGrid w:val="0"/>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drawing>
          <wp:inline distT="0" distB="0" distL="0" distR="0">
            <wp:extent cx="5629275" cy="5953125"/>
            <wp:effectExtent l="0" t="0" r="9525" b="9525"/>
            <wp:docPr id="4" name="图片 4" descr="C:\Users\Administrator\Desktop\老厂水库采矿权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老厂水库采矿权示意图.jpg"/>
                    <pic:cNvPicPr>
                      <a:picLocks noChangeAspect="1" noChangeArrowheads="1"/>
                    </pic:cNvPicPr>
                  </pic:nvPicPr>
                  <pic:blipFill>
                    <a:blip r:embed="rId18" cstate="print">
                      <a:extLst>
                        <a:ext uri="{28A0092B-C50C-407E-A947-70E740481C1C}">
                          <a14:useLocalDpi xmlns:a14="http://schemas.microsoft.com/office/drawing/2010/main" val="0"/>
                        </a:ext>
                      </a:extLst>
                    </a:blip>
                    <a:srcRect l="3180" t="9330" r="2862" b="20416"/>
                    <a:stretch>
                      <a:fillRect/>
                    </a:stretch>
                  </pic:blipFill>
                  <pic:spPr>
                    <a:xfrm>
                      <a:off x="0" y="0"/>
                      <a:ext cx="5628678" cy="5952494"/>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2.9</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老厂水库保护区范围与普柏煤矿采矿权范围示意图</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bookmarkEnd w:id="109"/>
    <w:p>
      <w:pPr>
        <w:keepNext/>
        <w:keepLines/>
        <w:shd w:val="clear" w:color="auto" w:fill="FFFFFF" w:themeFill="background1"/>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10" w:name="_Toc20409149"/>
      <w:bookmarkStart w:id="111" w:name="_Toc27523501"/>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10"/>
      <w:bookmarkEnd w:id="111"/>
    </w:p>
    <w:p>
      <w:pPr>
        <w:keepNext/>
        <w:keepLines/>
        <w:shd w:val="clear" w:color="auto" w:fill="FFFFFF" w:themeFill="background1"/>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2" w:name="_Toc12621586"/>
      <w:bookmarkStart w:id="113" w:name="_Toc10723880"/>
      <w:bookmarkStart w:id="114" w:name="_Toc20409150"/>
      <w:bookmarkStart w:id="115" w:name="_Toc27523502"/>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2"/>
      <w:bookmarkEnd w:id="113"/>
      <w:bookmarkEnd w:id="114"/>
      <w:bookmarkEnd w:id="115"/>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老厂水库水源地的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hd w:val="clear" w:color="auto" w:fill="FFFFFF" w:themeFill="background1"/>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6" w:name="_Toc20409151"/>
      <w:bookmarkStart w:id="117" w:name="_Toc530362551"/>
      <w:bookmarkStart w:id="118" w:name="_Toc2752350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16"/>
      <w:bookmarkEnd w:id="117"/>
      <w:bookmarkEnd w:id="118"/>
    </w:p>
    <w:p>
      <w:pPr>
        <w:shd w:val="clear" w:color="auto" w:fill="FFFFFF" w:themeFill="background1"/>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shd w:val="clear" w:color="auto" w:fill="FFFFFF" w:themeFill="background1"/>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hd w:val="clear" w:color="auto" w:fill="FFFFFF" w:themeFill="background1"/>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9" w:name="_Toc530362552"/>
      <w:bookmarkStart w:id="120" w:name="_Toc20409152"/>
      <w:bookmarkStart w:id="121" w:name="_Toc2752350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19"/>
      <w:bookmarkEnd w:id="120"/>
      <w:bookmarkEnd w:id="121"/>
    </w:p>
    <w:p>
      <w:pPr>
        <w:shd w:val="clear" w:color="auto" w:fill="FFFFFF" w:themeFill="background1"/>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shd w:val="clear" w:color="auto" w:fill="FFFFFF" w:themeFill="background1"/>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keepNext/>
        <w:keepLines/>
        <w:shd w:val="clear" w:color="auto" w:fill="FFFFFF" w:themeFill="background1"/>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2" w:name="_Toc10723885"/>
      <w:bookmarkStart w:id="123" w:name="_Toc12621589"/>
      <w:bookmarkStart w:id="124" w:name="_Toc20409153"/>
      <w:bookmarkStart w:id="125" w:name="_Toc27523505"/>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2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3"/>
      <w:bookmarkEnd w:id="124"/>
      <w:bookmarkEnd w:id="125"/>
    </w:p>
    <w:p>
      <w:pPr>
        <w:shd w:val="clear" w:color="auto" w:fill="FFFFFF" w:themeFill="background1"/>
        <w:adjustRightInd w:val="0"/>
        <w:snapToGrid w:val="0"/>
        <w:spacing w:line="360" w:lineRule="auto"/>
        <w:ind w:firstLine="560" w:firstLineChars="200"/>
        <w:jc w:val="left"/>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老厂水库正常蓄水位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1982.74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46.51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），属于小型山区型水库，汇水面积较小，部分区域正常水位水平外延200</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区域超出汇水分水岭，故</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只</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设置一级保护区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shd w:val="clear" w:color="auto" w:fill="FFFFFF" w:themeFill="background1"/>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老厂</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1982.74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46.51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万m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小型水库。水库水面面积不大，因此将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老厂</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1982.74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m以下的全部水域划为一级保护区，面积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0.0566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shd w:val="clear" w:color="auto" w:fill="FFFFFF" w:themeFill="background1"/>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流域分水岭范围内一级保护区外的其他区域，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1.0110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shd w:val="clear" w:color="auto" w:fill="FFFFFF" w:themeFill="background1"/>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老厂</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56"/>
        <w:gridCol w:w="5259"/>
        <w:gridCol w:w="2245"/>
        <w:gridCol w:w="12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912" w:type="dxa"/>
            <w:gridSpan w:val="2"/>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5259"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245"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23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5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245"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老厂</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1982.74</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tc>
        <w:tc>
          <w:tcPr>
            <w:tcW w:w="123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0.0566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5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245"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流域分水岭范围内一级保护区外的其他区域</w:t>
            </w:r>
          </w:p>
        </w:tc>
        <w:tc>
          <w:tcPr>
            <w:tcW w:w="123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1.0110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16"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23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1.0676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16"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23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1.0676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650"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hd w:val="clear" w:color="auto" w:fill="FFFFFF" w:themeFill="background1"/>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6" w:name="_Toc12621593"/>
      <w:bookmarkStart w:id="127" w:name="_Toc20409156"/>
      <w:bookmarkStart w:id="128" w:name="_Toc27523506"/>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26"/>
      <w:bookmarkEnd w:id="127"/>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28"/>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29" w:name="_Toc25844364"/>
      <w:bookmarkStart w:id="130" w:name="_Toc12621597"/>
      <w:bookmarkStart w:id="131" w:name="_Toc27523507"/>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29"/>
      <w:bookmarkEnd w:id="130"/>
      <w:bookmarkEnd w:id="131"/>
    </w:p>
    <w:p>
      <w:pPr>
        <w:pStyle w:val="3"/>
        <w:rPr>
          <w:color w:val="0D0D0D" w:themeColor="text1" w:themeTint="F2"/>
          <w14:textFill>
            <w14:solidFill>
              <w14:schemeClr w14:val="tx1">
                <w14:lumMod w14:val="95000"/>
                <w14:lumOff w14:val="5000"/>
              </w14:schemeClr>
            </w14:solidFill>
          </w14:textFill>
        </w:rPr>
      </w:pPr>
      <w:bookmarkStart w:id="132" w:name="_Toc12621598"/>
      <w:bookmarkStart w:id="133" w:name="_Toc25844365"/>
      <w:bookmarkStart w:id="134" w:name="_Toc27523508"/>
      <w:bookmarkStart w:id="135"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32"/>
      <w:bookmarkEnd w:id="133"/>
      <w:bookmarkEnd w:id="134"/>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），结合老厂水库水源保护区规范化建设及管理现状、存在问题分析，针对老厂水库水源地保护区提出规范化建设项目。</w:t>
      </w:r>
      <w:bookmarkStart w:id="136" w:name="_Toc524596456"/>
    </w:p>
    <w:bookmarkEnd w:id="136"/>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7" w:name="_Toc17982536"/>
      <w:bookmarkStart w:id="138" w:name="_Toc25844366"/>
      <w:bookmarkStart w:id="139" w:name="_Toc27523509"/>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37"/>
      <w:bookmarkEnd w:id="138"/>
      <w:bookmarkEnd w:id="139"/>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0" w:name="_Toc452322606"/>
      <w:bookmarkStart w:id="141"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0"/>
      <w:bookmarkEnd w:id="14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老厂水库一级保护区陆域边界长4544m，根据水库周边林地分布及道路情况，主要沿水库东侧县道设置围网，需设围网的边界长1401m。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28.02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老厂水库一级保护区陆域边界长约4544m，陆域边界主要经过林地，在一级保护区陆域边界设置界桩，以明确一级保护区范围。界桩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。经测算，老厂水库一级保护区边界长4544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，共设拐点15个，需投资0.75万元。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在进出老厂水库一级保护区的道路沿线设置交通警示牌，共计3块；同时，为加强宣传保护，在一级保护区内居民点及进出县道道路口设置水源保护宣传牌，共计3块。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设置1块水库大坝告示碑，钢筋混凝土，200cm×50cm×250cm，估价2万元/座。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538"/>
        <w:gridCol w:w="1334"/>
        <w:gridCol w:w="1399"/>
        <w:gridCol w:w="182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blHeader/>
        </w:trPr>
        <w:tc>
          <w:tcPr>
            <w:tcW w:w="1221"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538"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334"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c>
          <w:tcPr>
            <w:tcW w:w="1399"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822"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3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老厂水库</w:t>
            </w: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4544</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1401m</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级保护区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4544</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大坝告示牌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7093"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33.77</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2" w:name="_Toc27523510"/>
      <w:bookmarkStart w:id="143" w:name="_Toc25844367"/>
      <w:bookmarkStart w:id="144" w:name="_Toc21795771"/>
      <w:bookmarkStart w:id="145" w:name="_Toc17982538"/>
      <w:bookmarkStart w:id="146" w:name="_Toc524596461"/>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42"/>
      <w:bookmarkEnd w:id="143"/>
      <w:bookmarkEnd w:id="144"/>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47" w:name="_Toc524596458"/>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老厂水库保护区划分结果，一级保护区内有少量居民居住及耕地种植，无与水源保护无关的建设项目及排口；一级保护区内主要有县道穿越。因此，老厂水库水源地主要对农村生活污水及垃圾、农业种植污染实施污染控制工程，并加强进库道路交通环境风险防控。</w:t>
      </w:r>
    </w:p>
    <w:bookmarkEnd w:id="147"/>
    <w:p>
      <w:pPr>
        <w:adjustRightInd w:val="0"/>
        <w:snapToGrid w:val="0"/>
        <w:spacing w:line="360" w:lineRule="auto"/>
        <w:ind w:firstLine="561"/>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48" w:name="_Toc524596460"/>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（1）退耕还林工程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现状有耕地约430.81亩（28.72hm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约68.93万元。</w:t>
      </w:r>
    </w:p>
    <w:p>
      <w:pPr>
        <w:adjustRightInd w:val="0"/>
        <w:snapToGrid w:val="0"/>
        <w:spacing w:line="360" w:lineRule="auto"/>
        <w:ind w:firstLine="561"/>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（2）农村生活面源治理工程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老厂水库一级保护区内主要少量居民居住，约22人，一级保护区内实施农村生活垃圾及生活污水处置工程。</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农村生活垃圾处置工程：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建成</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“组保洁、村收集、乡（镇）转运、县（市）区处置”的城乡生活垃圾无害化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收运处置四级管理体制，将保护区内农村生活垃圾集中收集并在保护区外进行无害化处置，近期农村生活垃圾收集处理率达80%。垃圾收集基础设施（垃圾房）每个自然村设置1个，按村委会投工投劳，政府补助方式实施，投资以0.5万元/个计；每个村委会配置1辆农用三轮摩托式垃圾清运车，以2万元/辆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老厂水库一级保护区内农村居民居住区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辆，共计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，投资0.50万元；垃圾及时清运到老厂镇集镇统一处理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农村生活垃圾处理共投资2.50万元。</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农村污水处置工程：保护区内开展生活污水收集处理的村庄数达到100%，农村生活污水收集处置率需达到50%。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老厂水库保护区内居民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居住分散，不具备生活污水集中收集处置条件，建议按户普及卫生厕所，用于生活污水处理</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农村卫生厕所普及工程：对保护区内的农户实</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施农村卫生厕所普及工程，对户用厕所实施“改厕”工</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程，保护区内户用卫生厕所普及率达</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%，按村民投工投劳，政府补助形式开展。户用卫生厕所投资按0.3万元/户计，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保护区户用卫生厕所投资约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1.50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（3）交通污染和风险控制</w:t>
      </w:r>
      <w:bookmarkEnd w:id="148"/>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老厂水库保护区内</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现状</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县道X050穿过一级保护区，穿越路段长约1.059km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为防止和杜绝保护区沿岸道路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车辆通过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带来的污染和运输事故带来的污染隐患，</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在进入一级保护区路段设置饮用水源保护区交通安全标志，</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，规划</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1.50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；同时，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需设置一级保护区路段截排水沟，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10.59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290"/>
        <w:gridCol w:w="1233"/>
        <w:gridCol w:w="1820"/>
        <w:gridCol w:w="1363"/>
        <w:gridCol w:w="1233"/>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blHeader/>
          <w:jc w:val="center"/>
        </w:trPr>
        <w:tc>
          <w:tcPr>
            <w:tcW w:w="1779"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290" w:type="dxa"/>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名称</w:t>
            </w:r>
          </w:p>
        </w:tc>
        <w:tc>
          <w:tcPr>
            <w:tcW w:w="123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820"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措施</w:t>
            </w:r>
          </w:p>
        </w:tc>
        <w:tc>
          <w:tcPr>
            <w:tcW w:w="136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23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93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779"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县道X050</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1.059</w:t>
            </w:r>
          </w:p>
        </w:tc>
        <w:tc>
          <w:tcPr>
            <w:tcW w:w="1820"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363"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1.059km</w:t>
            </w:r>
          </w:p>
        </w:tc>
        <w:tc>
          <w:tcPr>
            <w:tcW w:w="1233"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93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10.59</w:t>
            </w:r>
          </w:p>
        </w:tc>
      </w:tr>
    </w:tbl>
    <w:p>
      <w:pPr>
        <w:adjustRightInd w:val="0"/>
        <w:snapToGrid w:val="0"/>
        <w:spacing w:before="156" w:beforeLines="50"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49" w:name="_Toc27523511"/>
      <w:bookmarkStart w:id="150" w:name="_Toc25844368"/>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）煤矿采矿权风险防控工程</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老厂水库保护区范围与普柏煤矿采矿区重叠，且重叠区域占水库保护区面积比例较大，为避免煤矿开采对水库造成的环境污染风险，普柏煤矿采矿权范围应退出重叠区。</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45"/>
      <w:bookmarkEnd w:id="146"/>
      <w:bookmarkEnd w:id="149"/>
      <w:bookmarkEnd w:id="150"/>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对老厂水库一级保护区内全部退耕地430.81亩实施人工造林。投资以0.15万元/亩计。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486"/>
        <w:gridCol w:w="1673"/>
        <w:gridCol w:w="1604"/>
        <w:gridCol w:w="144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79"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277"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79"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04"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28.72</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28.72</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430.81</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64.62</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老厂水库对一级保护区内流失面积48.54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24.27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28"/>
        <w:gridCol w:w="1981"/>
        <w:gridCol w:w="1785"/>
        <w:gridCol w:w="1276"/>
        <w:gridCol w:w="28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94.85</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48.54</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24.27</w:t>
            </w:r>
          </w:p>
        </w:tc>
        <w:tc>
          <w:tcPr>
            <w:tcW w:w="2880"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1" w:name="_Toc27523512"/>
      <w:bookmarkStart w:id="152" w:name="_Toc17982539"/>
      <w:bookmarkStart w:id="153" w:name="_Toc25844369"/>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51"/>
      <w:bookmarkEnd w:id="152"/>
      <w:bookmarkEnd w:id="153"/>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需加强水源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2503"/>
        <w:gridCol w:w="2171"/>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92"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2171"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387"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开展水源保护区环境监管，定期巡查水库保护区，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严禁畜禽放牧、垂钓等可能污染水源的活动，并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项具体工程内容。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261.18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35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549"/>
        <w:gridCol w:w="7796"/>
        <w:gridCol w:w="1417"/>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54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779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41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592"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老厂水库一级保护区内东侧县道及大坝周边设立围网</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1401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，一级保护区陆域边界按拐点设置界桩15个，保护区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块，保护区居民点及进出道路口设置水源保护区宣传牌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块，大坝告示牌1块。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33.77</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430.81</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亩实施退耕还林。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68.93</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农村卫生厕所普及工程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保护区内分散居民户普及户用卫生厕所，以0.3万元/户计。</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农村生活垃圾污染控制工程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w:t>
            </w:r>
            <w:r>
              <w:rPr>
                <w:rFonts w:ascii="仿宋" w:hAnsi="仿宋" w:eastAsia="仿宋" w:cs="宋体"/>
                <w:color w:val="0D0D0D" w:themeColor="text1" w:themeTint="F2"/>
                <w:kern w:val="0"/>
                <w:sz w:val="24"/>
                <w:szCs w:val="24"/>
                <w14:textFill>
                  <w14:solidFill>
                    <w14:schemeClr w14:val="tx1">
                      <w14:lumMod w14:val="95000"/>
                      <w14:lumOff w14:val="5000"/>
                    </w14:schemeClr>
                  </w14:solidFill>
                </w14:textFill>
              </w:rPr>
              <w:t>成“组保洁、村收集、乡（镇）转运、县（市）区处置”的城乡</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生活垃圾无害化收运处置四级管理体制。</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老厂水库保护区内农村居民约22人</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配置1个</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圾收集基础设施</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、1辆垃圾清运车辆</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完善一级保护区内1.059km县道截排水沟。</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10.59</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煤矿采矿权风险防控工程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普柏煤矿采矿权范围退出老厂水库饮用水水源保护区范围，禁止煤矿工矿场地设置在水库保护区范围内。</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县自然资源局、县煤炭局、县水务局、县生态环境局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对老厂水库一级保护区内全部耕地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430.81亩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实施人工造林。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64.62</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对水源地保护区水土流失面积进行综合治理，同时开展水土流失监测。老厂水库一级保护区水土流失治理面积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48.54</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24.27</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县生态环境分局、县水务局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老厂水库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严格按相关法律法规要求开展水源保护区环境监管，定期巡查水库保护区，定期开展饮用水水源地环境状况评估。</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县水利局、县生态环境分局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341"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合计</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261.18</w:t>
            </w:r>
          </w:p>
        </w:tc>
        <w:tc>
          <w:tcPr>
            <w:tcW w:w="1592"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bookmarkEnd w:id="135"/>
    <w:p>
      <w:pPr>
        <w:pStyle w:val="3"/>
        <w:rPr>
          <w:color w:val="0D0D0D" w:themeColor="text1" w:themeTint="F2"/>
          <w14:textFill>
            <w14:solidFill>
              <w14:schemeClr w14:val="tx1">
                <w14:lumMod w14:val="95000"/>
                <w14:lumOff w14:val="5000"/>
              </w14:schemeClr>
            </w14:solidFill>
          </w14:textFill>
        </w:rPr>
      </w:pPr>
      <w:bookmarkStart w:id="154" w:name="_Toc27523513"/>
      <w:bookmarkStart w:id="155" w:name="_Toc25844370"/>
      <w:bookmarkStart w:id="156" w:name="_Toc12621603"/>
      <w:bookmarkStart w:id="157" w:name="_Toc12536222"/>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54"/>
      <w:bookmarkEnd w:id="155"/>
      <w:bookmarkEnd w:id="156"/>
      <w:bookmarkEnd w:id="157"/>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8" w:name="_Toc25844371"/>
      <w:bookmarkStart w:id="159" w:name="_Toc27523514"/>
      <w:bookmarkStart w:id="160" w:name="_Toc17982541"/>
      <w:bookmarkStart w:id="161" w:name="_Toc531261192"/>
      <w:bookmarkStart w:id="162" w:name="_Toc524596485"/>
      <w:bookmarkStart w:id="163" w:name="_Toc478742873"/>
      <w:bookmarkStart w:id="164" w:name="_Toc452322643"/>
      <w:bookmarkStart w:id="165" w:name="_Toc299451597"/>
      <w:bookmarkStart w:id="166" w:name="_Toc169526926"/>
      <w:bookmarkStart w:id="167" w:name="_Toc200905568"/>
      <w:bookmarkStart w:id="168" w:name="_Toc169504813"/>
      <w:bookmarkStart w:id="169" w:name="_Toc169506163"/>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58"/>
      <w:bookmarkEnd w:id="159"/>
      <w:bookmarkEnd w:id="160"/>
      <w:bookmarkEnd w:id="161"/>
      <w:bookmarkEnd w:id="162"/>
      <w:bookmarkEnd w:id="163"/>
      <w:bookmarkEnd w:id="164"/>
      <w:bookmarkEnd w:id="165"/>
      <w:bookmarkEnd w:id="166"/>
      <w:bookmarkEnd w:id="167"/>
      <w:bookmarkEnd w:id="168"/>
      <w:bookmarkEnd w:id="169"/>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261.18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稳定达标</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70" w:name="_Toc27523515"/>
      <w:bookmarkStart w:id="171" w:name="_Toc25844372"/>
      <w:bookmarkStart w:id="172" w:name="_Toc524596486"/>
      <w:bookmarkStart w:id="173" w:name="_Toc17982542"/>
      <w:bookmarkStart w:id="174" w:name="_Toc531261193"/>
      <w:bookmarkStart w:id="175" w:name="_Toc478742874"/>
      <w:bookmarkStart w:id="176" w:name="_Toc452322644"/>
      <w:bookmarkStart w:id="177" w:name="_Toc299451598"/>
      <w:bookmarkStart w:id="178" w:name="_Toc200905569"/>
      <w:bookmarkStart w:id="179" w:name="_Toc169526927"/>
      <w:bookmarkStart w:id="180" w:name="_Toc169506164"/>
      <w:bookmarkStart w:id="181" w:name="_Toc169504814"/>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70"/>
      <w:bookmarkEnd w:id="171"/>
      <w:bookmarkEnd w:id="172"/>
      <w:bookmarkEnd w:id="173"/>
      <w:bookmarkEnd w:id="174"/>
      <w:bookmarkEnd w:id="175"/>
      <w:bookmarkEnd w:id="176"/>
      <w:bookmarkEnd w:id="177"/>
      <w:bookmarkEnd w:id="178"/>
      <w:bookmarkEnd w:id="179"/>
      <w:bookmarkEnd w:id="180"/>
      <w:bookmarkEnd w:id="181"/>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2" w:name="_Toc200905570"/>
      <w:bookmarkStart w:id="183" w:name="_Toc299451599"/>
      <w:bookmarkStart w:id="184" w:name="_Toc452322645"/>
      <w:bookmarkStart w:id="185" w:name="_Toc478742875"/>
      <w:bookmarkStart w:id="186" w:name="_Toc52459648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范围划定</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bookmarkEnd w:id="182"/>
      <w:bookmarkEnd w:id="183"/>
      <w:bookmarkEnd w:id="184"/>
      <w:bookmarkEnd w:id="185"/>
      <w:bookmarkEnd w:id="186"/>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目标的实现，规划在一级保护区边界设置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明确老厂水库保护区范围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保护区范围划定工程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7" w:name="_Toc299451600"/>
      <w:bookmarkStart w:id="188" w:name="_Toc452322646"/>
      <w:bookmarkStart w:id="189" w:name="_Toc478742876"/>
      <w:bookmarkStart w:id="190" w:name="_Toc52459648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保护区污染控制工程</w:t>
      </w:r>
      <w:bookmarkEnd w:id="187"/>
      <w:bookmarkEnd w:id="188"/>
      <w:bookmarkEnd w:id="189"/>
      <w:bookmarkEnd w:id="190"/>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道路设置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警示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，设置道路截排水沟，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降低保护区内交通事故污染风险及危害</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；实施农村生活污水及生活垃圾处置工程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1" w:name="_Toc200905571"/>
      <w:bookmarkStart w:id="192" w:name="_Toc299451601"/>
      <w:bookmarkStart w:id="193" w:name="_Toc452322647"/>
      <w:bookmarkStart w:id="194" w:name="_Toc478742877"/>
      <w:bookmarkStart w:id="195" w:name="_Toc52459648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91"/>
      <w:bookmarkEnd w:id="192"/>
      <w:bookmarkEnd w:id="193"/>
      <w:bookmarkEnd w:id="194"/>
      <w:bookmarkEnd w:id="195"/>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通过水土流失治理生态恢复和建设工程，建设保护水源涵养林和水土保持林，将进一步提高保护区林草覆盖率，降低流域土壤侵蚀强度，从而提高流域水源涵养能力，降低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6" w:name="_Toc299451602"/>
      <w:bookmarkStart w:id="197" w:name="_Toc452322648"/>
      <w:bookmarkStart w:id="198" w:name="_Toc478742878"/>
      <w:bookmarkStart w:id="199" w:name="_Toc52459649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6"/>
      <w:bookmarkEnd w:id="197"/>
      <w:bookmarkEnd w:id="198"/>
      <w:bookmarkEnd w:id="19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200" w:name="_Toc169504815"/>
      <w:bookmarkStart w:id="201" w:name="_Toc169506165"/>
      <w:bookmarkStart w:id="202" w:name="_Toc169526928"/>
      <w:bookmarkStart w:id="203" w:name="_Toc200905575"/>
      <w:bookmarkStart w:id="204" w:name="_Toc299451603"/>
      <w:bookmarkStart w:id="205" w:name="_Toc452322649"/>
      <w:bookmarkStart w:id="206" w:name="_Toc478742879"/>
      <w:bookmarkStart w:id="207" w:name="_Toc524596491"/>
      <w:bookmarkStart w:id="208" w:name="_Toc531261194"/>
      <w:bookmarkStart w:id="209" w:name="_Toc17982543"/>
      <w:bookmarkStart w:id="210" w:name="_Toc25844373"/>
      <w:bookmarkStart w:id="211" w:name="_Toc27523516"/>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200"/>
      <w:bookmarkEnd w:id="201"/>
      <w:bookmarkEnd w:id="202"/>
      <w:bookmarkEnd w:id="203"/>
      <w:bookmarkEnd w:id="204"/>
      <w:bookmarkEnd w:id="205"/>
      <w:bookmarkEnd w:id="206"/>
      <w:bookmarkEnd w:id="207"/>
      <w:bookmarkEnd w:id="208"/>
      <w:bookmarkEnd w:id="209"/>
      <w:bookmarkEnd w:id="210"/>
      <w:bookmarkEnd w:id="211"/>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对一级保护区实施保护区范围划定工程，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减少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人为活动对水质的影响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同时实施污染防治、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生态防护工程，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加强水源保护内涵养林建设，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确保水源区水源充足，水质优良。</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keepNext/>
        <w:keepLines/>
        <w:shd w:val="clear" w:color="auto" w:fill="FFFFFF" w:themeFill="background1"/>
        <w:spacing w:before="340" w:after="330" w:line="578" w:lineRule="auto"/>
        <w:jc w:val="center"/>
        <w:outlineLvl w:val="0"/>
        <w:rPr>
          <w:rFonts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pPr>
      <w:bookmarkStart w:id="212" w:name="_Toc27523517"/>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第五章饮用水水源保护区划分方案、图件及有关说明</w:t>
      </w:r>
      <w:bookmarkEnd w:id="212"/>
      <w:r>
        <w:rPr>
          <w:rFonts w:hint="eastAsia"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t xml:space="preserve"> </w:t>
      </w:r>
    </w:p>
    <w:p>
      <w:pPr>
        <w:keepNext/>
        <w:keepLines/>
        <w:shd w:val="clear" w:color="auto" w:fill="FFFFFF" w:themeFill="background1"/>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3" w:name="_Toc12621608"/>
      <w:bookmarkStart w:id="214" w:name="_Toc20409173"/>
      <w:bookmarkStart w:id="215" w:name="_Toc27523518"/>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饮用水水源保护区划分方案</w:t>
      </w:r>
      <w:bookmarkEnd w:id="213"/>
      <w:bookmarkEnd w:id="214"/>
      <w:bookmarkEnd w:id="215"/>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老厂水库属于小型山区型水库，汇水面积较小，部分区域正常水位水平外延200</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区域超出汇水分水岭，故只设置一级保护区。划分结果如下：</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水域：正常水位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1982.74m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以下水域，面积约</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0.0566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流域分水岭范围内一级保护区外的其他区域，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1.0110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shd w:val="clear" w:color="auto" w:fill="FFFFFF" w:themeFill="background1"/>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1.0676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hd w:val="clear" w:color="auto" w:fill="FFFFFF" w:themeFill="background1"/>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6" w:name="_Toc12621609"/>
      <w:bookmarkStart w:id="217" w:name="_Toc27523519"/>
      <w:bookmarkStart w:id="218" w:name="_Toc20409174"/>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5.2 饮用水水源保护区划分图件</w:t>
      </w:r>
      <w:bookmarkEnd w:id="216"/>
      <w:bookmarkEnd w:id="217"/>
      <w:bookmarkEnd w:id="218"/>
    </w:p>
    <w:p>
      <w:pPr>
        <w:shd w:val="clear" w:color="auto" w:fill="FFFFFF" w:themeFill="background1"/>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老厂水库饮用水水源地边界主要拐点的经纬度坐标见表5-1。</w:t>
      </w:r>
    </w:p>
    <w:p>
      <w:pPr>
        <w:shd w:val="clear" w:color="auto" w:fill="FFFFFF" w:themeFill="background1"/>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19"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富源县老厂</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19"/>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88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trPr>
        <w:tc>
          <w:tcPr>
            <w:tcW w:w="96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31' 54.328"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13' 45.767"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31' 51.626"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13' 49.202"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31' 40.417"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14' 4.251"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31' 27.751"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14' 13.524"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31' 32.172"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14' 18.394"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31' 45.537"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14' 19.957"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31' 54.171"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14' 26.519"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32' 2.140"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14' 21.124"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32' 10.231"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14' 11.320"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A10</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32' 21.389"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14' 4.559"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A11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32' 13.393"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13' 59.299"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A12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32' 11.690"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13' 52.651"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A13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32' 10.280"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13' 44.508"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A14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32' 2.636"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13' 37.707"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A15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104° 32' 0.425"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25° 13' 37.493" N</w:t>
            </w:r>
          </w:p>
        </w:tc>
      </w:tr>
    </w:tbl>
    <w:p>
      <w:pPr>
        <w:adjustRightInd w:val="0"/>
        <w:snapToGrid w:val="0"/>
        <w:spacing w:line="360" w:lineRule="auto"/>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74"/>
    <w:bookmarkEnd w:id="75"/>
    <w:bookmarkEnd w:id="76"/>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0" w:name="_Toc27523520"/>
      <w:bookmarkStart w:id="221" w:name="_Toc12621932"/>
      <w:bookmarkStart w:id="222" w:name="_Toc531261196"/>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0"/>
      <w:bookmarkEnd w:id="221"/>
      <w:bookmarkEnd w:id="222"/>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23" w:name="_Toc18506561"/>
      <w:bookmarkStart w:id="224" w:name="_Toc27523521"/>
      <w:r>
        <w:rPr>
          <w:rFonts w:cs="Times New Roman"/>
          <w:color w:val="0D0D0D" w:themeColor="text1" w:themeTint="F2"/>
          <w:sz w:val="28"/>
          <w:szCs w:val="28"/>
          <w14:textFill>
            <w14:solidFill>
              <w14:schemeClr w14:val="tx1">
                <w14:lumMod w14:val="95000"/>
                <w14:lumOff w14:val="5000"/>
              </w14:schemeClr>
            </w14:solidFill>
          </w14:textFill>
        </w:rPr>
        <w:t>附表2 富源县老厂水库饮用水水源地基础信息表</w:t>
      </w:r>
      <w:bookmarkEnd w:id="223"/>
      <w:bookmarkEnd w:id="224"/>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老厂水库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727"/>
        <w:gridCol w:w="1232"/>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老厂水库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老厂镇</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HA0114530325109R0001</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104°31′53"</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25°13′49"</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1982.7</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老厂镇</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富源县老厂镇自来水厂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25" w:name="_Toc12621934"/>
      <w:bookmarkStart w:id="226" w:name="_Toc10723935"/>
    </w:p>
    <w:p>
      <w:pPr>
        <w:pStyle w:val="3"/>
        <w:ind w:left="141"/>
        <w:rPr>
          <w:rFonts w:ascii="仿宋" w:hAnsi="仿宋"/>
          <w:color w:val="0D0D0D" w:themeColor="text1" w:themeTint="F2"/>
          <w:sz w:val="28"/>
          <w:szCs w:val="28"/>
          <w14:textFill>
            <w14:solidFill>
              <w14:schemeClr w14:val="tx1">
                <w14:lumMod w14:val="95000"/>
                <w14:lumOff w14:val="5000"/>
              </w14:schemeClr>
            </w14:solidFill>
          </w14:textFill>
        </w:rPr>
      </w:pPr>
      <w:bookmarkStart w:id="227" w:name="_Toc27523522"/>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25"/>
      <w:bookmarkEnd w:id="226"/>
      <w:r>
        <w:rPr>
          <w:rFonts w:hint="eastAsia" w:cs="Times New Roman"/>
          <w:color w:val="0D0D0D" w:themeColor="text1" w:themeTint="F2"/>
          <w:sz w:val="28"/>
          <w:szCs w:val="28"/>
          <w14:textFill>
            <w14:solidFill>
              <w14:schemeClr w14:val="tx1">
                <w14:lumMod w14:val="95000"/>
                <w14:lumOff w14:val="5000"/>
              </w14:schemeClr>
            </w14:solidFill>
          </w14:textFill>
        </w:rPr>
        <w:t xml:space="preserve"> </w:t>
      </w:r>
      <w:r>
        <w:rPr>
          <w:rFonts w:hint="eastAsia" w:ascii="仿宋" w:hAnsi="仿宋"/>
          <w:color w:val="0D0D0D" w:themeColor="text1" w:themeTint="F2"/>
          <w:sz w:val="28"/>
          <w:szCs w:val="28"/>
          <w14:textFill>
            <w14:solidFill>
              <w14:schemeClr w14:val="tx1">
                <w14:lumMod w14:val="95000"/>
                <w14:lumOff w14:val="5000"/>
              </w14:schemeClr>
            </w14:solidFill>
          </w14:textFill>
        </w:rPr>
        <w:t>富源县老厂水库集中式饮用水水源保护区划分结果表</w:t>
      </w:r>
      <w:bookmarkEnd w:id="227"/>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老厂</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Layout w:type="fixed"/>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老厂水库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1.0676</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566</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1.011</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水域：老厂水库正常蓄水位1982.74m以下的全部水域。</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陆域：流域分水岭范围内一级保护区外的其他区域为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bl>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28" w:name="_Toc27523523"/>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富源县老厂水库饮用水水源地保护区污染源调查表</w:t>
      </w:r>
      <w:bookmarkEnd w:id="228"/>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老厂水库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134"/>
        <w:gridCol w:w="2297"/>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297"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老厂水库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28.72公顷；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94.85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bookmarkStart w:id="229" w:name="OLE_LINK3"/>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县道X050</w:t>
            </w:r>
            <w:bookmarkEnd w:id="229"/>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农业农村面源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1.农村生活污水及垃圾面源污染；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农村</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3.农村卫生厕所普及工程；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5.交通污染控制工程；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3851621"/>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5 -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861279"/>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37 -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0BAA"/>
    <w:rsid w:val="00002B1D"/>
    <w:rsid w:val="000051A7"/>
    <w:rsid w:val="000057B4"/>
    <w:rsid w:val="000057E5"/>
    <w:rsid w:val="00006389"/>
    <w:rsid w:val="00012715"/>
    <w:rsid w:val="00013924"/>
    <w:rsid w:val="0002043B"/>
    <w:rsid w:val="000214DD"/>
    <w:rsid w:val="00023B70"/>
    <w:rsid w:val="000245F6"/>
    <w:rsid w:val="00024D03"/>
    <w:rsid w:val="000315A7"/>
    <w:rsid w:val="0003527E"/>
    <w:rsid w:val="0003553B"/>
    <w:rsid w:val="000362D7"/>
    <w:rsid w:val="00036A97"/>
    <w:rsid w:val="00037199"/>
    <w:rsid w:val="00041333"/>
    <w:rsid w:val="00042407"/>
    <w:rsid w:val="000439BE"/>
    <w:rsid w:val="00044BEE"/>
    <w:rsid w:val="000453C1"/>
    <w:rsid w:val="0004636E"/>
    <w:rsid w:val="00047106"/>
    <w:rsid w:val="00053296"/>
    <w:rsid w:val="00053EA4"/>
    <w:rsid w:val="00055B7B"/>
    <w:rsid w:val="00055BA1"/>
    <w:rsid w:val="0005728E"/>
    <w:rsid w:val="00057724"/>
    <w:rsid w:val="0006100B"/>
    <w:rsid w:val="00071E63"/>
    <w:rsid w:val="00073188"/>
    <w:rsid w:val="00073243"/>
    <w:rsid w:val="00075CD2"/>
    <w:rsid w:val="0008082C"/>
    <w:rsid w:val="000809AA"/>
    <w:rsid w:val="000857FC"/>
    <w:rsid w:val="00087EE8"/>
    <w:rsid w:val="000924F1"/>
    <w:rsid w:val="00092F78"/>
    <w:rsid w:val="000946A3"/>
    <w:rsid w:val="000951D8"/>
    <w:rsid w:val="00096094"/>
    <w:rsid w:val="000A0EB9"/>
    <w:rsid w:val="000A30C6"/>
    <w:rsid w:val="000A42F3"/>
    <w:rsid w:val="000B2196"/>
    <w:rsid w:val="000B32DF"/>
    <w:rsid w:val="000B75C5"/>
    <w:rsid w:val="000C2B01"/>
    <w:rsid w:val="000C4766"/>
    <w:rsid w:val="000C6BCB"/>
    <w:rsid w:val="000D20A8"/>
    <w:rsid w:val="000D6FD0"/>
    <w:rsid w:val="000E1D72"/>
    <w:rsid w:val="000E3763"/>
    <w:rsid w:val="000E5B0E"/>
    <w:rsid w:val="000F0431"/>
    <w:rsid w:val="000F2DDA"/>
    <w:rsid w:val="000F3D90"/>
    <w:rsid w:val="000F51D5"/>
    <w:rsid w:val="000F724C"/>
    <w:rsid w:val="000F7402"/>
    <w:rsid w:val="00103D7C"/>
    <w:rsid w:val="00104C08"/>
    <w:rsid w:val="00110EEA"/>
    <w:rsid w:val="00117795"/>
    <w:rsid w:val="00120915"/>
    <w:rsid w:val="00120A22"/>
    <w:rsid w:val="00130C7D"/>
    <w:rsid w:val="00130E81"/>
    <w:rsid w:val="00132BB7"/>
    <w:rsid w:val="00133EF1"/>
    <w:rsid w:val="00134E5A"/>
    <w:rsid w:val="0014035B"/>
    <w:rsid w:val="00142C7C"/>
    <w:rsid w:val="00143B51"/>
    <w:rsid w:val="001450A5"/>
    <w:rsid w:val="001515D1"/>
    <w:rsid w:val="00153EE5"/>
    <w:rsid w:val="00154210"/>
    <w:rsid w:val="00154E81"/>
    <w:rsid w:val="00160938"/>
    <w:rsid w:val="0016142D"/>
    <w:rsid w:val="0016272A"/>
    <w:rsid w:val="00163FD7"/>
    <w:rsid w:val="001650DD"/>
    <w:rsid w:val="0017193D"/>
    <w:rsid w:val="0017196E"/>
    <w:rsid w:val="00173D56"/>
    <w:rsid w:val="00173E5C"/>
    <w:rsid w:val="00174CAB"/>
    <w:rsid w:val="001752E9"/>
    <w:rsid w:val="0017618B"/>
    <w:rsid w:val="00176EA7"/>
    <w:rsid w:val="0017771E"/>
    <w:rsid w:val="00183092"/>
    <w:rsid w:val="00186949"/>
    <w:rsid w:val="00194212"/>
    <w:rsid w:val="001960C1"/>
    <w:rsid w:val="001A0ADE"/>
    <w:rsid w:val="001A2E28"/>
    <w:rsid w:val="001A4329"/>
    <w:rsid w:val="001A6C05"/>
    <w:rsid w:val="001B0953"/>
    <w:rsid w:val="001B3522"/>
    <w:rsid w:val="001B399F"/>
    <w:rsid w:val="001B4EB6"/>
    <w:rsid w:val="001B6646"/>
    <w:rsid w:val="001C0FDC"/>
    <w:rsid w:val="001C3F90"/>
    <w:rsid w:val="001C5CC1"/>
    <w:rsid w:val="001C79D2"/>
    <w:rsid w:val="001C7F24"/>
    <w:rsid w:val="001D007F"/>
    <w:rsid w:val="001D2B32"/>
    <w:rsid w:val="001D4DCB"/>
    <w:rsid w:val="001E28B4"/>
    <w:rsid w:val="001E2CBB"/>
    <w:rsid w:val="001E3BB6"/>
    <w:rsid w:val="001E7E56"/>
    <w:rsid w:val="001F09BA"/>
    <w:rsid w:val="001F1CA1"/>
    <w:rsid w:val="001F2ED2"/>
    <w:rsid w:val="001F39C9"/>
    <w:rsid w:val="001F4959"/>
    <w:rsid w:val="001F52BD"/>
    <w:rsid w:val="001F63D6"/>
    <w:rsid w:val="00200B72"/>
    <w:rsid w:val="00201A2D"/>
    <w:rsid w:val="002048A9"/>
    <w:rsid w:val="00204F32"/>
    <w:rsid w:val="0021314E"/>
    <w:rsid w:val="00214F7F"/>
    <w:rsid w:val="00217CB5"/>
    <w:rsid w:val="00220ABF"/>
    <w:rsid w:val="00222862"/>
    <w:rsid w:val="002232B1"/>
    <w:rsid w:val="00224286"/>
    <w:rsid w:val="002242F4"/>
    <w:rsid w:val="00224325"/>
    <w:rsid w:val="00225115"/>
    <w:rsid w:val="00225CD6"/>
    <w:rsid w:val="00225CE4"/>
    <w:rsid w:val="00226D3D"/>
    <w:rsid w:val="00234AD7"/>
    <w:rsid w:val="00234D47"/>
    <w:rsid w:val="00235ADC"/>
    <w:rsid w:val="00236BEF"/>
    <w:rsid w:val="00240A23"/>
    <w:rsid w:val="002428DE"/>
    <w:rsid w:val="00242E6F"/>
    <w:rsid w:val="00242F0A"/>
    <w:rsid w:val="00245EF1"/>
    <w:rsid w:val="00254575"/>
    <w:rsid w:val="002567B7"/>
    <w:rsid w:val="00260EF2"/>
    <w:rsid w:val="0026158C"/>
    <w:rsid w:val="0027167D"/>
    <w:rsid w:val="00274605"/>
    <w:rsid w:val="002802DD"/>
    <w:rsid w:val="002802F5"/>
    <w:rsid w:val="00287392"/>
    <w:rsid w:val="0028794B"/>
    <w:rsid w:val="00287ED2"/>
    <w:rsid w:val="002920BF"/>
    <w:rsid w:val="0029326D"/>
    <w:rsid w:val="0029330D"/>
    <w:rsid w:val="00293CBE"/>
    <w:rsid w:val="002952CC"/>
    <w:rsid w:val="002A0A80"/>
    <w:rsid w:val="002A1BF4"/>
    <w:rsid w:val="002B782D"/>
    <w:rsid w:val="002C011A"/>
    <w:rsid w:val="002C03F5"/>
    <w:rsid w:val="002C177D"/>
    <w:rsid w:val="002C1896"/>
    <w:rsid w:val="002C2F2C"/>
    <w:rsid w:val="002C7C4F"/>
    <w:rsid w:val="002D0832"/>
    <w:rsid w:val="002D0CA3"/>
    <w:rsid w:val="002D311E"/>
    <w:rsid w:val="002D34B3"/>
    <w:rsid w:val="002D34CB"/>
    <w:rsid w:val="002D5179"/>
    <w:rsid w:val="002D7662"/>
    <w:rsid w:val="002D792B"/>
    <w:rsid w:val="002E2790"/>
    <w:rsid w:val="002E392F"/>
    <w:rsid w:val="002E3B7F"/>
    <w:rsid w:val="002F3241"/>
    <w:rsid w:val="002F66F4"/>
    <w:rsid w:val="002F6799"/>
    <w:rsid w:val="002F7BDA"/>
    <w:rsid w:val="0030118C"/>
    <w:rsid w:val="00303208"/>
    <w:rsid w:val="00310CB9"/>
    <w:rsid w:val="00321A93"/>
    <w:rsid w:val="00323D7E"/>
    <w:rsid w:val="003246BF"/>
    <w:rsid w:val="0032502D"/>
    <w:rsid w:val="003266F7"/>
    <w:rsid w:val="00326FEE"/>
    <w:rsid w:val="003273E4"/>
    <w:rsid w:val="00331309"/>
    <w:rsid w:val="00334C17"/>
    <w:rsid w:val="0034002A"/>
    <w:rsid w:val="0034299F"/>
    <w:rsid w:val="00345183"/>
    <w:rsid w:val="003477F8"/>
    <w:rsid w:val="00352FAA"/>
    <w:rsid w:val="00355FE5"/>
    <w:rsid w:val="00356AAB"/>
    <w:rsid w:val="00357883"/>
    <w:rsid w:val="003607FE"/>
    <w:rsid w:val="0036175A"/>
    <w:rsid w:val="00363792"/>
    <w:rsid w:val="0036488D"/>
    <w:rsid w:val="00364FC4"/>
    <w:rsid w:val="00366654"/>
    <w:rsid w:val="003700F0"/>
    <w:rsid w:val="00370EE0"/>
    <w:rsid w:val="00371709"/>
    <w:rsid w:val="0037229F"/>
    <w:rsid w:val="00377B96"/>
    <w:rsid w:val="00377CBD"/>
    <w:rsid w:val="00377F77"/>
    <w:rsid w:val="00382B27"/>
    <w:rsid w:val="00385DD3"/>
    <w:rsid w:val="00386464"/>
    <w:rsid w:val="003867C9"/>
    <w:rsid w:val="0038733E"/>
    <w:rsid w:val="00387B0B"/>
    <w:rsid w:val="00392320"/>
    <w:rsid w:val="00393054"/>
    <w:rsid w:val="00394A47"/>
    <w:rsid w:val="003A0A97"/>
    <w:rsid w:val="003A25C1"/>
    <w:rsid w:val="003A47C9"/>
    <w:rsid w:val="003A72D2"/>
    <w:rsid w:val="003B0CA0"/>
    <w:rsid w:val="003B14E9"/>
    <w:rsid w:val="003B28C4"/>
    <w:rsid w:val="003B437D"/>
    <w:rsid w:val="003C0DB4"/>
    <w:rsid w:val="003C522D"/>
    <w:rsid w:val="003C5268"/>
    <w:rsid w:val="003C6F4A"/>
    <w:rsid w:val="003C749D"/>
    <w:rsid w:val="003D161A"/>
    <w:rsid w:val="003D18FF"/>
    <w:rsid w:val="003D255A"/>
    <w:rsid w:val="003D33EA"/>
    <w:rsid w:val="003D5C8D"/>
    <w:rsid w:val="003D6A90"/>
    <w:rsid w:val="003D775F"/>
    <w:rsid w:val="003E538F"/>
    <w:rsid w:val="003E6141"/>
    <w:rsid w:val="003F5C1B"/>
    <w:rsid w:val="00400090"/>
    <w:rsid w:val="00400A21"/>
    <w:rsid w:val="0040266F"/>
    <w:rsid w:val="004031BA"/>
    <w:rsid w:val="004106CF"/>
    <w:rsid w:val="00412929"/>
    <w:rsid w:val="00414205"/>
    <w:rsid w:val="0041546F"/>
    <w:rsid w:val="00416620"/>
    <w:rsid w:val="004228AD"/>
    <w:rsid w:val="00422F26"/>
    <w:rsid w:val="00423A27"/>
    <w:rsid w:val="00425590"/>
    <w:rsid w:val="004255AC"/>
    <w:rsid w:val="004272C3"/>
    <w:rsid w:val="00427307"/>
    <w:rsid w:val="00432439"/>
    <w:rsid w:val="00434F19"/>
    <w:rsid w:val="004367C6"/>
    <w:rsid w:val="00441F44"/>
    <w:rsid w:val="00445E0F"/>
    <w:rsid w:val="00446EFC"/>
    <w:rsid w:val="0045221E"/>
    <w:rsid w:val="00454914"/>
    <w:rsid w:val="00455EB4"/>
    <w:rsid w:val="004628EA"/>
    <w:rsid w:val="004635E7"/>
    <w:rsid w:val="00470C5A"/>
    <w:rsid w:val="0047226A"/>
    <w:rsid w:val="00472908"/>
    <w:rsid w:val="004736C1"/>
    <w:rsid w:val="004812C3"/>
    <w:rsid w:val="004834DC"/>
    <w:rsid w:val="004855FD"/>
    <w:rsid w:val="00486D39"/>
    <w:rsid w:val="0049184D"/>
    <w:rsid w:val="0049203A"/>
    <w:rsid w:val="00492DB3"/>
    <w:rsid w:val="00494395"/>
    <w:rsid w:val="004950FB"/>
    <w:rsid w:val="00496AF6"/>
    <w:rsid w:val="004979B2"/>
    <w:rsid w:val="004A1047"/>
    <w:rsid w:val="004A1E4D"/>
    <w:rsid w:val="004B1778"/>
    <w:rsid w:val="004B4154"/>
    <w:rsid w:val="004B6FC4"/>
    <w:rsid w:val="004B7587"/>
    <w:rsid w:val="004B76E0"/>
    <w:rsid w:val="004C214F"/>
    <w:rsid w:val="004C2366"/>
    <w:rsid w:val="004C3EA4"/>
    <w:rsid w:val="004D15CB"/>
    <w:rsid w:val="004D36C5"/>
    <w:rsid w:val="004D5043"/>
    <w:rsid w:val="004D5DA4"/>
    <w:rsid w:val="004E0B8A"/>
    <w:rsid w:val="004E1181"/>
    <w:rsid w:val="004E268D"/>
    <w:rsid w:val="004E2BF0"/>
    <w:rsid w:val="004E30F3"/>
    <w:rsid w:val="004E31D3"/>
    <w:rsid w:val="004E3B02"/>
    <w:rsid w:val="004F1096"/>
    <w:rsid w:val="004F2555"/>
    <w:rsid w:val="004F305F"/>
    <w:rsid w:val="004F3FD4"/>
    <w:rsid w:val="004F4AFA"/>
    <w:rsid w:val="004F6DBF"/>
    <w:rsid w:val="004F7688"/>
    <w:rsid w:val="00510733"/>
    <w:rsid w:val="00511B03"/>
    <w:rsid w:val="005128A7"/>
    <w:rsid w:val="00514A0D"/>
    <w:rsid w:val="0051699F"/>
    <w:rsid w:val="00516DD9"/>
    <w:rsid w:val="00521B3D"/>
    <w:rsid w:val="0053357C"/>
    <w:rsid w:val="00534D33"/>
    <w:rsid w:val="00537DB7"/>
    <w:rsid w:val="0054428F"/>
    <w:rsid w:val="0054698B"/>
    <w:rsid w:val="005531EA"/>
    <w:rsid w:val="00555F14"/>
    <w:rsid w:val="00556B48"/>
    <w:rsid w:val="005633C1"/>
    <w:rsid w:val="005638D0"/>
    <w:rsid w:val="00563DBF"/>
    <w:rsid w:val="00565CF6"/>
    <w:rsid w:val="00567D90"/>
    <w:rsid w:val="00567ED6"/>
    <w:rsid w:val="0057052D"/>
    <w:rsid w:val="00572A40"/>
    <w:rsid w:val="00575518"/>
    <w:rsid w:val="00576547"/>
    <w:rsid w:val="00580DD0"/>
    <w:rsid w:val="00582F51"/>
    <w:rsid w:val="00585A3E"/>
    <w:rsid w:val="0059048D"/>
    <w:rsid w:val="00595351"/>
    <w:rsid w:val="00596FA7"/>
    <w:rsid w:val="005A1DE4"/>
    <w:rsid w:val="005A4C50"/>
    <w:rsid w:val="005A5A35"/>
    <w:rsid w:val="005B10E7"/>
    <w:rsid w:val="005B277E"/>
    <w:rsid w:val="005B28A0"/>
    <w:rsid w:val="005B2D29"/>
    <w:rsid w:val="005B2EE2"/>
    <w:rsid w:val="005B32B2"/>
    <w:rsid w:val="005B6C87"/>
    <w:rsid w:val="005C1F31"/>
    <w:rsid w:val="005C5598"/>
    <w:rsid w:val="005D0A91"/>
    <w:rsid w:val="005D423A"/>
    <w:rsid w:val="005D4BBD"/>
    <w:rsid w:val="005D5D7E"/>
    <w:rsid w:val="005E074F"/>
    <w:rsid w:val="005E1777"/>
    <w:rsid w:val="005E2D96"/>
    <w:rsid w:val="005F04D2"/>
    <w:rsid w:val="005F0D35"/>
    <w:rsid w:val="005F2B58"/>
    <w:rsid w:val="005F2DD4"/>
    <w:rsid w:val="005F5BFA"/>
    <w:rsid w:val="00601654"/>
    <w:rsid w:val="00601FB1"/>
    <w:rsid w:val="006022B8"/>
    <w:rsid w:val="00602BC7"/>
    <w:rsid w:val="00604C86"/>
    <w:rsid w:val="0061223E"/>
    <w:rsid w:val="0061288E"/>
    <w:rsid w:val="006129B1"/>
    <w:rsid w:val="006148E7"/>
    <w:rsid w:val="00614957"/>
    <w:rsid w:val="006153FE"/>
    <w:rsid w:val="00617DF6"/>
    <w:rsid w:val="006210E7"/>
    <w:rsid w:val="00623420"/>
    <w:rsid w:val="00625A14"/>
    <w:rsid w:val="00631FC0"/>
    <w:rsid w:val="00637330"/>
    <w:rsid w:val="006402C6"/>
    <w:rsid w:val="00640911"/>
    <w:rsid w:val="006427C0"/>
    <w:rsid w:val="0064313D"/>
    <w:rsid w:val="0064789A"/>
    <w:rsid w:val="00652246"/>
    <w:rsid w:val="006538FA"/>
    <w:rsid w:val="0065561F"/>
    <w:rsid w:val="00655FE6"/>
    <w:rsid w:val="00662FC1"/>
    <w:rsid w:val="00663B8F"/>
    <w:rsid w:val="006659B8"/>
    <w:rsid w:val="006717CF"/>
    <w:rsid w:val="006751E8"/>
    <w:rsid w:val="00676EAC"/>
    <w:rsid w:val="00680815"/>
    <w:rsid w:val="00681908"/>
    <w:rsid w:val="00683CEB"/>
    <w:rsid w:val="0068449E"/>
    <w:rsid w:val="00686452"/>
    <w:rsid w:val="0068715B"/>
    <w:rsid w:val="00690182"/>
    <w:rsid w:val="0069443F"/>
    <w:rsid w:val="00694D4E"/>
    <w:rsid w:val="0069529D"/>
    <w:rsid w:val="006A11EE"/>
    <w:rsid w:val="006A2C50"/>
    <w:rsid w:val="006A4D30"/>
    <w:rsid w:val="006A4F95"/>
    <w:rsid w:val="006A546F"/>
    <w:rsid w:val="006B0565"/>
    <w:rsid w:val="006B16F0"/>
    <w:rsid w:val="006B1EA8"/>
    <w:rsid w:val="006B2091"/>
    <w:rsid w:val="006B337B"/>
    <w:rsid w:val="006C13F3"/>
    <w:rsid w:val="006C170A"/>
    <w:rsid w:val="006C224B"/>
    <w:rsid w:val="006D05B1"/>
    <w:rsid w:val="006D0F75"/>
    <w:rsid w:val="006D3B5C"/>
    <w:rsid w:val="006D5639"/>
    <w:rsid w:val="006D6030"/>
    <w:rsid w:val="006E0D67"/>
    <w:rsid w:val="006E151B"/>
    <w:rsid w:val="006E18EA"/>
    <w:rsid w:val="006E2A62"/>
    <w:rsid w:val="006E357C"/>
    <w:rsid w:val="006E684A"/>
    <w:rsid w:val="006F640B"/>
    <w:rsid w:val="006F7475"/>
    <w:rsid w:val="007106E4"/>
    <w:rsid w:val="007145E5"/>
    <w:rsid w:val="00717CC5"/>
    <w:rsid w:val="0072026D"/>
    <w:rsid w:val="00720E1F"/>
    <w:rsid w:val="0072335D"/>
    <w:rsid w:val="00725180"/>
    <w:rsid w:val="00727A98"/>
    <w:rsid w:val="00727B4B"/>
    <w:rsid w:val="00730FB8"/>
    <w:rsid w:val="00731DE8"/>
    <w:rsid w:val="00734873"/>
    <w:rsid w:val="00735ADA"/>
    <w:rsid w:val="00736108"/>
    <w:rsid w:val="00740ED7"/>
    <w:rsid w:val="0074155F"/>
    <w:rsid w:val="00741ACC"/>
    <w:rsid w:val="00741BA0"/>
    <w:rsid w:val="00741CB4"/>
    <w:rsid w:val="00742036"/>
    <w:rsid w:val="00742055"/>
    <w:rsid w:val="007436D7"/>
    <w:rsid w:val="00743BFF"/>
    <w:rsid w:val="00753267"/>
    <w:rsid w:val="0075607B"/>
    <w:rsid w:val="007614F8"/>
    <w:rsid w:val="00761D23"/>
    <w:rsid w:val="00762B55"/>
    <w:rsid w:val="00763645"/>
    <w:rsid w:val="007641B6"/>
    <w:rsid w:val="00764B2F"/>
    <w:rsid w:val="0076611B"/>
    <w:rsid w:val="00767447"/>
    <w:rsid w:val="007711DE"/>
    <w:rsid w:val="00771671"/>
    <w:rsid w:val="00774566"/>
    <w:rsid w:val="00774AAF"/>
    <w:rsid w:val="00775329"/>
    <w:rsid w:val="00775C7F"/>
    <w:rsid w:val="007806D9"/>
    <w:rsid w:val="00780EB1"/>
    <w:rsid w:val="0078133D"/>
    <w:rsid w:val="007830F0"/>
    <w:rsid w:val="00783D7A"/>
    <w:rsid w:val="00784D61"/>
    <w:rsid w:val="00784EEC"/>
    <w:rsid w:val="00790B54"/>
    <w:rsid w:val="007929C4"/>
    <w:rsid w:val="007A33C1"/>
    <w:rsid w:val="007A3642"/>
    <w:rsid w:val="007A590D"/>
    <w:rsid w:val="007A6313"/>
    <w:rsid w:val="007A65FC"/>
    <w:rsid w:val="007A67B2"/>
    <w:rsid w:val="007A79B8"/>
    <w:rsid w:val="007B0AA1"/>
    <w:rsid w:val="007B0CE6"/>
    <w:rsid w:val="007B32E7"/>
    <w:rsid w:val="007B4755"/>
    <w:rsid w:val="007B5260"/>
    <w:rsid w:val="007C3B7D"/>
    <w:rsid w:val="007C435F"/>
    <w:rsid w:val="007C47F3"/>
    <w:rsid w:val="007C5750"/>
    <w:rsid w:val="007C6646"/>
    <w:rsid w:val="007C69E7"/>
    <w:rsid w:val="007C7B3A"/>
    <w:rsid w:val="007C7EE3"/>
    <w:rsid w:val="007D0BBD"/>
    <w:rsid w:val="007D13F3"/>
    <w:rsid w:val="007D65E3"/>
    <w:rsid w:val="007E0966"/>
    <w:rsid w:val="007E5CCE"/>
    <w:rsid w:val="007E766F"/>
    <w:rsid w:val="007F04EA"/>
    <w:rsid w:val="007F0C51"/>
    <w:rsid w:val="007F493E"/>
    <w:rsid w:val="007F4C0A"/>
    <w:rsid w:val="007F56F7"/>
    <w:rsid w:val="007F5E23"/>
    <w:rsid w:val="00806C65"/>
    <w:rsid w:val="008071DA"/>
    <w:rsid w:val="0080747F"/>
    <w:rsid w:val="00807A38"/>
    <w:rsid w:val="0081099A"/>
    <w:rsid w:val="00811BBF"/>
    <w:rsid w:val="00812CBA"/>
    <w:rsid w:val="0081736B"/>
    <w:rsid w:val="00820606"/>
    <w:rsid w:val="00824544"/>
    <w:rsid w:val="008252D8"/>
    <w:rsid w:val="00832112"/>
    <w:rsid w:val="00832472"/>
    <w:rsid w:val="00832C3E"/>
    <w:rsid w:val="00832ECE"/>
    <w:rsid w:val="00833AEE"/>
    <w:rsid w:val="00835636"/>
    <w:rsid w:val="0084428E"/>
    <w:rsid w:val="00846C7B"/>
    <w:rsid w:val="00850F99"/>
    <w:rsid w:val="008526A3"/>
    <w:rsid w:val="00853B99"/>
    <w:rsid w:val="00853C1D"/>
    <w:rsid w:val="00854DD7"/>
    <w:rsid w:val="00854FCB"/>
    <w:rsid w:val="008567CC"/>
    <w:rsid w:val="00860C8B"/>
    <w:rsid w:val="00860CA7"/>
    <w:rsid w:val="00867D4D"/>
    <w:rsid w:val="00870B10"/>
    <w:rsid w:val="00872263"/>
    <w:rsid w:val="0088359E"/>
    <w:rsid w:val="00884367"/>
    <w:rsid w:val="00887E27"/>
    <w:rsid w:val="00893F55"/>
    <w:rsid w:val="008968C5"/>
    <w:rsid w:val="00897381"/>
    <w:rsid w:val="008A2074"/>
    <w:rsid w:val="008A3990"/>
    <w:rsid w:val="008A4333"/>
    <w:rsid w:val="008A528B"/>
    <w:rsid w:val="008A6B6E"/>
    <w:rsid w:val="008A742C"/>
    <w:rsid w:val="008A7792"/>
    <w:rsid w:val="008B170A"/>
    <w:rsid w:val="008B2450"/>
    <w:rsid w:val="008B2D27"/>
    <w:rsid w:val="008B69D0"/>
    <w:rsid w:val="008C1E7A"/>
    <w:rsid w:val="008C256E"/>
    <w:rsid w:val="008D3212"/>
    <w:rsid w:val="008D7256"/>
    <w:rsid w:val="008E08B8"/>
    <w:rsid w:val="008E0D02"/>
    <w:rsid w:val="008F582E"/>
    <w:rsid w:val="008F5C40"/>
    <w:rsid w:val="009022BF"/>
    <w:rsid w:val="00903920"/>
    <w:rsid w:val="0090420A"/>
    <w:rsid w:val="00904DD5"/>
    <w:rsid w:val="00913E6E"/>
    <w:rsid w:val="00921713"/>
    <w:rsid w:val="00924266"/>
    <w:rsid w:val="0092507B"/>
    <w:rsid w:val="00925799"/>
    <w:rsid w:val="009308D2"/>
    <w:rsid w:val="00935524"/>
    <w:rsid w:val="009357FF"/>
    <w:rsid w:val="009431F5"/>
    <w:rsid w:val="00943383"/>
    <w:rsid w:val="0094425D"/>
    <w:rsid w:val="00945519"/>
    <w:rsid w:val="00945BEA"/>
    <w:rsid w:val="009461F6"/>
    <w:rsid w:val="00947534"/>
    <w:rsid w:val="009477A5"/>
    <w:rsid w:val="00952441"/>
    <w:rsid w:val="00952CA9"/>
    <w:rsid w:val="0095602F"/>
    <w:rsid w:val="00956F20"/>
    <w:rsid w:val="00960D6D"/>
    <w:rsid w:val="009616D8"/>
    <w:rsid w:val="00970864"/>
    <w:rsid w:val="00970A9D"/>
    <w:rsid w:val="0097140D"/>
    <w:rsid w:val="00972238"/>
    <w:rsid w:val="00975C9D"/>
    <w:rsid w:val="0097601F"/>
    <w:rsid w:val="00976ACF"/>
    <w:rsid w:val="0097772A"/>
    <w:rsid w:val="00977BFB"/>
    <w:rsid w:val="009805DC"/>
    <w:rsid w:val="00981160"/>
    <w:rsid w:val="00981568"/>
    <w:rsid w:val="0098418B"/>
    <w:rsid w:val="00985F15"/>
    <w:rsid w:val="00990BF3"/>
    <w:rsid w:val="00990E03"/>
    <w:rsid w:val="00993B69"/>
    <w:rsid w:val="009947F8"/>
    <w:rsid w:val="00995A84"/>
    <w:rsid w:val="009966D7"/>
    <w:rsid w:val="009976CB"/>
    <w:rsid w:val="00997C30"/>
    <w:rsid w:val="009A13AB"/>
    <w:rsid w:val="009A1604"/>
    <w:rsid w:val="009A4A36"/>
    <w:rsid w:val="009A50C2"/>
    <w:rsid w:val="009A5975"/>
    <w:rsid w:val="009A6560"/>
    <w:rsid w:val="009A6EAA"/>
    <w:rsid w:val="009A73AD"/>
    <w:rsid w:val="009B32C2"/>
    <w:rsid w:val="009B6416"/>
    <w:rsid w:val="009B65A1"/>
    <w:rsid w:val="009B6B16"/>
    <w:rsid w:val="009B734F"/>
    <w:rsid w:val="009B7709"/>
    <w:rsid w:val="009C0133"/>
    <w:rsid w:val="009C2FB2"/>
    <w:rsid w:val="009C4A01"/>
    <w:rsid w:val="009C624A"/>
    <w:rsid w:val="009D03B9"/>
    <w:rsid w:val="009D11E8"/>
    <w:rsid w:val="009D25CC"/>
    <w:rsid w:val="009D2EE4"/>
    <w:rsid w:val="009D4FCE"/>
    <w:rsid w:val="009E147C"/>
    <w:rsid w:val="009E20A5"/>
    <w:rsid w:val="009E3084"/>
    <w:rsid w:val="009E36CF"/>
    <w:rsid w:val="009E4358"/>
    <w:rsid w:val="009E513E"/>
    <w:rsid w:val="009F039A"/>
    <w:rsid w:val="009F0C6B"/>
    <w:rsid w:val="009F5F24"/>
    <w:rsid w:val="00A02C05"/>
    <w:rsid w:val="00A05395"/>
    <w:rsid w:val="00A06BED"/>
    <w:rsid w:val="00A07136"/>
    <w:rsid w:val="00A11282"/>
    <w:rsid w:val="00A14E86"/>
    <w:rsid w:val="00A15D1C"/>
    <w:rsid w:val="00A21269"/>
    <w:rsid w:val="00A2291B"/>
    <w:rsid w:val="00A23014"/>
    <w:rsid w:val="00A2335D"/>
    <w:rsid w:val="00A24853"/>
    <w:rsid w:val="00A24ACA"/>
    <w:rsid w:val="00A24C15"/>
    <w:rsid w:val="00A26414"/>
    <w:rsid w:val="00A2679E"/>
    <w:rsid w:val="00A2759D"/>
    <w:rsid w:val="00A277FC"/>
    <w:rsid w:val="00A27A1B"/>
    <w:rsid w:val="00A30C5F"/>
    <w:rsid w:val="00A31CE1"/>
    <w:rsid w:val="00A333B1"/>
    <w:rsid w:val="00A341A6"/>
    <w:rsid w:val="00A35854"/>
    <w:rsid w:val="00A37A36"/>
    <w:rsid w:val="00A37E34"/>
    <w:rsid w:val="00A4301A"/>
    <w:rsid w:val="00A432FC"/>
    <w:rsid w:val="00A437A2"/>
    <w:rsid w:val="00A45964"/>
    <w:rsid w:val="00A5247D"/>
    <w:rsid w:val="00A52561"/>
    <w:rsid w:val="00A5442B"/>
    <w:rsid w:val="00A55E77"/>
    <w:rsid w:val="00A56C73"/>
    <w:rsid w:val="00A65960"/>
    <w:rsid w:val="00A70B0F"/>
    <w:rsid w:val="00A74CEF"/>
    <w:rsid w:val="00A75CC6"/>
    <w:rsid w:val="00A80215"/>
    <w:rsid w:val="00A81521"/>
    <w:rsid w:val="00A82BC4"/>
    <w:rsid w:val="00A85DB4"/>
    <w:rsid w:val="00A85E44"/>
    <w:rsid w:val="00A86AD4"/>
    <w:rsid w:val="00A90B13"/>
    <w:rsid w:val="00A918E4"/>
    <w:rsid w:val="00A91B41"/>
    <w:rsid w:val="00A96FC5"/>
    <w:rsid w:val="00A97FD5"/>
    <w:rsid w:val="00AA2D02"/>
    <w:rsid w:val="00AA4AB9"/>
    <w:rsid w:val="00AA648F"/>
    <w:rsid w:val="00AB11F3"/>
    <w:rsid w:val="00AB197F"/>
    <w:rsid w:val="00AB25F7"/>
    <w:rsid w:val="00AB4EB3"/>
    <w:rsid w:val="00AB5427"/>
    <w:rsid w:val="00AB6F59"/>
    <w:rsid w:val="00AC2043"/>
    <w:rsid w:val="00AC6D09"/>
    <w:rsid w:val="00AC6DC8"/>
    <w:rsid w:val="00AD1B79"/>
    <w:rsid w:val="00AD4395"/>
    <w:rsid w:val="00AD44CD"/>
    <w:rsid w:val="00AD72B6"/>
    <w:rsid w:val="00AD73FE"/>
    <w:rsid w:val="00AE1C33"/>
    <w:rsid w:val="00AE4814"/>
    <w:rsid w:val="00AE5202"/>
    <w:rsid w:val="00AE624F"/>
    <w:rsid w:val="00AE7304"/>
    <w:rsid w:val="00AF1958"/>
    <w:rsid w:val="00AF6EE6"/>
    <w:rsid w:val="00B00F3B"/>
    <w:rsid w:val="00B024E9"/>
    <w:rsid w:val="00B02E29"/>
    <w:rsid w:val="00B04954"/>
    <w:rsid w:val="00B0539E"/>
    <w:rsid w:val="00B05450"/>
    <w:rsid w:val="00B1449C"/>
    <w:rsid w:val="00B14A32"/>
    <w:rsid w:val="00B15EE6"/>
    <w:rsid w:val="00B2110C"/>
    <w:rsid w:val="00B24229"/>
    <w:rsid w:val="00B24FAB"/>
    <w:rsid w:val="00B2620A"/>
    <w:rsid w:val="00B269F7"/>
    <w:rsid w:val="00B26D42"/>
    <w:rsid w:val="00B277FC"/>
    <w:rsid w:val="00B3029B"/>
    <w:rsid w:val="00B344A4"/>
    <w:rsid w:val="00B34CBF"/>
    <w:rsid w:val="00B37296"/>
    <w:rsid w:val="00B410E3"/>
    <w:rsid w:val="00B43DD2"/>
    <w:rsid w:val="00B44499"/>
    <w:rsid w:val="00B4525C"/>
    <w:rsid w:val="00B4687C"/>
    <w:rsid w:val="00B50B41"/>
    <w:rsid w:val="00B56480"/>
    <w:rsid w:val="00B56EF4"/>
    <w:rsid w:val="00B57C3B"/>
    <w:rsid w:val="00B63579"/>
    <w:rsid w:val="00B66BC3"/>
    <w:rsid w:val="00B66FAA"/>
    <w:rsid w:val="00B67D3A"/>
    <w:rsid w:val="00B70F00"/>
    <w:rsid w:val="00B72C3F"/>
    <w:rsid w:val="00B72D16"/>
    <w:rsid w:val="00B80EF8"/>
    <w:rsid w:val="00B8720F"/>
    <w:rsid w:val="00B87B77"/>
    <w:rsid w:val="00B90F8C"/>
    <w:rsid w:val="00B94C1C"/>
    <w:rsid w:val="00B95C42"/>
    <w:rsid w:val="00B96E2C"/>
    <w:rsid w:val="00B97F03"/>
    <w:rsid w:val="00BA3623"/>
    <w:rsid w:val="00BB1804"/>
    <w:rsid w:val="00BB1C5E"/>
    <w:rsid w:val="00BB2580"/>
    <w:rsid w:val="00BB25EF"/>
    <w:rsid w:val="00BB37D7"/>
    <w:rsid w:val="00BB4D24"/>
    <w:rsid w:val="00BB7437"/>
    <w:rsid w:val="00BC55CB"/>
    <w:rsid w:val="00BC6127"/>
    <w:rsid w:val="00BD1009"/>
    <w:rsid w:val="00BD294D"/>
    <w:rsid w:val="00BD2DDF"/>
    <w:rsid w:val="00BD48C9"/>
    <w:rsid w:val="00BD66E4"/>
    <w:rsid w:val="00BD68E8"/>
    <w:rsid w:val="00BE2192"/>
    <w:rsid w:val="00BE2BE8"/>
    <w:rsid w:val="00BE364C"/>
    <w:rsid w:val="00BE39E5"/>
    <w:rsid w:val="00BE5049"/>
    <w:rsid w:val="00BE6A4D"/>
    <w:rsid w:val="00BF0BE3"/>
    <w:rsid w:val="00BF0E97"/>
    <w:rsid w:val="00BF3E15"/>
    <w:rsid w:val="00BF4B4F"/>
    <w:rsid w:val="00BF6547"/>
    <w:rsid w:val="00C037A8"/>
    <w:rsid w:val="00C04BA7"/>
    <w:rsid w:val="00C054D8"/>
    <w:rsid w:val="00C07690"/>
    <w:rsid w:val="00C118FF"/>
    <w:rsid w:val="00C12762"/>
    <w:rsid w:val="00C139C0"/>
    <w:rsid w:val="00C20D1C"/>
    <w:rsid w:val="00C21409"/>
    <w:rsid w:val="00C227C9"/>
    <w:rsid w:val="00C273DF"/>
    <w:rsid w:val="00C279D8"/>
    <w:rsid w:val="00C27B6A"/>
    <w:rsid w:val="00C3123B"/>
    <w:rsid w:val="00C36310"/>
    <w:rsid w:val="00C36C5E"/>
    <w:rsid w:val="00C36F46"/>
    <w:rsid w:val="00C41E47"/>
    <w:rsid w:val="00C4395B"/>
    <w:rsid w:val="00C45D6A"/>
    <w:rsid w:val="00C46E34"/>
    <w:rsid w:val="00C47205"/>
    <w:rsid w:val="00C503E4"/>
    <w:rsid w:val="00C531B5"/>
    <w:rsid w:val="00C57BC8"/>
    <w:rsid w:val="00C6576C"/>
    <w:rsid w:val="00C707EB"/>
    <w:rsid w:val="00C7112D"/>
    <w:rsid w:val="00C76B4C"/>
    <w:rsid w:val="00C8237E"/>
    <w:rsid w:val="00C8348B"/>
    <w:rsid w:val="00C84291"/>
    <w:rsid w:val="00C875E3"/>
    <w:rsid w:val="00C92DB3"/>
    <w:rsid w:val="00C947A2"/>
    <w:rsid w:val="00C979F7"/>
    <w:rsid w:val="00C97B30"/>
    <w:rsid w:val="00CA0CF8"/>
    <w:rsid w:val="00CA31E0"/>
    <w:rsid w:val="00CA67F2"/>
    <w:rsid w:val="00CB284C"/>
    <w:rsid w:val="00CB5362"/>
    <w:rsid w:val="00CB7096"/>
    <w:rsid w:val="00CB7AE0"/>
    <w:rsid w:val="00CC0316"/>
    <w:rsid w:val="00CC34D9"/>
    <w:rsid w:val="00CC434C"/>
    <w:rsid w:val="00CC4D8C"/>
    <w:rsid w:val="00CD48C7"/>
    <w:rsid w:val="00CD6C16"/>
    <w:rsid w:val="00CD7884"/>
    <w:rsid w:val="00CD7A25"/>
    <w:rsid w:val="00CE7246"/>
    <w:rsid w:val="00CF1356"/>
    <w:rsid w:val="00CF247F"/>
    <w:rsid w:val="00CF5B31"/>
    <w:rsid w:val="00CF7D17"/>
    <w:rsid w:val="00CF7F7F"/>
    <w:rsid w:val="00D0075F"/>
    <w:rsid w:val="00D019B0"/>
    <w:rsid w:val="00D01FBD"/>
    <w:rsid w:val="00D029BC"/>
    <w:rsid w:val="00D030FE"/>
    <w:rsid w:val="00D04631"/>
    <w:rsid w:val="00D1005C"/>
    <w:rsid w:val="00D1020C"/>
    <w:rsid w:val="00D1060A"/>
    <w:rsid w:val="00D106CF"/>
    <w:rsid w:val="00D10FE8"/>
    <w:rsid w:val="00D143A0"/>
    <w:rsid w:val="00D1799A"/>
    <w:rsid w:val="00D203B5"/>
    <w:rsid w:val="00D2062B"/>
    <w:rsid w:val="00D240DE"/>
    <w:rsid w:val="00D24229"/>
    <w:rsid w:val="00D26C3D"/>
    <w:rsid w:val="00D3383E"/>
    <w:rsid w:val="00D41894"/>
    <w:rsid w:val="00D44870"/>
    <w:rsid w:val="00D501A1"/>
    <w:rsid w:val="00D527E0"/>
    <w:rsid w:val="00D52CD7"/>
    <w:rsid w:val="00D54CD2"/>
    <w:rsid w:val="00D5648C"/>
    <w:rsid w:val="00D614D5"/>
    <w:rsid w:val="00D61DAE"/>
    <w:rsid w:val="00D626D6"/>
    <w:rsid w:val="00D65429"/>
    <w:rsid w:val="00D70ED2"/>
    <w:rsid w:val="00D7111C"/>
    <w:rsid w:val="00D71D90"/>
    <w:rsid w:val="00D735DC"/>
    <w:rsid w:val="00D76CD5"/>
    <w:rsid w:val="00D776BB"/>
    <w:rsid w:val="00D817A9"/>
    <w:rsid w:val="00D817E2"/>
    <w:rsid w:val="00D83714"/>
    <w:rsid w:val="00D8546C"/>
    <w:rsid w:val="00D86000"/>
    <w:rsid w:val="00D8669A"/>
    <w:rsid w:val="00D90197"/>
    <w:rsid w:val="00D94B5D"/>
    <w:rsid w:val="00D95116"/>
    <w:rsid w:val="00D95D7A"/>
    <w:rsid w:val="00DA0E5F"/>
    <w:rsid w:val="00DA2789"/>
    <w:rsid w:val="00DA6240"/>
    <w:rsid w:val="00DA68A2"/>
    <w:rsid w:val="00DB1AF5"/>
    <w:rsid w:val="00DB39C1"/>
    <w:rsid w:val="00DB60F2"/>
    <w:rsid w:val="00DB68DE"/>
    <w:rsid w:val="00DB7AF8"/>
    <w:rsid w:val="00DC0681"/>
    <w:rsid w:val="00DC2E6B"/>
    <w:rsid w:val="00DC612E"/>
    <w:rsid w:val="00DC76C6"/>
    <w:rsid w:val="00DD1D80"/>
    <w:rsid w:val="00DD2647"/>
    <w:rsid w:val="00DE06AA"/>
    <w:rsid w:val="00DE1CE3"/>
    <w:rsid w:val="00DE55A7"/>
    <w:rsid w:val="00DF07BD"/>
    <w:rsid w:val="00DF0830"/>
    <w:rsid w:val="00DF2ACF"/>
    <w:rsid w:val="00DF3275"/>
    <w:rsid w:val="00DF4465"/>
    <w:rsid w:val="00DF5FDE"/>
    <w:rsid w:val="00DF71D2"/>
    <w:rsid w:val="00E0197F"/>
    <w:rsid w:val="00E01D45"/>
    <w:rsid w:val="00E02F95"/>
    <w:rsid w:val="00E034ED"/>
    <w:rsid w:val="00E04644"/>
    <w:rsid w:val="00E06398"/>
    <w:rsid w:val="00E1183E"/>
    <w:rsid w:val="00E13022"/>
    <w:rsid w:val="00E15319"/>
    <w:rsid w:val="00E163AF"/>
    <w:rsid w:val="00E23852"/>
    <w:rsid w:val="00E249AF"/>
    <w:rsid w:val="00E25E9E"/>
    <w:rsid w:val="00E26198"/>
    <w:rsid w:val="00E305C8"/>
    <w:rsid w:val="00E31A44"/>
    <w:rsid w:val="00E32BA2"/>
    <w:rsid w:val="00E34EE9"/>
    <w:rsid w:val="00E35FB8"/>
    <w:rsid w:val="00E36E93"/>
    <w:rsid w:val="00E400BC"/>
    <w:rsid w:val="00E428F7"/>
    <w:rsid w:val="00E42B07"/>
    <w:rsid w:val="00E445E3"/>
    <w:rsid w:val="00E4493C"/>
    <w:rsid w:val="00E52265"/>
    <w:rsid w:val="00E555D2"/>
    <w:rsid w:val="00E5719D"/>
    <w:rsid w:val="00E628A5"/>
    <w:rsid w:val="00E66747"/>
    <w:rsid w:val="00E67058"/>
    <w:rsid w:val="00E704DC"/>
    <w:rsid w:val="00E708D4"/>
    <w:rsid w:val="00E70E4D"/>
    <w:rsid w:val="00E71516"/>
    <w:rsid w:val="00E740DF"/>
    <w:rsid w:val="00E75251"/>
    <w:rsid w:val="00E833BB"/>
    <w:rsid w:val="00E85C0A"/>
    <w:rsid w:val="00E87336"/>
    <w:rsid w:val="00E91059"/>
    <w:rsid w:val="00E91661"/>
    <w:rsid w:val="00E93EF5"/>
    <w:rsid w:val="00E9483B"/>
    <w:rsid w:val="00EA0459"/>
    <w:rsid w:val="00EA0934"/>
    <w:rsid w:val="00EA17E0"/>
    <w:rsid w:val="00EA2607"/>
    <w:rsid w:val="00EA2C71"/>
    <w:rsid w:val="00EA395F"/>
    <w:rsid w:val="00EA5960"/>
    <w:rsid w:val="00EA62E8"/>
    <w:rsid w:val="00EA63E3"/>
    <w:rsid w:val="00EA6D5D"/>
    <w:rsid w:val="00EB10FC"/>
    <w:rsid w:val="00EB1853"/>
    <w:rsid w:val="00EB24D7"/>
    <w:rsid w:val="00EB31F8"/>
    <w:rsid w:val="00EB62E3"/>
    <w:rsid w:val="00EB6A65"/>
    <w:rsid w:val="00EC27D5"/>
    <w:rsid w:val="00EC6C2C"/>
    <w:rsid w:val="00ED169D"/>
    <w:rsid w:val="00ED1F25"/>
    <w:rsid w:val="00ED3B84"/>
    <w:rsid w:val="00ED499B"/>
    <w:rsid w:val="00ED525A"/>
    <w:rsid w:val="00ED5E01"/>
    <w:rsid w:val="00EE2406"/>
    <w:rsid w:val="00EE2825"/>
    <w:rsid w:val="00EE3459"/>
    <w:rsid w:val="00EE3C96"/>
    <w:rsid w:val="00EE791A"/>
    <w:rsid w:val="00EF1F22"/>
    <w:rsid w:val="00EF21B3"/>
    <w:rsid w:val="00EF291E"/>
    <w:rsid w:val="00EF428C"/>
    <w:rsid w:val="00EF4ECD"/>
    <w:rsid w:val="00EF5F8E"/>
    <w:rsid w:val="00EF66E0"/>
    <w:rsid w:val="00EF70E2"/>
    <w:rsid w:val="00EF7DFA"/>
    <w:rsid w:val="00F006A8"/>
    <w:rsid w:val="00F00BAF"/>
    <w:rsid w:val="00F01F82"/>
    <w:rsid w:val="00F024BB"/>
    <w:rsid w:val="00F03116"/>
    <w:rsid w:val="00F03986"/>
    <w:rsid w:val="00F044A2"/>
    <w:rsid w:val="00F06018"/>
    <w:rsid w:val="00F105DE"/>
    <w:rsid w:val="00F11C8F"/>
    <w:rsid w:val="00F12BD5"/>
    <w:rsid w:val="00F145DE"/>
    <w:rsid w:val="00F15652"/>
    <w:rsid w:val="00F201D8"/>
    <w:rsid w:val="00F22942"/>
    <w:rsid w:val="00F22BAD"/>
    <w:rsid w:val="00F24F6D"/>
    <w:rsid w:val="00F300E8"/>
    <w:rsid w:val="00F30BA4"/>
    <w:rsid w:val="00F31718"/>
    <w:rsid w:val="00F33DE4"/>
    <w:rsid w:val="00F35384"/>
    <w:rsid w:val="00F36AA0"/>
    <w:rsid w:val="00F449EB"/>
    <w:rsid w:val="00F455D7"/>
    <w:rsid w:val="00F508E7"/>
    <w:rsid w:val="00F50A53"/>
    <w:rsid w:val="00F51A17"/>
    <w:rsid w:val="00F51E06"/>
    <w:rsid w:val="00F53083"/>
    <w:rsid w:val="00F546AD"/>
    <w:rsid w:val="00F54951"/>
    <w:rsid w:val="00F564E8"/>
    <w:rsid w:val="00F572E6"/>
    <w:rsid w:val="00F61742"/>
    <w:rsid w:val="00F640E5"/>
    <w:rsid w:val="00F65CC8"/>
    <w:rsid w:val="00F66B8F"/>
    <w:rsid w:val="00F716BB"/>
    <w:rsid w:val="00F73DE7"/>
    <w:rsid w:val="00F73F6D"/>
    <w:rsid w:val="00F74719"/>
    <w:rsid w:val="00F76C96"/>
    <w:rsid w:val="00F7783B"/>
    <w:rsid w:val="00F8163F"/>
    <w:rsid w:val="00F82566"/>
    <w:rsid w:val="00F825DE"/>
    <w:rsid w:val="00F844B0"/>
    <w:rsid w:val="00F84C59"/>
    <w:rsid w:val="00F85C38"/>
    <w:rsid w:val="00F93BFF"/>
    <w:rsid w:val="00F93E52"/>
    <w:rsid w:val="00F95758"/>
    <w:rsid w:val="00F95F77"/>
    <w:rsid w:val="00F96078"/>
    <w:rsid w:val="00F97699"/>
    <w:rsid w:val="00FA426E"/>
    <w:rsid w:val="00FA518D"/>
    <w:rsid w:val="00FA7518"/>
    <w:rsid w:val="00FB064D"/>
    <w:rsid w:val="00FB6A24"/>
    <w:rsid w:val="00FC0DE5"/>
    <w:rsid w:val="00FC12FF"/>
    <w:rsid w:val="00FC3739"/>
    <w:rsid w:val="00FC3B6C"/>
    <w:rsid w:val="00FC47FC"/>
    <w:rsid w:val="00FC5F11"/>
    <w:rsid w:val="00FC6174"/>
    <w:rsid w:val="00FC7CC5"/>
    <w:rsid w:val="00FD15F3"/>
    <w:rsid w:val="00FD1785"/>
    <w:rsid w:val="00FD3CC3"/>
    <w:rsid w:val="00FD4B1F"/>
    <w:rsid w:val="00FD5D2F"/>
    <w:rsid w:val="00FE2186"/>
    <w:rsid w:val="00FF48B9"/>
    <w:rsid w:val="00FF5208"/>
    <w:rsid w:val="00FF5310"/>
    <w:rsid w:val="00FF5E1F"/>
    <w:rsid w:val="00FF799F"/>
    <w:rsid w:val="55D05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qFormat="1" w:uiPriority="99" w:name="Body Text First Indent 2"/>
    <w:lsdException w:qFormat="1" w:unhideWhenUsed="0" w:uiPriority="0" w:name="Note Heading"/>
    <w:lsdException w:uiPriority="0" w:name="Body Text 2"/>
    <w:lsdException w:uiPriority="0" w:name="Body Text 3"/>
    <w:lsdException w:qFormat="1" w:unhideWhenUsed="0" w:uiPriority="0" w:name="Body Text Indent 2"/>
    <w:lsdException w:uiPriority="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0"/>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qFormat/>
    <w:uiPriority w:val="99"/>
    <w:pPr>
      <w:numPr>
        <w:ilvl w:val="0"/>
        <w:numId w:val="1"/>
      </w:numPr>
      <w:contextualSpacing/>
    </w:pPr>
  </w:style>
  <w:style w:type="paragraph" w:styleId="16">
    <w:name w:val="Document Map"/>
    <w:basedOn w:val="1"/>
    <w:link w:val="92"/>
    <w:semiHidden/>
    <w:qFormat/>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uiPriority w:val="0"/>
    <w:pPr>
      <w:spacing w:after="120"/>
    </w:pPr>
    <w:rPr>
      <w:rFonts w:ascii="Times New Roman" w:hAnsi="Times New Roman" w:eastAsia="宋体" w:cs="Times New Roman"/>
      <w:kern w:val="0"/>
      <w:sz w:val="24"/>
      <w:szCs w:val="24"/>
    </w:rPr>
  </w:style>
  <w:style w:type="paragraph" w:styleId="20">
    <w:name w:val="Body Text Indent"/>
    <w:basedOn w:val="1"/>
    <w:link w:val="100"/>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uiPriority w:val="99"/>
    <w:rPr>
      <w:sz w:val="18"/>
      <w:szCs w:val="18"/>
    </w:rPr>
  </w:style>
  <w:style w:type="paragraph" w:styleId="28">
    <w:name w:val="footer"/>
    <w:basedOn w:val="1"/>
    <w:link w:val="54"/>
    <w:unhideWhenUsed/>
    <w:qFormat/>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qFormat/>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qFormat/>
    <w:uiPriority w:val="99"/>
    <w:rPr>
      <w:sz w:val="21"/>
      <w:szCs w:val="21"/>
    </w:rPr>
  </w:style>
  <w:style w:type="character" w:customStyle="1" w:styleId="53">
    <w:name w:val="页眉 Char1"/>
    <w:basedOn w:val="46"/>
    <w:link w:val="29"/>
    <w:uiPriority w:val="99"/>
    <w:rPr>
      <w:sz w:val="18"/>
      <w:szCs w:val="18"/>
    </w:rPr>
  </w:style>
  <w:style w:type="character" w:customStyle="1" w:styleId="54">
    <w:name w:val="页脚 Char1"/>
    <w:basedOn w:val="46"/>
    <w:link w:val="28"/>
    <w:qFormat/>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qFormat/>
    <w:uiPriority w:val="9"/>
    <w:rPr>
      <w:rFonts w:ascii="Times New Roman" w:hAnsi="Times New Roman" w:eastAsia="仿宋" w:cstheme="majorBidi"/>
      <w:b/>
      <w:bCs/>
      <w:sz w:val="32"/>
      <w:szCs w:val="32"/>
    </w:rPr>
  </w:style>
  <w:style w:type="character" w:customStyle="1" w:styleId="57">
    <w:name w:val="标题 3 Char2"/>
    <w:basedOn w:val="46"/>
    <w:link w:val="4"/>
    <w:qFormat/>
    <w:uiPriority w:val="9"/>
    <w:rPr>
      <w:rFonts w:ascii="Times New Roman" w:hAnsi="Times New Roman" w:eastAsia="仿宋"/>
      <w:b/>
      <w:bCs/>
      <w:sz w:val="30"/>
      <w:szCs w:val="32"/>
    </w:rPr>
  </w:style>
  <w:style w:type="paragraph" w:customStyle="1" w:styleId="58">
    <w:name w:val="Char Char Char"/>
    <w:basedOn w:val="1"/>
    <w:semiHidden/>
    <w:qFormat/>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uiPriority w:val="0"/>
    <w:rPr>
      <w:rFonts w:ascii="Times New Roman" w:hAnsi="Times New Roman" w:eastAsia="宋体" w:cs="Times New Roman"/>
      <w:szCs w:val="24"/>
    </w:rPr>
  </w:style>
  <w:style w:type="character" w:customStyle="1" w:styleId="63">
    <w:name w:val="批注框文本 Char2"/>
    <w:basedOn w:val="46"/>
    <w:link w:val="27"/>
    <w:semiHidden/>
    <w:uiPriority w:val="99"/>
    <w:rPr>
      <w:sz w:val="18"/>
      <w:szCs w:val="18"/>
    </w:rPr>
  </w:style>
  <w:style w:type="character" w:customStyle="1" w:styleId="64">
    <w:name w:val="日期 Char1"/>
    <w:basedOn w:val="46"/>
    <w:link w:val="25"/>
    <w:qFormat/>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qFormat/>
    <w:uiPriority w:val="99"/>
    <w:rPr>
      <w:b/>
      <w:bCs/>
    </w:rPr>
  </w:style>
  <w:style w:type="character" w:customStyle="1" w:styleId="69">
    <w:name w:val="标题 5 字符"/>
    <w:basedOn w:val="46"/>
    <w:semiHidden/>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qFormat/>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qFormat/>
    <w:uiPriority w:val="9"/>
    <w:rPr>
      <w:rFonts w:asciiTheme="majorHAnsi" w:hAnsiTheme="majorHAnsi" w:eastAsiaTheme="majorEastAsia" w:cstheme="majorBidi"/>
      <w:szCs w:val="21"/>
    </w:rPr>
  </w:style>
  <w:style w:type="character" w:customStyle="1" w:styleId="74">
    <w:name w:val="页脚 Char"/>
    <w:uiPriority w:val="99"/>
    <w:rPr>
      <w:sz w:val="18"/>
      <w:szCs w:val="18"/>
    </w:rPr>
  </w:style>
  <w:style w:type="paragraph" w:customStyle="1" w:styleId="75">
    <w:name w:val="Char Char Char1 Char Char Char Char Char Char2 Char"/>
    <w:basedOn w:val="1"/>
    <w:semiHidden/>
    <w:qFormat/>
    <w:uiPriority w:val="0"/>
    <w:rPr>
      <w:rFonts w:ascii="黑体" w:hAnsi="Times New Roman" w:eastAsia="黑体" w:cs="Times New Roman"/>
      <w:b/>
      <w:kern w:val="0"/>
      <w:sz w:val="32"/>
      <w:szCs w:val="32"/>
    </w:rPr>
  </w:style>
  <w:style w:type="character" w:customStyle="1" w:styleId="76">
    <w:name w:val="页眉 Char"/>
    <w:uiPriority w:val="99"/>
    <w:rPr>
      <w:sz w:val="18"/>
      <w:szCs w:val="18"/>
    </w:rPr>
  </w:style>
  <w:style w:type="paragraph" w:customStyle="1" w:styleId="77">
    <w:name w:val="Char Char Char1 Char Char Char Char Char Char2 Char1"/>
    <w:basedOn w:val="1"/>
    <w:semiHidden/>
    <w:qFormat/>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qFormat/>
    <w:uiPriority w:val="0"/>
  </w:style>
  <w:style w:type="character" w:customStyle="1" w:styleId="80">
    <w:name w:val="标题 1 Char"/>
    <w:qFormat/>
    <w:uiPriority w:val="0"/>
    <w:rPr>
      <w:b/>
      <w:bCs/>
      <w:kern w:val="44"/>
      <w:sz w:val="44"/>
      <w:szCs w:val="44"/>
    </w:rPr>
  </w:style>
  <w:style w:type="character" w:customStyle="1" w:styleId="81">
    <w:name w:val="标题 2 Char"/>
    <w:qFormat/>
    <w:uiPriority w:val="9"/>
    <w:rPr>
      <w:rFonts w:ascii="Calibri Light" w:hAnsi="Calibri Light" w:eastAsia="宋体" w:cs="Times New Roman"/>
      <w:b/>
      <w:bCs/>
      <w:sz w:val="32"/>
      <w:szCs w:val="32"/>
    </w:rPr>
  </w:style>
  <w:style w:type="character" w:customStyle="1" w:styleId="82">
    <w:name w:val="标题 3 Char"/>
    <w:qFormat/>
    <w:uiPriority w:val="9"/>
    <w:rPr>
      <w:b/>
      <w:bCs/>
      <w:sz w:val="32"/>
      <w:szCs w:val="32"/>
    </w:rPr>
  </w:style>
  <w:style w:type="character" w:customStyle="1" w:styleId="83">
    <w:name w:val="标题 4 Char"/>
    <w:qFormat/>
    <w:uiPriority w:val="0"/>
    <w:rPr>
      <w:rFonts w:ascii="Calibri" w:hAnsi="Calibri" w:eastAsia="宋体" w:cs="Times New Roman"/>
      <w:b/>
      <w:bCs/>
      <w:kern w:val="0"/>
      <w:sz w:val="28"/>
      <w:szCs w:val="28"/>
      <w:lang w:bidi="en-US"/>
    </w:rPr>
  </w:style>
  <w:style w:type="character" w:customStyle="1" w:styleId="84">
    <w:name w:val="标题 5 Char1"/>
    <w:link w:val="6"/>
    <w:qFormat/>
    <w:uiPriority w:val="0"/>
    <w:rPr>
      <w:rFonts w:ascii="Calibri" w:hAnsi="Calibri" w:eastAsia="宋体" w:cs="Times New Roman"/>
      <w:b/>
      <w:bCs/>
      <w:i/>
      <w:iCs/>
      <w:kern w:val="0"/>
      <w:sz w:val="26"/>
      <w:szCs w:val="26"/>
      <w:lang w:bidi="en-US"/>
    </w:rPr>
  </w:style>
  <w:style w:type="character" w:customStyle="1" w:styleId="85">
    <w:name w:val="标题 6 Char1"/>
    <w:link w:val="7"/>
    <w:uiPriority w:val="0"/>
    <w:rPr>
      <w:rFonts w:ascii="Calibri" w:hAnsi="Calibri" w:eastAsia="宋体" w:cs="Times New Roman"/>
      <w:b/>
      <w:bCs/>
      <w:kern w:val="0"/>
      <w:sz w:val="22"/>
      <w:szCs w:val="28"/>
      <w:lang w:bidi="en-US"/>
    </w:rPr>
  </w:style>
  <w:style w:type="character" w:customStyle="1" w:styleId="86">
    <w:name w:val="标题 7 Char1"/>
    <w:link w:val="8"/>
    <w:uiPriority w:val="0"/>
    <w:rPr>
      <w:rFonts w:ascii="Calibri" w:hAnsi="Calibri" w:eastAsia="宋体" w:cs="Times New Roman"/>
      <w:kern w:val="0"/>
      <w:sz w:val="24"/>
      <w:szCs w:val="24"/>
      <w:lang w:bidi="en-US"/>
    </w:rPr>
  </w:style>
  <w:style w:type="character" w:customStyle="1" w:styleId="87">
    <w:name w:val="标题 8 Char1"/>
    <w:link w:val="9"/>
    <w:qFormat/>
    <w:uiPriority w:val="0"/>
    <w:rPr>
      <w:rFonts w:ascii="Calibri" w:hAnsi="Calibri" w:eastAsia="宋体" w:cs="Times New Roman"/>
      <w:i/>
      <w:iCs/>
      <w:kern w:val="0"/>
      <w:sz w:val="24"/>
      <w:szCs w:val="24"/>
      <w:lang w:bidi="en-US"/>
    </w:rPr>
  </w:style>
  <w:style w:type="character" w:customStyle="1" w:styleId="88">
    <w:name w:val="标题 9 Char1"/>
    <w:link w:val="10"/>
    <w:qFormat/>
    <w:uiPriority w:val="0"/>
    <w:rPr>
      <w:rFonts w:ascii="Cambria" w:hAnsi="Cambria" w:eastAsia="宋体" w:cs="Times New Roman"/>
      <w:kern w:val="0"/>
      <w:sz w:val="22"/>
      <w:szCs w:val="28"/>
      <w:lang w:bidi="en-US"/>
    </w:rPr>
  </w:style>
  <w:style w:type="character" w:customStyle="1" w:styleId="89">
    <w:name w:val="标题 1 Char1"/>
    <w:qFormat/>
    <w:uiPriority w:val="0"/>
    <w:rPr>
      <w:rFonts w:ascii="仿宋_GB2312" w:hAnsi="Times New Roman" w:eastAsia="仿宋_GB2312" w:cs="Times New Roman"/>
      <w:b/>
      <w:bCs/>
      <w:kern w:val="44"/>
      <w:sz w:val="32"/>
      <w:szCs w:val="44"/>
    </w:rPr>
  </w:style>
  <w:style w:type="character" w:customStyle="1" w:styleId="90">
    <w:name w:val="标题 2 Char1"/>
    <w:qFormat/>
    <w:uiPriority w:val="0"/>
    <w:rPr>
      <w:rFonts w:ascii="Arial" w:hAnsi="Arial" w:eastAsia="黑体" w:cs="Times New Roman"/>
      <w:b/>
      <w:bCs/>
      <w:kern w:val="0"/>
      <w:sz w:val="30"/>
      <w:szCs w:val="32"/>
    </w:rPr>
  </w:style>
  <w:style w:type="character" w:customStyle="1" w:styleId="91">
    <w:name w:val="标题 3 Char1"/>
    <w:qFormat/>
    <w:uiPriority w:val="0"/>
    <w:rPr>
      <w:rFonts w:ascii="仿宋_GB2312" w:hAnsi="Times New Roman" w:eastAsia="仿宋_GB2312" w:cs="Times New Roman"/>
      <w:b/>
      <w:bCs/>
      <w:kern w:val="0"/>
      <w:sz w:val="28"/>
      <w:szCs w:val="32"/>
    </w:rPr>
  </w:style>
  <w:style w:type="character" w:customStyle="1" w:styleId="92">
    <w:name w:val="文档结构图 Char2"/>
    <w:link w:val="16"/>
    <w:semiHidden/>
    <w:qFormat/>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qFormat/>
    <w:uiPriority w:val="99"/>
    <w:rPr>
      <w:rFonts w:ascii="Microsoft YaHei UI" w:eastAsia="Microsoft YaHei UI"/>
      <w:sz w:val="18"/>
      <w:szCs w:val="18"/>
    </w:rPr>
  </w:style>
  <w:style w:type="character" w:customStyle="1" w:styleId="94">
    <w:name w:val="文档结构图 Char1"/>
    <w:semiHidden/>
    <w:qFormat/>
    <w:uiPriority w:val="99"/>
    <w:rPr>
      <w:rFonts w:ascii="Microsoft YaHei UI" w:eastAsia="Microsoft YaHei UI"/>
      <w:sz w:val="18"/>
      <w:szCs w:val="18"/>
    </w:rPr>
  </w:style>
  <w:style w:type="paragraph" w:customStyle="1" w:styleId="95">
    <w:name w:val="样式 标题 2 + 首行缩进:  2 字符 段前: 0.5 行 段后: 0.5 行"/>
    <w:basedOn w:val="3"/>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qFormat/>
    <w:uiPriority w:val="0"/>
    <w:pPr>
      <w:spacing w:before="0" w:after="0" w:line="360" w:lineRule="auto"/>
    </w:pPr>
    <w:rPr>
      <w:rFonts w:ascii="仿宋_GB2312" w:eastAsia="仿宋_GB2312" w:cs="宋体"/>
      <w:kern w:val="0"/>
      <w:sz w:val="28"/>
      <w:szCs w:val="20"/>
    </w:rPr>
  </w:style>
  <w:style w:type="character" w:customStyle="1" w:styleId="97">
    <w:name w:val="文字 Char"/>
    <w:link w:val="61"/>
    <w:qFormat/>
    <w:uiPriority w:val="0"/>
    <w:rPr>
      <w:rFonts w:ascii="Times New Roman" w:hAnsi="Times New Roman" w:eastAsia="宋体" w:cs="Times New Roman"/>
      <w:kern w:val="0"/>
      <w:sz w:val="24"/>
      <w:szCs w:val="24"/>
    </w:rPr>
  </w:style>
  <w:style w:type="character" w:customStyle="1" w:styleId="98">
    <w:name w:val="正文文本缩进 字符"/>
    <w:basedOn w:val="46"/>
    <w:semiHidden/>
    <w:uiPriority w:val="99"/>
  </w:style>
  <w:style w:type="character" w:customStyle="1" w:styleId="99">
    <w:name w:val="正文文本缩进 Char"/>
    <w:basedOn w:val="46"/>
    <w:qFormat/>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uiPriority w:val="0"/>
    <w:rPr>
      <w:rFonts w:ascii="Arial" w:hAnsi="Arial" w:eastAsia="黑体"/>
      <w:b/>
      <w:bCs/>
      <w:color w:val="auto"/>
      <w:sz w:val="32"/>
      <w:u w:val="none"/>
    </w:rPr>
  </w:style>
  <w:style w:type="character" w:customStyle="1" w:styleId="106">
    <w:name w:val="标题 字符"/>
    <w:basedOn w:val="46"/>
    <w:qFormat/>
    <w:uiPriority w:val="10"/>
    <w:rPr>
      <w:rFonts w:asciiTheme="majorHAnsi" w:hAnsiTheme="majorHAnsi" w:eastAsiaTheme="majorEastAsia" w:cstheme="majorBidi"/>
      <w:b/>
      <w:bCs/>
      <w:sz w:val="32"/>
      <w:szCs w:val="32"/>
    </w:rPr>
  </w:style>
  <w:style w:type="character" w:customStyle="1" w:styleId="107">
    <w:name w:val="标题 Char1"/>
    <w:link w:val="40"/>
    <w:qFormat/>
    <w:uiPriority w:val="0"/>
    <w:rPr>
      <w:rFonts w:ascii="Cambria" w:hAnsi="Cambria" w:eastAsia="宋体" w:cs="Times New Roman"/>
      <w:b/>
      <w:bCs/>
      <w:kern w:val="28"/>
      <w:sz w:val="32"/>
      <w:szCs w:val="32"/>
      <w:lang w:bidi="en-US"/>
    </w:rPr>
  </w:style>
  <w:style w:type="character" w:customStyle="1" w:styleId="108">
    <w:name w:val="副标题 字符"/>
    <w:basedOn w:val="46"/>
    <w:qFormat/>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uiPriority w:val="30"/>
    <w:rPr>
      <w:i/>
      <w:iCs/>
      <w:color w:val="4F81BD" w:themeColor="accent1"/>
      <w14:textFill>
        <w14:solidFill>
          <w14:schemeClr w14:val="accent1"/>
        </w14:solidFill>
      </w14:textFill>
    </w:rPr>
  </w:style>
  <w:style w:type="character" w:customStyle="1" w:styleId="117">
    <w:name w:val="明显引用 Char1"/>
    <w:link w:val="115"/>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qFormat/>
    <w:uiPriority w:val="99"/>
    <w:rPr>
      <w:rFonts w:hAnsi="Courier New" w:cs="Courier New" w:asciiTheme="minorEastAsia"/>
    </w:rPr>
  </w:style>
  <w:style w:type="character" w:customStyle="1" w:styleId="125">
    <w:name w:val="纯文本 Char1"/>
    <w:link w:val="23"/>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uiPriority w:val="99"/>
  </w:style>
  <w:style w:type="character" w:customStyle="1" w:styleId="128">
    <w:name w:val="正文文本 Char1"/>
    <w:link w:val="19"/>
    <w:uiPriority w:val="0"/>
    <w:rPr>
      <w:rFonts w:ascii="Times New Roman" w:hAnsi="Times New Roman" w:eastAsia="宋体" w:cs="Times New Roman"/>
      <w:kern w:val="0"/>
      <w:sz w:val="24"/>
      <w:szCs w:val="24"/>
    </w:rPr>
  </w:style>
  <w:style w:type="character" w:customStyle="1" w:styleId="129">
    <w:name w:val="正文首行缩进 Char"/>
    <w:uiPriority w:val="0"/>
    <w:rPr>
      <w:rFonts w:ascii="Times New Roman" w:hAnsi="Times New Roman" w:eastAsia="宋体" w:cs="Times New Roman"/>
      <w:sz w:val="24"/>
      <w:szCs w:val="24"/>
    </w:rPr>
  </w:style>
  <w:style w:type="character" w:customStyle="1" w:styleId="130">
    <w:name w:val="正文首行缩进 Char1"/>
    <w:uiPriority w:val="0"/>
    <w:rPr>
      <w:rFonts w:ascii="Times New Roman" w:hAnsi="Times New Roman" w:eastAsia="宋体" w:cs="Times New Roman"/>
      <w:sz w:val="28"/>
      <w:szCs w:val="24"/>
    </w:rPr>
  </w:style>
  <w:style w:type="paragraph" w:customStyle="1" w:styleId="131">
    <w:name w:val="样式 标题 3 + 小四 段前: 0 磅 段后: 0 磅"/>
    <w:basedOn w:val="4"/>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uiPriority w:val="0"/>
    <w:rPr>
      <w:rFonts w:ascii="Calibri" w:hAnsi="Calibri" w:eastAsia="宋体" w:cs="Times New Roman"/>
      <w:kern w:val="0"/>
      <w:sz w:val="16"/>
      <w:szCs w:val="16"/>
      <w:lang w:bidi="en-US"/>
    </w:rPr>
  </w:style>
  <w:style w:type="character" w:customStyle="1" w:styleId="133">
    <w:name w:val="正文文本 3 字符"/>
    <w:basedOn w:val="46"/>
    <w:semiHidden/>
    <w:qFormat/>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uiPriority w:val="0"/>
    <w:rPr>
      <w:rFonts w:ascii="Calibri" w:hAnsi="Calibri" w:eastAsia="宋体" w:cs="Times New Roman"/>
      <w:kern w:val="0"/>
      <w:sz w:val="16"/>
      <w:szCs w:val="16"/>
      <w:lang w:bidi="en-US"/>
    </w:rPr>
  </w:style>
  <w:style w:type="character" w:customStyle="1" w:styleId="136">
    <w:name w:val="正文文本缩进 3 字符"/>
    <w:basedOn w:val="46"/>
    <w:semiHidden/>
    <w:uiPriority w:val="99"/>
    <w:rPr>
      <w:sz w:val="16"/>
      <w:szCs w:val="16"/>
    </w:rPr>
  </w:style>
  <w:style w:type="character" w:customStyle="1" w:styleId="137">
    <w:name w:val="正文文本缩进 3 Char1"/>
    <w:semiHidden/>
    <w:uiPriority w:val="99"/>
    <w:rPr>
      <w:sz w:val="16"/>
      <w:szCs w:val="16"/>
    </w:rPr>
  </w:style>
  <w:style w:type="character" w:customStyle="1" w:styleId="138">
    <w:name w:val="正文文本缩进 2 Char2"/>
    <w:link w:val="26"/>
    <w:semiHidden/>
    <w:qFormat/>
    <w:uiPriority w:val="0"/>
    <w:rPr>
      <w:rFonts w:ascii="Times New Roman" w:hAnsi="Times New Roman" w:eastAsia="宋体" w:cs="Times New Roman"/>
      <w:sz w:val="28"/>
      <w:szCs w:val="24"/>
    </w:rPr>
  </w:style>
  <w:style w:type="character" w:customStyle="1" w:styleId="139">
    <w:name w:val="正文文本缩进 2 字符"/>
    <w:basedOn w:val="46"/>
    <w:semiHidden/>
    <w:qFormat/>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qFormat/>
    <w:uiPriority w:val="99"/>
  </w:style>
  <w:style w:type="character" w:customStyle="1" w:styleId="143">
    <w:name w:val="正文文本 2 Char1"/>
    <w:basedOn w:val="46"/>
    <w:semiHidden/>
    <w:uiPriority w:val="99"/>
  </w:style>
  <w:style w:type="paragraph" w:customStyle="1" w:styleId="144">
    <w:name w:val="样式1"/>
    <w:basedOn w:val="2"/>
    <w:next w:val="12"/>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qFormat/>
    <w:uiPriority w:val="99"/>
  </w:style>
  <w:style w:type="character" w:customStyle="1" w:styleId="146">
    <w:name w:val="注释标题 Char1"/>
    <w:link w:val="12"/>
    <w:semiHidden/>
    <w:qFormat/>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qFormat/>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qFormat/>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qFormat/>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qFormat/>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qFormat/>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qFormat/>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qFormat/>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qFormat/>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qFormat/>
    <w:uiPriority w:val="0"/>
    <w:pPr>
      <w:tabs>
        <w:tab w:val="left" w:pos="720"/>
      </w:tabs>
      <w:spacing w:before="240" w:after="120" w:line="240" w:lineRule="auto"/>
    </w:pPr>
    <w:rPr>
      <w:rFonts w:eastAsia="黑体" w:cs="Times New Roman"/>
      <w:sz w:val="32"/>
    </w:rPr>
  </w:style>
  <w:style w:type="character" w:customStyle="1" w:styleId="181">
    <w:name w:val="标题 1 Char Char"/>
    <w:qFormat/>
    <w:uiPriority w:val="0"/>
    <w:rPr>
      <w:rFonts w:eastAsia="黑体"/>
      <w:b/>
      <w:bCs/>
      <w:kern w:val="44"/>
      <w:sz w:val="32"/>
      <w:szCs w:val="44"/>
      <w:lang w:val="en-US" w:eastAsia="zh-CN" w:bidi="ar-SA"/>
    </w:rPr>
  </w:style>
  <w:style w:type="character" w:customStyle="1" w:styleId="182">
    <w:name w:val="样式1 Char Char Char"/>
    <w:qFormat/>
    <w:uiPriority w:val="0"/>
    <w:rPr>
      <w:rFonts w:eastAsia="黑体"/>
      <w:b/>
      <w:bCs/>
      <w:kern w:val="44"/>
      <w:sz w:val="32"/>
      <w:szCs w:val="44"/>
      <w:lang w:val="en-US" w:eastAsia="zh-CN" w:bidi="ar-SA"/>
    </w:rPr>
  </w:style>
  <w:style w:type="paragraph" w:customStyle="1" w:styleId="183">
    <w:name w:val="样式 标题 1 + 小三 黑色 Char"/>
    <w:basedOn w:val="2"/>
    <w:qFormat/>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uiPriority w:val="0"/>
    <w:rPr>
      <w:rFonts w:eastAsia="黑体"/>
      <w:b/>
      <w:bCs/>
      <w:color w:val="000000"/>
      <w:kern w:val="44"/>
      <w:sz w:val="30"/>
      <w:szCs w:val="44"/>
      <w:lang w:val="en-US" w:eastAsia="zh-CN" w:bidi="ar-SA"/>
    </w:rPr>
  </w:style>
  <w:style w:type="paragraph" w:customStyle="1" w:styleId="185">
    <w:name w:val="正文文字-01"/>
    <w:basedOn w:val="1"/>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qFormat/>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qFormat/>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qFormat/>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qFormat/>
    <w:uiPriority w:val="0"/>
    <w:pPr>
      <w:spacing w:after="0"/>
      <w:jc w:val="center"/>
    </w:pPr>
    <w:rPr>
      <w:rFonts w:ascii="宋体" w:hAnsi="宋体" w:cs="楷体_GB2312"/>
      <w:b/>
      <w:bCs/>
      <w:sz w:val="21"/>
    </w:rPr>
  </w:style>
  <w:style w:type="character" w:customStyle="1" w:styleId="200">
    <w:name w:val="TableHead Char"/>
    <w:link w:val="199"/>
    <w:qFormat/>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qFormat/>
    <w:uiPriority w:val="0"/>
    <w:rPr>
      <w:rFonts w:ascii="Calibri" w:hAnsi="Calibri" w:eastAsia="宋体" w:cs="Times New Roman"/>
      <w:kern w:val="0"/>
      <w:sz w:val="20"/>
      <w:szCs w:val="20"/>
    </w:rPr>
  </w:style>
  <w:style w:type="paragraph" w:customStyle="1" w:styleId="205">
    <w:name w:val="普通文字"/>
    <w:basedOn w:val="1"/>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qFormat/>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uiPriority w:val="0"/>
  </w:style>
  <w:style w:type="paragraph" w:customStyle="1" w:styleId="213">
    <w:name w:val="Char Char Char Char Char Char Char Char Char Char Char Char Char Char Char Char Char Char Char Char Char Char Char Char Char"/>
    <w:basedOn w:val="1"/>
    <w:semiHidden/>
    <w:qFormat/>
    <w:uiPriority w:val="0"/>
    <w:rPr>
      <w:rFonts w:ascii="Times New Roman" w:hAnsi="Times New Roman" w:eastAsia="宋体" w:cs="Times New Roman"/>
      <w:kern w:val="0"/>
      <w:sz w:val="28"/>
      <w:szCs w:val="24"/>
    </w:rPr>
  </w:style>
  <w:style w:type="character" w:customStyle="1" w:styleId="214">
    <w:name w:val="批注文字 字符1"/>
    <w:qFormat/>
    <w:uiPriority w:val="99"/>
    <w:rPr>
      <w:rFonts w:ascii="仿宋_GB2312" w:hAnsi="Times New Roman" w:eastAsia="仿宋_GB2312" w:cs="Times New Roman"/>
      <w:kern w:val="0"/>
      <w:sz w:val="24"/>
      <w:szCs w:val="24"/>
    </w:rPr>
  </w:style>
  <w:style w:type="character" w:customStyle="1" w:styleId="215">
    <w:name w:val="批注主题 字符1"/>
    <w:semiHidden/>
    <w:qFormat/>
    <w:uiPriority w:val="99"/>
    <w:rPr>
      <w:rFonts w:ascii="仿宋_GB2312" w:hAnsi="Times New Roman" w:eastAsia="仿宋_GB2312" w:cs="Times New Roman"/>
      <w:b/>
      <w:bCs/>
      <w:kern w:val="0"/>
      <w:sz w:val="24"/>
      <w:szCs w:val="24"/>
    </w:rPr>
  </w:style>
  <w:style w:type="character" w:styleId="216">
    <w:name w:val="Placeholder Text"/>
    <w:semiHidden/>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3">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qFormat/>
    <w:uiPriority w:val="99"/>
    <w:rPr>
      <w:rFonts w:ascii="Arial" w:hAnsi="Arial" w:cs="Arial"/>
      <w:vanish/>
      <w:sz w:val="16"/>
      <w:szCs w:val="16"/>
    </w:rPr>
  </w:style>
  <w:style w:type="character" w:customStyle="1" w:styleId="277">
    <w:name w:val="z-窗体顶端 Char1"/>
    <w:link w:val="275"/>
    <w:semiHidden/>
    <w:uiPriority w:val="99"/>
    <w:rPr>
      <w:rFonts w:ascii="Arial" w:hAnsi="Arial" w:eastAsia="宋体" w:cs="Arial"/>
      <w:vanish/>
      <w:kern w:val="0"/>
      <w:sz w:val="16"/>
      <w:szCs w:val="16"/>
    </w:rPr>
  </w:style>
  <w:style w:type="paragraph" w:customStyle="1" w:styleId="278">
    <w:name w:val="HTML Bottom of Form"/>
    <w:basedOn w:val="1"/>
    <w:next w:val="1"/>
    <w:link w:val="280"/>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qFormat/>
    <w:uiPriority w:val="99"/>
    <w:rPr>
      <w:rFonts w:ascii="Arial" w:hAnsi="Arial" w:cs="Arial"/>
      <w:vanish/>
      <w:sz w:val="16"/>
      <w:szCs w:val="16"/>
    </w:rPr>
  </w:style>
  <w:style w:type="character" w:customStyle="1" w:styleId="280">
    <w:name w:val="z-窗体底端 Char1"/>
    <w:link w:val="278"/>
    <w:uiPriority w:val="99"/>
    <w:rPr>
      <w:rFonts w:ascii="Arial" w:hAnsi="Arial" w:eastAsia="宋体" w:cs="Arial"/>
      <w:vanish/>
      <w:kern w:val="0"/>
      <w:sz w:val="16"/>
      <w:szCs w:val="16"/>
    </w:rPr>
  </w:style>
  <w:style w:type="paragraph" w:customStyle="1" w:styleId="2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qFormat/>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qFormat/>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qFormat/>
    <w:uiPriority w:val="99"/>
  </w:style>
  <w:style w:type="character" w:customStyle="1" w:styleId="316">
    <w:name w:val="正文首行缩进 2 Char1"/>
    <w:basedOn w:val="98"/>
    <w:link w:val="43"/>
    <w:semiHidden/>
    <w:qFormat/>
    <w:uiPriority w:val="99"/>
  </w:style>
  <w:style w:type="character" w:customStyle="1" w:styleId="317">
    <w:name w:val="标题 5 Char"/>
    <w:uiPriority w:val="0"/>
    <w:rPr>
      <w:rFonts w:ascii="Calibri" w:hAnsi="Calibri" w:eastAsia="宋体" w:cs="Times New Roman"/>
      <w:b/>
      <w:bCs/>
      <w:i/>
      <w:iCs/>
      <w:kern w:val="0"/>
      <w:sz w:val="26"/>
      <w:szCs w:val="26"/>
      <w:lang w:bidi="en-US"/>
    </w:rPr>
  </w:style>
  <w:style w:type="character" w:customStyle="1" w:styleId="318">
    <w:name w:val="标题 6 Char"/>
    <w:uiPriority w:val="0"/>
    <w:rPr>
      <w:rFonts w:ascii="Calibri" w:hAnsi="Calibri" w:eastAsia="宋体" w:cs="Times New Roman"/>
      <w:b/>
      <w:bCs/>
      <w:kern w:val="0"/>
      <w:sz w:val="22"/>
      <w:lang w:bidi="en-US"/>
    </w:rPr>
  </w:style>
  <w:style w:type="character" w:customStyle="1" w:styleId="319">
    <w:name w:val="标题 7 Char"/>
    <w:qFormat/>
    <w:uiPriority w:val="0"/>
    <w:rPr>
      <w:rFonts w:ascii="Calibri" w:hAnsi="Calibri" w:eastAsia="宋体" w:cs="Times New Roman"/>
      <w:kern w:val="0"/>
      <w:sz w:val="24"/>
      <w:szCs w:val="24"/>
      <w:lang w:bidi="en-US"/>
    </w:rPr>
  </w:style>
  <w:style w:type="character" w:customStyle="1" w:styleId="320">
    <w:name w:val="标题 8 Char"/>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qFormat/>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uiPriority w:val="0"/>
    <w:rPr>
      <w:rFonts w:ascii="宋体" w:hAnsi="宋体" w:eastAsia="宋体" w:cs="Times New Roman"/>
      <w:sz w:val="24"/>
      <w:szCs w:val="24"/>
    </w:rPr>
  </w:style>
  <w:style w:type="character" w:customStyle="1" w:styleId="324">
    <w:name w:val="标题 Char"/>
    <w:qFormat/>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uiPriority w:val="0"/>
    <w:rPr>
      <w:rFonts w:ascii="Times New Roman" w:hAnsi="Times New Roman" w:eastAsia="宋体" w:cs="Times New Roman"/>
      <w:sz w:val="24"/>
      <w:szCs w:val="24"/>
    </w:rPr>
  </w:style>
  <w:style w:type="character" w:customStyle="1" w:styleId="331">
    <w:name w:val="正文文本 3 Char"/>
    <w:semiHidden/>
    <w:qFormat/>
    <w:uiPriority w:val="0"/>
    <w:rPr>
      <w:rFonts w:ascii="Calibri" w:hAnsi="Calibri" w:eastAsia="宋体" w:cs="Times New Roman"/>
      <w:kern w:val="0"/>
      <w:sz w:val="16"/>
      <w:szCs w:val="16"/>
      <w:lang w:bidi="en-US"/>
    </w:rPr>
  </w:style>
  <w:style w:type="character" w:customStyle="1" w:styleId="332">
    <w:name w:val="正文文本缩进 3 Char"/>
    <w:semiHidden/>
    <w:qFormat/>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uiPriority w:val="0"/>
    <w:rPr>
      <w:rFonts w:ascii="Times New Roman" w:hAnsi="Times New Roman" w:eastAsia="宋体" w:cs="Times New Roman"/>
      <w:sz w:val="28"/>
      <w:szCs w:val="24"/>
    </w:rPr>
  </w:style>
  <w:style w:type="character" w:customStyle="1" w:styleId="336">
    <w:name w:val="脚注文本 Char"/>
    <w:uiPriority w:val="0"/>
    <w:rPr>
      <w:rFonts w:ascii="Calibri" w:hAnsi="Calibri" w:eastAsia="宋体" w:cs="Times New Roman"/>
      <w:kern w:val="0"/>
      <w:sz w:val="20"/>
      <w:szCs w:val="20"/>
    </w:rPr>
  </w:style>
  <w:style w:type="character" w:customStyle="1" w:styleId="337">
    <w:name w:val="批注文字 Char"/>
    <w:semiHidden/>
    <w:qFormat/>
    <w:uiPriority w:val="99"/>
    <w:rPr>
      <w:rFonts w:ascii="仿宋_GB2312" w:hAnsi="Times New Roman" w:eastAsia="仿宋_GB2312" w:cs="Times New Roman"/>
      <w:kern w:val="0"/>
      <w:sz w:val="24"/>
      <w:szCs w:val="24"/>
    </w:rPr>
  </w:style>
  <w:style w:type="character" w:customStyle="1" w:styleId="338">
    <w:name w:val="批注主题 Char"/>
    <w:semiHidden/>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qFormat/>
    <w:uiPriority w:val="99"/>
    <w:rPr>
      <w:color w:val="605E5C"/>
      <w:shd w:val="clear" w:color="auto" w:fill="E1DFDD"/>
    </w:rPr>
  </w:style>
  <w:style w:type="character" w:customStyle="1" w:styleId="342">
    <w:name w:val="未处理的提及2"/>
    <w:basedOn w:val="46"/>
    <w:semiHidden/>
    <w:unhideWhenUsed/>
    <w:uiPriority w:val="99"/>
    <w:rPr>
      <w:color w:val="605E5C"/>
      <w:shd w:val="clear" w:color="auto" w:fill="E1DFDD"/>
    </w:rPr>
  </w:style>
  <w:style w:type="paragraph" w:customStyle="1" w:styleId="343">
    <w:name w:val="Char Char Char1"/>
    <w:basedOn w:val="1"/>
    <w:semiHidden/>
    <w:uiPriority w:val="0"/>
    <w:rPr>
      <w:rFonts w:ascii="Times New Roman" w:hAnsi="Times New Roman" w:eastAsia="宋体" w:cs="Times New Roman"/>
      <w:szCs w:val="24"/>
    </w:rPr>
  </w:style>
  <w:style w:type="character" w:customStyle="1" w:styleId="344">
    <w:name w:val="批注文字 字符"/>
    <w:basedOn w:val="46"/>
    <w:qFormat/>
    <w:uiPriority w:val="99"/>
  </w:style>
  <w:style w:type="character" w:customStyle="1" w:styleId="345">
    <w:name w:val="批注主题 字符"/>
    <w:basedOn w:val="344"/>
    <w:semiHidden/>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uiPriority w:val="99"/>
    <w:rPr>
      <w:color w:val="605E5C"/>
      <w:shd w:val="clear" w:color="auto" w:fill="E1DFDD"/>
    </w:rPr>
  </w:style>
  <w:style w:type="character" w:customStyle="1" w:styleId="348">
    <w:name w:val="未处理的提及4"/>
    <w:basedOn w:val="46"/>
    <w:semiHidden/>
    <w:unhideWhenUsed/>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qFormat/>
    <w:uiPriority w:val="99"/>
    <w:rPr>
      <w:color w:val="605E5C"/>
      <w:shd w:val="clear" w:color="auto" w:fill="E1DFDD"/>
    </w:rPr>
  </w:style>
  <w:style w:type="character" w:customStyle="1" w:styleId="353">
    <w:name w:val="未处理的提及6"/>
    <w:basedOn w:val="46"/>
    <w:semiHidden/>
    <w:unhideWhenUsed/>
    <w:qFormat/>
    <w:uiPriority w:val="99"/>
    <w:rPr>
      <w:color w:val="605E5C"/>
      <w:shd w:val="clear" w:color="auto" w:fill="E1DFDD"/>
    </w:rPr>
  </w:style>
  <w:style w:type="table" w:customStyle="1" w:styleId="354">
    <w:name w:val="网格型3"/>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customStyle="1" w:styleId="355">
    <w:name w:val="网格型2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
    <w:name w:val="网格型1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emf"/><Relationship Id="rId16" Type="http://schemas.openxmlformats.org/officeDocument/2006/relationships/image" Target="media/image5.wmf"/><Relationship Id="rId15" Type="http://schemas.openxmlformats.org/officeDocument/2006/relationships/oleObject" Target="embeddings/oleObject2.bin"/><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media/image3.jpeg"/><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1A4787-E3B5-4985-BAEF-881A8AC7270F}">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54</Pages>
  <Words>4913</Words>
  <Characters>28006</Characters>
  <Lines>233</Lines>
  <Paragraphs>65</Paragraphs>
  <TotalTime>82</TotalTime>
  <ScaleCrop>false</ScaleCrop>
  <LinksUpToDate>false</LinksUpToDate>
  <CharactersWithSpaces>32854</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2019-12-17T06:45:00Z</dcterms:created>
  <dc:creator>Administrator</dc:creator>
  <cp:lastModifiedBy>ynfyzfb</cp:lastModifiedBy>
  <cp:lastPrinted>2019-09-29T02:51:00Z</cp:lastPrinted>
  <dcterms:modified xsi:type="dcterms:W3CDTF">2020-11-05T09:39:15Z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