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w:t>
      </w:r>
      <w:bookmarkStart w:id="231" w:name="_GoBack"/>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后所镇大熟地</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水库</w:t>
      </w:r>
      <w:bookmarkEnd w:id="231"/>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left="357"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2472"/>
          <w:tab w:val="left" w:pos="3586"/>
        </w:tabs>
        <w:spacing w:line="360" w:lineRule="auto"/>
        <w:ind w:left="357" w:firstLine="0" w:firstLineChars="0"/>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委托单位：后所镇人民政府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"_Toc27492724"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_Toc27492724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"_Toc27492725"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_Toc27492725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"_Toc27492726"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_Toc27492726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"_Toc27492727"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_Toc27492727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"_Toc27492728"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_Toc27492728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"_Toc27492729"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_Toc27492729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_Toc27492730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"_Toc27492731"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_Toc27492731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_Toc27492732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_Toc27492733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_Toc27492734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_Toc27492735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_Toc27492736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_Toc27492737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_Toc27492738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"_Toc27492739"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_Toc27492739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"_Toc27492749"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_Toc27492749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_Toc27492750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_Toc27492751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_Toc27492752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_Toc27492753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_Toc27492754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_Toc27492755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"_Toc27492756"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_Toc27492756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- 30 -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_Toc27492757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_Toc27492758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"_Toc27492759"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_Toc27492759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_Toc27492760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_Toc27492761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二级保护区范围的确定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_Toc27492762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_Toc27492763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"_Toc27492764" </w:instrText>
      </w:r>
      <w:r>
        <w:fldChar w:fldCharType="separate"/>
      </w:r>
      <w:r>
        <w:rPr>
          <w:rStyle w:val="51"/>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_Toc27492764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_Toc27492765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_Toc27492766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_Toc27492767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_Toc27492768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"_Toc27492769"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_Toc27492769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_Toc27492770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_Toc27492771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_Toc27492772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_Toc27492773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b/>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"_Toc27492774" </w:instrText>
      </w:r>
      <w:r>
        <w:fldChar w:fldCharType="separate"/>
      </w:r>
      <w:r>
        <w:rPr>
          <w:rStyle w:val="51"/>
          <w:rFonts w:ascii="Times New Roman" w:hAnsi="Times New Roman" w:eastAsia="仿宋" w:cs="Times New Roman"/>
          <w:b/>
          <w:bCs/>
          <w:color w:val="0D0D0D" w:themeColor="text1" w:themeTint="F2"/>
          <w:kern w:val="44"/>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instrText xml:space="preserve"> PAGEREF _Toc27492774 \h </w:instrTex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_Toc27492775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_Toc27492776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_Toc27492777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富源县大熟地水库饮用水水源地基础信息表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_Toc27492778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"_Toc27492779"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富源县大熟地水库集中式饮用水水源保护区划分结果表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_Toc27492779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"_Toc27492780"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富源县大熟地水库饮用水水源地保护区污染源调查表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_Toc27492780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大熟地水库饮用水源地区位图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大熟地水库饮用水源地水系图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大熟地水库饮用水源地保护区区划图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大熟地水库饮用水源地保护区划污染源分布图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大熟地水库饮用水源地保护区划拐点图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492724"/>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492725"/>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478744139"/>
      <w:bookmarkStart w:id="7" w:name="_Toc27492726"/>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72332582"/>
      <w:bookmarkStart w:id="9" w:name="_Toc200905490"/>
      <w:bookmarkStart w:id="10" w:name="_Toc478744140"/>
      <w:bookmarkStart w:id="11" w:name="_Toc27492727"/>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272332583"/>
      <w:bookmarkStart w:id="15" w:name="_Toc478744141"/>
      <w:bookmarkStart w:id="16" w:name="_Toc200905491"/>
      <w:bookmarkStart w:id="17" w:name="_Toc27492728"/>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00905492"/>
      <w:bookmarkStart w:id="19" w:name="_Toc272332584"/>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492729"/>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492730"/>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富源县后所镇大熟地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492731"/>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2456051"/>
      <w:bookmarkStart w:id="28" w:name="_Toc10729966"/>
      <w:bookmarkStart w:id="29" w:name="_Toc27492732"/>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27492733"/>
      <w:bookmarkStart w:id="31" w:name="_Toc12456052"/>
      <w:bookmarkStart w:id="32" w:name="_Toc10729967"/>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大熟地水库位于富源县后所镇，地理位置为东经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104°15'52"，北纬25°48'18"。</w:t>
      </w:r>
    </w:p>
    <w:p>
      <w:pPr>
        <w:pStyle w:val="4"/>
        <w:rPr>
          <w:color w:val="0D0D0D" w:themeColor="text1" w:themeTint="F2"/>
          <w14:textFill>
            <w14:solidFill>
              <w14:schemeClr w14:val="tx1">
                <w14:lumMod w14:val="95000"/>
                <w14:lumOff w14:val="5000"/>
              </w14:schemeClr>
            </w14:solidFill>
          </w14:textFill>
        </w:rPr>
      </w:pPr>
      <w:bookmarkStart w:id="33" w:name="_Toc27492734"/>
      <w:bookmarkStart w:id="34" w:name="_Toc10729968"/>
      <w:bookmarkStart w:id="35" w:name="_Toc12456053"/>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27492735"/>
      <w:bookmarkStart w:id="37" w:name="_Toc10729969"/>
      <w:bookmarkStart w:id="38" w:name="_Toc12456054"/>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12456055"/>
      <w:bookmarkStart w:id="40" w:name="_Toc10729970"/>
      <w:bookmarkStart w:id="41" w:name="_Toc27492736"/>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10729972"/>
      <w:bookmarkStart w:id="43" w:name="_Toc12456056"/>
      <w:bookmarkStart w:id="44" w:name="_Toc27492737"/>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大熟地水库位于富源县后所镇迤后所村委会，涉及乡镇及村委会社会经济概况统计如下。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（1）后所镇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后所镇位于富源县城北部，镇政府所在地迤后所居委会距县城14.7km，东接贵州盘县，南连本县中安镇，西邻沾益县播乐乡，北抵宣威市兔场，属云贵两省四县（市）结合部。全镇国土总面积430km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辖1个社区居委会、11个村委会，87个村民小组，180个自然村。2016年底，全镇总户数1.77万户，其中纯农户1.54万户、总人口6.83万人，其中农业人口6.32万人、非农业人口5070余人，有少数民族人口1.20万人，占总人口的17.5%。全镇有耕地面积5.61万亩，其中旱地4.73万亩、水田8760亩，人均占有耕地0.85亩，有人工草场面积3.01万亩，粮食作物以包谷、水稻、洋芋、荞为主，经济作物以烤烟为主。2018年全镇实现农村经济总收入11.5亿元、增长2%；播种粮食11.1万亩，实现产量5.2万吨；出栏肉猪22.8万头、肉牛0.94万头、肉羊6.45万只、肉禽18万羽，肉类总产2.35万吨。</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（2）大熟地水库保护区范围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大熟地水库保护区内无农村居民点，主要涉及后所镇迤后所村委会耕地，耕地面积20.45hm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，均为旱地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45" w:name="_Toc25679051"/>
      <w:bookmarkStart w:id="46" w:name="_Toc27492738"/>
      <w:bookmarkStart w:id="47" w:name="_Toc12621568"/>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对大熟地水库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保护区内土地利用方式主要为有林地，占保护区面积的75.01%；其次是旱地，占保护区面积的19.30%；草地占保护区面积的4.80%；水域面积占保护区面积的0.89%。大熟地水库保护区土地利用现状见表2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大熟地水库保护区土地利用现状</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1"/>
        <w:gridCol w:w="1112"/>
        <w:gridCol w:w="1058"/>
        <w:gridCol w:w="1112"/>
        <w:gridCol w:w="1058"/>
        <w:gridCol w:w="111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31" w:type="dxa"/>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6519" w:type="dxa"/>
            <w:gridSpan w:val="6"/>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大熟地水库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31"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2170"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2170"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二级保护区</w:t>
            </w:r>
          </w:p>
        </w:tc>
        <w:tc>
          <w:tcPr>
            <w:tcW w:w="2179"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31"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11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58"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58"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6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31"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13.70</w:t>
            </w:r>
          </w:p>
        </w:tc>
        <w:tc>
          <w:tcPr>
            <w:tcW w:w="105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89.74</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65.76</w:t>
            </w:r>
          </w:p>
        </w:tc>
        <w:tc>
          <w:tcPr>
            <w:tcW w:w="105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72.53</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79.46</w:t>
            </w:r>
          </w:p>
        </w:tc>
        <w:tc>
          <w:tcPr>
            <w:tcW w:w="106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31"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旱地</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0.63</w:t>
            </w:r>
          </w:p>
        </w:tc>
        <w:tc>
          <w:tcPr>
            <w:tcW w:w="105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4.11</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19.82</w:t>
            </w:r>
          </w:p>
        </w:tc>
        <w:tc>
          <w:tcPr>
            <w:tcW w:w="105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21.86</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20.45</w:t>
            </w:r>
          </w:p>
        </w:tc>
        <w:tc>
          <w:tcPr>
            <w:tcW w:w="106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3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草地</w:t>
            </w:r>
          </w:p>
        </w:tc>
        <w:tc>
          <w:tcPr>
            <w:tcW w:w="1112"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58"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112"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5.08</w:t>
            </w:r>
          </w:p>
        </w:tc>
        <w:tc>
          <w:tcPr>
            <w:tcW w:w="1058"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5.60</w:t>
            </w:r>
          </w:p>
        </w:tc>
        <w:tc>
          <w:tcPr>
            <w:tcW w:w="1112"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5.08</w:t>
            </w:r>
          </w:p>
        </w:tc>
        <w:tc>
          <w:tcPr>
            <w:tcW w:w="1067"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3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水域</w:t>
            </w:r>
          </w:p>
        </w:tc>
        <w:tc>
          <w:tcPr>
            <w:tcW w:w="1112"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0.94</w:t>
            </w:r>
          </w:p>
        </w:tc>
        <w:tc>
          <w:tcPr>
            <w:tcW w:w="105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6.15</w:t>
            </w:r>
          </w:p>
        </w:tc>
        <w:tc>
          <w:tcPr>
            <w:tcW w:w="1112"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05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112"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0.94</w:t>
            </w:r>
          </w:p>
        </w:tc>
        <w:tc>
          <w:tcPr>
            <w:tcW w:w="1067"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3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15.26</w:t>
            </w:r>
          </w:p>
        </w:tc>
        <w:tc>
          <w:tcPr>
            <w:tcW w:w="105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112"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90.67</w:t>
            </w:r>
          </w:p>
        </w:tc>
        <w:tc>
          <w:tcPr>
            <w:tcW w:w="1058"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112"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105.93</w:t>
            </w:r>
          </w:p>
        </w:tc>
        <w:tc>
          <w:tcPr>
            <w:tcW w:w="106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4850" cy="2886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4850" cy="2886075"/>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大熟地水库保护区内土地利用状况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12456059"/>
      <w:bookmarkStart w:id="49" w:name="_Toc27492739"/>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大熟地水库属于地表水，现状功能为饮用水，水质功能类别为Ⅲ类。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大熟地水库饮用水水源地位于曲靖市富源县后所镇，根据《云南省主体功能区规划》，富源县属于省级重点开发区域。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根据《云南省生态功能区划》，大熟地水库水源地位于富源县后所镇，所在生态功能分区为：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12456060"/>
      <w:bookmarkStart w:id="52" w:name="_Toc2749274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后所镇大熟地水库为地表水型饮用水源地，为在用水源地。</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后所镇大熟地水库水源地基本信息表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大熟地水库</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104°15'52"</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25°48'17"</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3" w:name="_Toc12456061"/>
      <w:bookmarkStart w:id="54" w:name="_Toc10729974"/>
      <w:bookmarkStart w:id="55" w:name="_Toc27492741"/>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水库概况</w:t>
      </w:r>
      <w:bookmarkEnd w:id="5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大熟地水库是一座以集镇供水为主，兼顾农业灌溉的小（二）型水库，水库始建于1998年9月，1999年9月底结束，10月初开始试蓄水运行。水库控制径流面积1.012km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设计灌溉农田300亩，实际灌溉100亩，解决镇政府所在地集镇12000人的生活用水问题。根据国家《防洪标准》（GB50201—94），水规（1989）21号水利部印发《水利枢纽工程险加固近期应用洪水标准意见》的通知，大熟地水库总库容13.76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属小（二）型工程，工程级别是V等，大坝级别为5级，正常运用洪水标准为20年一遇，非常运用洪水标准为200年一遇。水库枢纽工程由大坝、溢洪道、输水隧洞组成。大坝为均质土坝，坝高21.6m，坝顶高程为2165.6m，坝顶长75m，坝顶宽3.6m。溢洪道维持原来轴线不变，改造进水渠、控制段及部分泄槽，改造后溢洪道全长91m，进水渠、控制段底宽均为2m，堰顶高程2163m。根据调洪计算成果，溢洪道20年一遇下泄流量为4.53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/s，200年一遇下泄流量为7.34m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/s。输水涵洞为圬工拱涵，进口高程2149.28m，长98m，断面底宽0.8m，高1.6m，在0+37.4m处安装有0.8</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0.8平板钢闸门，闸前段尺寸为0.8×1m，闸后段底宽0.8m，高1.8m，在与上游坝肩相交处建有竖井及启闭房，安装有0.8×0.8m平板闸门。设计对输水涵洞进行加固处理，由于输水涵洞不参与泄洪，仅作为下游用水放水通道，本次设计进行闸门检修、更换启闭设备，重建启闭房，并对闸后段进行固结灌浆。重建启闭房尺寸为4×4m。在距涵洞出口2m处的出水渠上建取水闸，在出水渠右侧边墙设置取水口，通过引水渠道引水至集水池，从集水池安装φ300mm铸铁管到现有集镇供水取水池，以解决后所集镇供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总库容13.76万m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10.38万m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，正常蓄水位2163m，死水位2148.0m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2164.31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m，校核洪水位为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2164.81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891"/>
        <w:gridCol w:w="2086"/>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891"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208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3107"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大熟地水库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2163</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2148</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2164.31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2164.81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死</w:t>
            </w:r>
            <w:r>
              <w:rPr>
                <w:rFonts w:eastAsia="仿宋"/>
                <w:color w:val="0D0D0D" w:themeColor="text1" w:themeTint="F2"/>
                <w:sz w:val="24"/>
                <w:szCs w:val="24"/>
                <w14:textFill>
                  <w14:solidFill>
                    <w14:schemeClr w14:val="tx1">
                      <w14:lumMod w14:val="95000"/>
                      <w14:lumOff w14:val="5000"/>
                    </w14:schemeClr>
                  </w14:solidFill>
                </w14:textFill>
              </w:rPr>
              <w:t>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0.12</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10729975"/>
      <w:bookmarkStart w:id="57" w:name="_Toc27492742"/>
      <w:bookmarkStart w:id="58" w:name="_Toc12456062"/>
      <w:bookmarkStart w:id="59" w:name="_Toc524596427"/>
      <w:bookmarkStart w:id="60" w:name="_Toc478742807"/>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w:t>
      </w:r>
      <w:r>
        <w:rPr>
          <w:color w:val="0D0D0D" w:themeColor="text1" w:themeTint="F2"/>
          <w:sz w:val="28"/>
          <w:szCs w:val="28"/>
          <w14:textFill>
            <w14:solidFill>
              <w14:schemeClr w14:val="tx1">
                <w14:lumMod w14:val="95000"/>
                <w14:lumOff w14:val="5000"/>
              </w14:schemeClr>
            </w14:solidFill>
          </w14:textFill>
        </w:rPr>
        <w:t>供水情况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大熟地水库为富源县后所镇自来水厂水源点，年供水量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36.5</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1.6</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-3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大熟地水库供水情况统计表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大熟地水库</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36.5</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12456063"/>
      <w:bookmarkStart w:id="63" w:name="_Toc27492743"/>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后所镇大熟地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监测数据对后所镇大熟地水库水环境质量进行评估。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27492744"/>
      <w:bookmarkStart w:id="65" w:name="_Toc27063934"/>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后所镇大熟地水库水质目标按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水质标准。本区划根据常规监测评价结果，结合流域现状主要污染源，对所有已开展的监测因子进行水质类别评价，选取pH、溶解氧、高锰酸盐指数、化学需氧量（COD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8"/>
        <w:gridCol w:w="3194"/>
        <w:gridCol w:w="2374"/>
        <w:gridCol w:w="996"/>
        <w:gridCol w:w="876"/>
        <w:gridCol w:w="816"/>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5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31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23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spacing w:line="480" w:lineRule="exact"/>
        <w:ind w:right="480"/>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后所镇大熟地水库采用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水源地现状水质监测点为后所镇大熟地水库。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6" w:name="_Toc27492745"/>
      <w:bookmarkStart w:id="67" w:name="_Toc27063935"/>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6"/>
      <w:bookmarkEnd w:id="67"/>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后所镇大熟地水库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6pt;" o:ole="t" fillcolor="#FFFFFF"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pt;width:58.5pt;" o:ole="t" fillcolor="#FFFFFF"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4"/>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4"/>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值</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09"/>
        <w:gridCol w:w="1608"/>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表2.6-3  水质类别与评分值对应表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289"/>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3289"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3071"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widowControl/>
              <w:spacing w:line="36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68" w:name="_Toc27492746"/>
      <w:bookmarkStart w:id="69" w:name="_Toc27063936"/>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68"/>
      <w:bookmarkEnd w:id="69"/>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后所镇大熟地水库2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）表1中的标准限值，后所镇大熟地水库所有监测项目均能满足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4597"/>
        <w:gridCol w:w="196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597"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917"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597"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94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15.2</w:t>
            </w:r>
          </w:p>
        </w:tc>
        <w:tc>
          <w:tcPr>
            <w:tcW w:w="1949" w:type="dxa"/>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7.58</w:t>
            </w:r>
          </w:p>
        </w:tc>
        <w:tc>
          <w:tcPr>
            <w:tcW w:w="1949" w:type="dxa"/>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7.2</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1.7</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0.143</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0.863</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w:t>
            </w: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/L</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1314</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根据后所镇大熟地水库2019年1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大熟地水库2019年常规监测补充项目达标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06"/>
        <w:gridCol w:w="2772"/>
        <w:gridCol w:w="1531"/>
        <w:gridCol w:w="2911"/>
        <w:gridCol w:w="15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06"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77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531"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（mg/L）</w:t>
            </w:r>
          </w:p>
        </w:tc>
        <w:tc>
          <w:tcPr>
            <w:tcW w:w="4441" w:type="dxa"/>
            <w:gridSpan w:val="2"/>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06"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77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531"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91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值（mg/L）</w:t>
            </w:r>
          </w:p>
        </w:tc>
        <w:tc>
          <w:tcPr>
            <w:tcW w:w="1530"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772"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根据后所镇大熟地水库常规监测水质功能类别评价结果，结合后所镇大熟地水库流域现状主要污染源，选取选取pH、溶解氧、高锰酸盐指数、化学需氧量（COD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项指标进行单因子指数法水质评价。后所镇大熟地水库水质按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4194"/>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644"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19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812"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81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所有指标单因子评价指数均小于1，即达到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水质标准。总氮的监测值为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0.86mg/L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评价指数为0.86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rFonts w:hint="eastAsia"/>
          <w:color w:val="0D0D0D" w:themeColor="text1" w:themeTint="F2"/>
          <w:sz w:val="28"/>
          <w14:textFill>
            <w14:solidFill>
              <w14:schemeClr w14:val="tx1">
                <w14:lumMod w14:val="95000"/>
                <w14:lumOff w14:val="5000"/>
              </w14:schemeClr>
            </w14:solidFill>
          </w14:textFill>
        </w:rPr>
        <w:t>2.6.3.3</w:t>
      </w:r>
      <w:r>
        <w:rPr>
          <w:color w:val="0D0D0D" w:themeColor="text1" w:themeTint="F2"/>
          <w:sz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后所镇大熟地水库2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评价分数均低于50，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36.65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，处于中营养状态，从营养状态评价水库水质良好。后所镇大熟地水库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adjustRightInd w:val="0"/>
        <w:snapToGrid w:val="0"/>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后所镇大熟地水库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45"/>
        <w:tblW w:w="91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36"/>
        <w:gridCol w:w="3385"/>
        <w:gridCol w:w="33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338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38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338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130</w:t>
            </w:r>
          </w:p>
        </w:tc>
        <w:tc>
          <w:tcPr>
            <w:tcW w:w="33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0.863</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0.026</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6.59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338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良好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9107"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后所镇大熟地水库各项监测指标均达到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标准、集中式饮用水地表水源地补充项目标准限值要求。后所镇大熟地水库按</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水质目标要求，所有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类水质标准。未超过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类水质标准的因子中总氮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，总氮的单因子评价指数为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0.86，大于0.8，为主要污染物因子。指标分析如下。</w:t>
      </w:r>
    </w:p>
    <w:p>
      <w:pPr>
        <w:widowControl/>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总氮：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根据后所镇大熟地水库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0.86mg/L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评价指数为0.86，大于0.8。总氮是后所镇大熟地水库的主要污染物。水环境中，总氮主要包括硝酸盐氮、亚硝酸盐氮、氨氮等，其中氨氮主要来源于生活污水、畜禽粪便和水土流失，硝酸盐氮主要来源于种植面源（化肥）和水土流失。</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综上分析，总氮为后所镇大熟地水库的主要污染物。</w:t>
      </w:r>
    </w:p>
    <w:p>
      <w:pPr>
        <w:pStyle w:val="3"/>
        <w:rPr>
          <w:color w:val="0D0D0D" w:themeColor="text1" w:themeTint="F2"/>
          <w14:textFill>
            <w14:solidFill>
              <w14:schemeClr w14:val="tx1">
                <w14:lumMod w14:val="95000"/>
                <w14:lumOff w14:val="5000"/>
              </w14:schemeClr>
            </w14:solidFill>
          </w14:textFill>
        </w:rPr>
      </w:pPr>
      <w:bookmarkStart w:id="70" w:name="_Toc10729980"/>
      <w:bookmarkStart w:id="71" w:name="_Toc12456067"/>
      <w:bookmarkStart w:id="72" w:name="_Toc27492747"/>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0"/>
      <w:bookmarkEnd w:id="71"/>
      <w:bookmarkEnd w:id="7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3" w:name="_Hlk17929028"/>
      <w:bookmarkStart w:id="74" w:name="_Toc10723878"/>
      <w:bookmarkStart w:id="75" w:name="_Toc12456077"/>
      <w:bookmarkStart w:id="76" w:name="_Toc32618011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通过现场踏勘及资料收集，对大熟地水库水源地周边及上游范围内的污染源进行调查，从点源、面源、流动源进行分析。</w:t>
      </w:r>
    </w:p>
    <w:bookmarkEnd w:id="73"/>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7" w:name="_Toc18506526"/>
      <w:bookmarkStart w:id="78" w:name="_Toc25679061"/>
      <w:bookmarkStart w:id="79" w:name="_Toc27492748"/>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77"/>
      <w:bookmarkEnd w:id="78"/>
      <w:bookmarkEnd w:id="79"/>
    </w:p>
    <w:p>
      <w:pPr>
        <w:widowControl/>
        <w:adjustRightInd w:val="0"/>
        <w:snapToGrid w:val="0"/>
        <w:spacing w:line="360" w:lineRule="auto"/>
        <w:ind w:firstLine="560" w:firstLineChars="200"/>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pPr>
      <w:bookmarkStart w:id="80"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调查分析可知，大熟地水库水源地保护区范围内未发现工业企业及违法违规建设项目存在，无城镇生活污水排放口，也无规模化畜禽养殖场（小区）等点源存在。</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1" w:name="_Toc18506527"/>
      <w:bookmarkStart w:id="82" w:name="_Toc25679062"/>
      <w:bookmarkStart w:id="83" w:name="_Toc27492749"/>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81"/>
      <w:bookmarkEnd w:id="82"/>
      <w:bookmarkEnd w:id="83"/>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4"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根据调查可知，大熟地水库水源地保护区范围内面源污染主要由农田种植、水土流失污染组成。</w:t>
      </w:r>
    </w:p>
    <w:bookmarkEnd w:id="84"/>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20.45hm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均为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。耕地种植施用大量的化肥农药，污染物流失对水源地造成污染。大熟地水库保护区范围内耕地面积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19"/>
        <w:gridCol w:w="1619"/>
        <w:gridCol w:w="1621"/>
        <w:gridCol w:w="1621"/>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58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619" w:type="dxa"/>
            <w:shd w:val="clear" w:color="auto" w:fill="D8D8D8" w:themeFill="background1" w:themeFillShade="D9"/>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旱地（hm</w:t>
            </w:r>
            <w:r>
              <w:rPr>
                <w:rFonts w:hint="eastAsia" w:ascii="Times New Roman" w:hAnsi="Times New Roman" w:eastAsia="仿宋" w:cs="Times New Roman"/>
                <w:b/>
                <w:bCs/>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w:t>
            </w:r>
          </w:p>
        </w:tc>
        <w:tc>
          <w:tcPr>
            <w:tcW w:w="161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88"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0.63</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0.008</w:t>
            </w:r>
          </w:p>
        </w:tc>
        <w:tc>
          <w:tcPr>
            <w:tcW w:w="1588"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19.82</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0.446</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0.031</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0.245</w:t>
            </w:r>
          </w:p>
        </w:tc>
        <w:tc>
          <w:tcPr>
            <w:tcW w:w="1588"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619" w:type="dxa"/>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20.45</w:t>
            </w:r>
          </w:p>
        </w:tc>
        <w:tc>
          <w:tcPr>
            <w:tcW w:w="1619" w:type="dxa"/>
            <w:shd w:val="clear" w:color="auto" w:fill="auto"/>
            <w:vAlign w:val="bottom"/>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0.460</w:t>
            </w:r>
          </w:p>
        </w:tc>
        <w:tc>
          <w:tcPr>
            <w:tcW w:w="1621" w:type="dxa"/>
            <w:vAlign w:val="bottom"/>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0.032</w:t>
            </w:r>
          </w:p>
        </w:tc>
        <w:tc>
          <w:tcPr>
            <w:tcW w:w="1621" w:type="dxa"/>
            <w:vAlign w:val="bottom"/>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0.253</w:t>
            </w:r>
          </w:p>
        </w:tc>
        <w:tc>
          <w:tcPr>
            <w:tcW w:w="1588" w:type="dxa"/>
            <w:vAlign w:val="bottom"/>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bCs/>
                <w:color w:val="0D0D0D" w:themeColor="text1" w:themeTint="F2"/>
                <w:sz w:val="24"/>
                <w:szCs w:val="24"/>
                <w14:textFill>
                  <w14:solidFill>
                    <w14:schemeClr w14:val="tx1">
                      <w14:lumMod w14:val="95000"/>
                      <w14:lumOff w14:val="5000"/>
                    </w14:schemeClr>
                  </w14:solidFill>
                </w14:textFill>
              </w:rPr>
              <w:t>0.029</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.7-2。</w:t>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85"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85"/>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大熟地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.7-3。</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（2）大熟地水库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86"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105.93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86"/>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10.81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10.21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95.12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89.79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70.80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74.43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17.88h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18.80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6.44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6.77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无极强烈侵蚀</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1373.26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1454.71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大熟地水库保护区范围内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1"/>
        <w:gridCol w:w="1276"/>
        <w:gridCol w:w="1843"/>
        <w:gridCol w:w="1558"/>
        <w:gridCol w:w="156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786"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4864" w:type="dxa"/>
            <w:gridSpan w:val="3"/>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大熟地水库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786"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56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二级保护区</w:t>
            </w:r>
          </w:p>
        </w:tc>
        <w:tc>
          <w:tcPr>
            <w:tcW w:w="174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15.26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90.67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43"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2.04</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8.77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43"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13.37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9.67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2127"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13.22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81.90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127"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86.63</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90.33</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11.76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59.03</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88.97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72.08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0.96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16.92</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7.26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20.66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0.50</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5.94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3.77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7.26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805.72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1468.80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1373.26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122.98</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1331.73</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1454.71</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大熟地水库保护区内水土流失现状，对保护区范围内的土壤氮磷含量进行综合分析，流失土壤中总氮含量取1.32g/kg，总磷含量取19.30mg/kg，化学需氧量含量取2.13%，按照20%的淋溶率计算水土流失污染物入库量。大熟地水库保护区范围内水土流失污染物入库量，如下表2.7-5。</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大熟地水库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805.72</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122.98</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0.524</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0.032</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0.0005</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1468.80</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1331.73</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5.673</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0.352</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0.005</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1373.26</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1454.71</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6.197</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0.384</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0.006</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7" w:name="_Toc18506528"/>
      <w:bookmarkStart w:id="88" w:name="_Toc27492750"/>
      <w:bookmarkStart w:id="89"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8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88"/>
      <w:bookmarkEnd w:id="8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乡道Y140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，主要穿越二级保护区，道路长约0.49km，穿越路段较短；一级保护区内主要为林间道路。经调查访谈，保护区内道路</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未发现有运输危险化学品的车辆通行；由于所在地周边无大型种植户，农民使用农药多为零售、小剂量包装，运输车辆携带农药并破损泼洒至水体的概率很小，主要考虑机动车事故泄漏燃油风险。</w:t>
      </w:r>
    </w:p>
    <w:bookmarkEnd w:id="80"/>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0" w:name="_Toc18506529"/>
      <w:bookmarkStart w:id="91" w:name="_Toc25679064"/>
      <w:bookmarkStart w:id="92" w:name="_Toc27492751"/>
      <w:bookmarkStart w:id="93" w:name="_Toc25162356"/>
      <w:bookmarkStart w:id="94"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90"/>
      <w:bookmarkEnd w:id="91"/>
      <w:bookmarkEnd w:id="9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，大熟地水库各级保护区内各类污染源情况见表2.7-6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从各级保护区分析，二级保护区内化学需氧量、氨氮、总氮、总磷排放量占比较大，在90%以上。一级保护区内各类污染物排放量在3.07%~8.08%之间。</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从各污染源分析，在一级保护区，主要为农业种植和水土流失污染，化学需氧量主要污染源是水土流失，贡献率为97.37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%；氨氮主要污染源是农业种植，贡献率为100%；总氮主要污染源是水土流失，贡献率为80.71%；总磷主要污染源是农业种植，贡献率为65.34%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主要为农业种植和水土流失污染，化学需氧量主要污染源是水土流失，贡献率为92.71%；氨氮主要污染源是农业种植，贡献率为100%；总氮主要污染源是水土流失、农业种植，贡献率达到58.93%、41.07%；总磷主要污染源是农业种植，贡献率为84.60%。</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综上分析，大熟地水库保护区范围内水污染防治重点为农业种植、水土流失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大熟地水库保护区范围内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74"/>
        <w:gridCol w:w="1793"/>
        <w:gridCol w:w="1764"/>
        <w:gridCol w:w="1368"/>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trPr>
        <w:tc>
          <w:tcPr>
            <w:tcW w:w="1417"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79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76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3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33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0.014</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0.008</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0.524</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0.032</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0.538</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0.040</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二级保护区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0.446</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0.031</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0.245</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5.673</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0.352</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6.119</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0.031</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0.597</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0.460</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0.032</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0.253</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6.197</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0.000</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0.384</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6.657</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0.032</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0.637</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0.035</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52950" cy="2819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52950"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大熟地水库各级保护区污染物贡献率分布图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33900" cy="2809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33900" cy="2809875"/>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大熟地水库各级保护区内各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5" w:name="_Toc25679065"/>
      <w:bookmarkStart w:id="96" w:name="_Toc2749275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2.8 饮用水水源地水环境风险分析</w:t>
      </w:r>
      <w:bookmarkEnd w:id="93"/>
      <w:bookmarkEnd w:id="95"/>
      <w:bookmarkEnd w:id="96"/>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大熟地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大熟地水库饮用水水源地环境风险评价结果</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82"/>
        <w:gridCol w:w="2255"/>
        <w:gridCol w:w="1308"/>
        <w:gridCol w:w="1194"/>
        <w:gridCol w:w="1436"/>
        <w:gridCol w:w="1200"/>
        <w:gridCol w:w="107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182"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2255"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502"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636"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075"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182"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8"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194"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43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200"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075"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&lt;L&lt;2r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1075"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Merge w:val="continue"/>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存在（4.11%）</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20%~30%（21.86%）</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182"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5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308"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1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00"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7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根据现场调查，大熟地水库保护区范围内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无固定风险源。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大熟地水库饮用水水源地固定源环境风险低，水库保护区范围内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无固定污染源，固定源总分值为0，评分值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乡道Y140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，主要穿越二级保护区，道路长约0.49km，穿越路段较短；一级保护区内主要为林间道路。</w:t>
      </w:r>
    </w:p>
    <w:p>
      <w:pPr>
        <w:adjustRightInd w:val="0"/>
        <w:snapToGrid w:val="0"/>
        <w:spacing w:line="360" w:lineRule="auto"/>
        <w:ind w:firstLine="561"/>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大熟地水库保护区范围内流动源总分值为6，</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在3＜Rf≤7之间，应采取风险防范措施，加强水库周边道路车辆通行监管，严格禁止运输危险化学品，限制运输可能对水库水质造成污染的其他物品。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根据调查，大熟地水库保护区范围内现状非点源主要有农村生活、农业种植、畜禽养殖及水土流失面源污染等，具体源强详见2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大熟地水库保护区范围内耕地面积占比为19.30%，一级保护区、二级保护区均有分布。根据非点源风险值计算，非点源风险值为15，</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大熟地水库保护区范围内还存在水土流失污染。通过识别环境风险因素，应重点对非点源风险采取应急措施，加快农业面源治理及水土流失治理，降低水源保护区环境风险，保证饮用水水质安全。</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7" w:name="_Toc25679066"/>
      <w:bookmarkStart w:id="98" w:name="_Toc27492753"/>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2.9 饮用水水源保护区规范化建设</w:t>
      </w:r>
      <w:bookmarkEnd w:id="94"/>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现状及存在问题</w:t>
      </w:r>
      <w:bookmarkEnd w:id="97"/>
      <w:bookmarkEnd w:id="98"/>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9" w:name="_Toc25679067"/>
      <w:bookmarkStart w:id="100" w:name="_Toc27492754"/>
      <w:bookmarkStart w:id="101" w:name="_Toc12621595"/>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99"/>
      <w:bookmarkEnd w:id="100"/>
      <w:bookmarkEnd w:id="101"/>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大熟地水库主管部门为富源县后所镇人民政府，管理单位为富源县后所镇农业综合服务中心。</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大熟地</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2" w:name="_Toc12621596"/>
      <w:bookmarkStart w:id="103" w:name="_Toc27492755"/>
      <w:bookmarkStart w:id="104" w:name="_Toc25679068"/>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102"/>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103"/>
      <w:bookmarkEnd w:id="104"/>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05"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05"/>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（1）面源污染问题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大熟地水库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无农村生活污水及垃圾面源污染，存在农业种植污染，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耕地面积占比达到水库保护区面积的19.30%，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大熟地</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89.79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中度及以上侵蚀面积占水土流失面积的25.57%，</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06"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作为在用水源地，未按相关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新的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技术规范要求划分水源保护区并依法审批并颁布实施，也未按水源保护区边界范围并根据《饮用水水源保护区标志技术要求》（HJ/T 433-2008）设置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根据水环境风险源分析，大熟地水库非点源及流动源环境风险较大，但大熟地水库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bookmarkEnd w:id="106"/>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07" w:name="_Toc20409149"/>
      <w:bookmarkStart w:id="108" w:name="_Toc27492756"/>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07"/>
      <w:bookmarkEnd w:id="108"/>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09" w:name="_Toc10723880"/>
      <w:bookmarkStart w:id="110" w:name="_Toc12621586"/>
      <w:bookmarkStart w:id="111" w:name="_Toc20409150"/>
      <w:bookmarkStart w:id="112" w:name="_Toc27492757"/>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09"/>
      <w:bookmarkEnd w:id="110"/>
      <w:bookmarkEnd w:id="111"/>
      <w:bookmarkEnd w:id="112"/>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大熟地水库水源地的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3" w:name="_Toc20409151"/>
      <w:bookmarkStart w:id="114" w:name="_Toc530362551"/>
      <w:bookmarkStart w:id="115" w:name="_Toc27492758"/>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13"/>
      <w:bookmarkEnd w:id="114"/>
      <w:bookmarkEnd w:id="115"/>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6" w:name="_Toc530362552"/>
      <w:bookmarkStart w:id="117" w:name="_Toc20409152"/>
      <w:bookmarkStart w:id="118" w:name="_Toc27492759"/>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16"/>
      <w:bookmarkEnd w:id="117"/>
      <w:bookmarkEnd w:id="118"/>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9" w:name="_Toc10723885"/>
      <w:bookmarkStart w:id="120" w:name="_Toc12621589"/>
      <w:bookmarkStart w:id="121" w:name="_Toc20409153"/>
      <w:bookmarkStart w:id="122" w:name="_Toc27492760"/>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19"/>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0"/>
      <w:bookmarkEnd w:id="121"/>
      <w:bookmarkEnd w:id="122"/>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3" w:name="_Toc20409154"/>
      <w:bookmarkStart w:id="124" w:name="_Toc27492761"/>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一</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3"/>
      <w:bookmarkEnd w:id="124"/>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大熟地</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2163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13.76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小型水库。水库水面面积不大，因此将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大熟地</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163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m以下的全部水域划为一级保护区，面积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0.0094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正常蓄水位外延200m范围，面积为0.1432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0.1526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5" w:name="_Toc20409155"/>
      <w:bookmarkStart w:id="126" w:name="_Toc27492762"/>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二</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5"/>
      <w:bookmarkEnd w:id="126"/>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大熟地</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大熟地</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级保护区以外的上游流域划为二级保护区，面积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0.9067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0.9067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大熟地</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56"/>
        <w:gridCol w:w="5442"/>
        <w:gridCol w:w="2114"/>
        <w:gridCol w:w="11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912" w:type="dxa"/>
            <w:gridSpan w:val="2"/>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5442"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114"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182"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44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11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大熟地</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2163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tc>
        <w:tc>
          <w:tcPr>
            <w:tcW w:w="118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0.0094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44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11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大熟地</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外延200m范围</w:t>
            </w:r>
          </w:p>
        </w:tc>
        <w:tc>
          <w:tcPr>
            <w:tcW w:w="118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0.1432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68"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8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0.1526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44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6.3.1.1  满足条件的水源地，可采用类比经验法确定二级保护区水域范围。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小型湖泊、中小型水库一级保护区边界外的水域面积设定为二级保护区。</w:t>
            </w:r>
          </w:p>
        </w:tc>
        <w:tc>
          <w:tcPr>
            <w:tcW w:w="211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大熟地</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水库一级保护区边界外无大中型河流，仅为小型溪流，面积并入陆域范围统计。</w:t>
            </w:r>
          </w:p>
        </w:tc>
        <w:tc>
          <w:tcPr>
            <w:tcW w:w="118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442"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6.3.2.2  采用地形边界法或类比经验法</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tc>
        <w:tc>
          <w:tcPr>
            <w:tcW w:w="211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流域分水岭范围内一级保护区外的其他区域</w:t>
            </w:r>
          </w:p>
        </w:tc>
        <w:tc>
          <w:tcPr>
            <w:tcW w:w="118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0.0967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68"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8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0.0967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68"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18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1.0593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650"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7" w:name="_Toc20409156"/>
      <w:bookmarkStart w:id="128" w:name="_Toc12621593"/>
      <w:bookmarkStart w:id="129" w:name="_Toc27492763"/>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27"/>
      <w:bookmarkEnd w:id="128"/>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29"/>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widowControl/>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0" w:name="_Toc27492764"/>
      <w:bookmarkStart w:id="131" w:name="_Toc25844364"/>
      <w:bookmarkStart w:id="132" w:name="_Toc12621597"/>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0"/>
      <w:bookmarkEnd w:id="131"/>
      <w:bookmarkEnd w:id="132"/>
    </w:p>
    <w:p>
      <w:pPr>
        <w:pStyle w:val="3"/>
        <w:rPr>
          <w:color w:val="0D0D0D" w:themeColor="text1" w:themeTint="F2"/>
          <w14:textFill>
            <w14:solidFill>
              <w14:schemeClr w14:val="tx1">
                <w14:lumMod w14:val="95000"/>
                <w14:lumOff w14:val="5000"/>
              </w14:schemeClr>
            </w14:solidFill>
          </w14:textFill>
        </w:rPr>
      </w:pPr>
      <w:bookmarkStart w:id="133" w:name="_Toc25844365"/>
      <w:bookmarkStart w:id="134" w:name="_Toc27492765"/>
      <w:bookmarkStart w:id="135" w:name="_Toc12621598"/>
      <w:bookmarkStart w:id="136"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33"/>
      <w:bookmarkEnd w:id="134"/>
      <w:bookmarkEnd w:id="13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），结合大熟地水库水源保护区规范化建设及管理现状、存在问题分析，针对大熟地水库水源地保护区提出规范化建设项目。</w:t>
      </w:r>
      <w:bookmarkStart w:id="137" w:name="_Toc524596456"/>
    </w:p>
    <w:bookmarkEnd w:id="137"/>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8" w:name="_Toc17982536"/>
      <w:bookmarkStart w:id="139" w:name="_Toc25844366"/>
      <w:bookmarkStart w:id="140" w:name="_Toc27492766"/>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38"/>
      <w:bookmarkEnd w:id="139"/>
      <w:bookmarkEnd w:id="140"/>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1" w:name="_Toc452322606"/>
      <w:bookmarkStart w:id="142"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1"/>
      <w:bookmarkEnd w:id="142"/>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大熟地水库一级保护区陆域边界长1482m，根据水库周边林地、耕地分布情况，主要沿水库大坝及邻近耕地设置围网，需设围网的边界长约490m。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9.80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大熟地水库一级保护区陆域边界长约1482m，陆域边界主要经过林地，隔离防护围网已沿水库周边耕地人类活动的区域设置，在一级保护区陆域边界设置界桩，以明确一级保护区范围。界桩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。经测算，大熟地水库一级保护区边界长1482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，共设拐点6个，需投资0.30万元。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大熟地水库二级保护区陆域边界长约4089m，在二级保护区边界设置界桩，以明确二级保护区范围。界桩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。经测算，大熟地水库二级保护区边界长4089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，共设拐点9个，需投资0.45万元。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在进出大熟地水库保护区的道路沿线设置交通警示牌，共计4块；同时，为加强宣传保护，在保护区内进出道路口设置水源保护宣传牌，共计2块。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设置1块水库大坝告示碑，钢筋混凝土，200cm×50cm×250cm，估价2万元/座。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538"/>
        <w:gridCol w:w="1334"/>
        <w:gridCol w:w="1399"/>
        <w:gridCol w:w="182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blHeader/>
        </w:trPr>
        <w:tc>
          <w:tcPr>
            <w:tcW w:w="1221"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538"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334"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c>
          <w:tcPr>
            <w:tcW w:w="1399"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822"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3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大熟地水库</w:t>
            </w: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1482</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490m</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级保护区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1482</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4089</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大坝告示牌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7093"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15.55</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3" w:name="_Toc27492767"/>
      <w:bookmarkStart w:id="144" w:name="_Toc25844367"/>
      <w:bookmarkStart w:id="145" w:name="_Toc21795771"/>
      <w:bookmarkStart w:id="146" w:name="_Toc17982538"/>
      <w:bookmarkStart w:id="147" w:name="_Toc524596461"/>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43"/>
      <w:bookmarkEnd w:id="144"/>
      <w:bookmarkEnd w:id="145"/>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48" w:name="_Toc524596458"/>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根据技术规范要求，对一级保护区、二级保护区进行污染整治。一级保护区内不存在与供水设施和保护水源无关的建设项目，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整治点源、控制非点源、管理流动源，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实行科学种植和非点源污染防治。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大熟地水库保护区划分结果，一级保护区内无居民居住、畜禽养殖，无与水源保护无关的建设项目及排口，但存在少量耕地；二级保护区内也无居民居住、畜禽养殖，但存在少量耕地。因此主要对保护区内耕地种植面源污染实施控制工程；并加强进库道路交通污染和风险防控。</w:t>
      </w:r>
    </w:p>
    <w:bookmarkEnd w:id="148"/>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9"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现状有耕地约9.42亩（0.63 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约1.51万元。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二级保护区内25°以上坡耕地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逐步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。根据统计分析，大熟地水库二级保护区2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约9.59亩（0.64 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486"/>
        <w:gridCol w:w="1673"/>
        <w:gridCol w:w="1448"/>
        <w:gridCol w:w="1285"/>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80" w:type="dxa"/>
            <w:vMerge w:val="restart"/>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农用地类型</w:t>
            </w: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121" w:type="dxa"/>
            <w:gridSpan w:val="2"/>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退耕还林面积</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80" w:type="dxa"/>
            <w:vMerge w:val="continue"/>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48"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80"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19.82</w:t>
            </w:r>
          </w:p>
        </w:tc>
        <w:tc>
          <w:tcPr>
            <w:tcW w:w="167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0.64</w:t>
            </w:r>
          </w:p>
        </w:tc>
        <w:tc>
          <w:tcPr>
            <w:tcW w:w="144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9.59</w:t>
            </w:r>
          </w:p>
        </w:tc>
        <w:tc>
          <w:tcPr>
            <w:tcW w:w="1285"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19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1.53</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。根据二级保护区农田的实际情况，当地测土配方施肥技术推广和示范费用补助1500元/hm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大熟地水库二级保护区对近期保留的旱地进行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19.18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（不含退耕还林0.64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2.88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602"/>
        <w:gridCol w:w="3125"/>
        <w:gridCol w:w="1600"/>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602"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19.82</w:t>
            </w:r>
          </w:p>
        </w:tc>
        <w:tc>
          <w:tcPr>
            <w:tcW w:w="312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19.18</w:t>
            </w:r>
          </w:p>
        </w:tc>
        <w:tc>
          <w:tcPr>
            <w:tcW w:w="160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393"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2.88</w:t>
            </w:r>
          </w:p>
        </w:tc>
      </w:tr>
    </w:tbl>
    <w:p>
      <w:pPr>
        <w:adjustRightInd w:val="0"/>
        <w:snapToGrid w:val="0"/>
        <w:spacing w:before="156" w:beforeLines="50" w:line="360" w:lineRule="auto"/>
        <w:ind w:firstLine="562"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（3）交通污染和风险控制</w:t>
      </w:r>
      <w:bookmarkEnd w:id="149"/>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大熟地水库保护区内</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现状</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有乡道Y140穿越，在二级保护区道路长0.48km；一级保护区内主要为林间道路。</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为防止和杜绝保护区沿岸道路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车辆通过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带来的污染和运输事故带来的污染隐患，</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在进入保护区路段设置饮用水源保护区交通安全标志，</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，规划</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0" w:name="_Toc27492768"/>
      <w:bookmarkStart w:id="151" w:name="_Toc25844368"/>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46"/>
      <w:bookmarkEnd w:id="147"/>
      <w:bookmarkEnd w:id="150"/>
      <w:bookmarkEnd w:id="151"/>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针对大熟地水库，主要实施人工造林及水土流失治理工程。</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对大熟地水库一级保护区内全部退耕地9.42亩，二级保护区25°以上坡耕地9.59亩退耕地实施人工造林。投资以0.15万元/亩计。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486"/>
        <w:gridCol w:w="1673"/>
        <w:gridCol w:w="1604"/>
        <w:gridCol w:w="144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79"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277"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79"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04"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0.63</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0.63</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9.42</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19.82</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0.64</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9.59</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48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20.45</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1.27</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19.01</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2.85</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大熟地水库对一级保护区内流失面积1.46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、二级保护区内流失面积22.22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11.84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28"/>
        <w:gridCol w:w="1981"/>
        <w:gridCol w:w="1785"/>
        <w:gridCol w:w="1276"/>
        <w:gridCol w:w="28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13.22</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1.46</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0.73</w:t>
            </w:r>
          </w:p>
        </w:tc>
        <w:tc>
          <w:tcPr>
            <w:tcW w:w="2880"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81.90</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22.22</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11.11</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95.12</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23.68</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11.84</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2" w:name="_Toc17982539"/>
      <w:bookmarkStart w:id="153" w:name="_Toc25844369"/>
      <w:bookmarkStart w:id="154" w:name="_Toc27492769"/>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52"/>
      <w:bookmarkEnd w:id="153"/>
      <w:bookmarkEnd w:id="154"/>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需加强水源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2503"/>
        <w:gridCol w:w="2171"/>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92"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2171"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387"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大熟地水库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开展水源保护区环境监管，定期巡查水库保护区，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严禁畜禽放牧、垂钓等可能污染水源的活动，并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包括保护区范围划定工程、保护区整治工程、生态恢复与建设工程、管理能力建设工程等四大类，共8项具体工程内容。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91.16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大熟地水库饮用水水源保护区规范化建设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35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549"/>
        <w:gridCol w:w="7796"/>
        <w:gridCol w:w="1276"/>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54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779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27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733"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大熟地水库一级保护区内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490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设立围网，一级保护区陆域边界按拐点设置界桩6个、二级保护区边界设置界桩9个，保护区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块，进出道路口设置水源保护区宣传牌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块，告示牌1块。</w:t>
            </w:r>
          </w:p>
        </w:tc>
        <w:tc>
          <w:tcPr>
            <w:tcW w:w="1276"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15.55</w:t>
            </w:r>
          </w:p>
        </w:tc>
        <w:tc>
          <w:tcPr>
            <w:tcW w:w="1733"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9.42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9.59</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亩实施退耕还林。</w:t>
            </w:r>
          </w:p>
        </w:tc>
        <w:tc>
          <w:tcPr>
            <w:tcW w:w="1276"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3.04</w:t>
            </w:r>
          </w:p>
        </w:tc>
        <w:tc>
          <w:tcPr>
            <w:tcW w:w="1733"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对二级保护区内旱地进行测土配方施肥技术，有效降低保护区耕地化肥施用量，实施总面积约</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19.18</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 xml:space="preserve"> 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276"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2.88</w:t>
            </w:r>
          </w:p>
        </w:tc>
        <w:tc>
          <w:tcPr>
            <w:tcW w:w="1733"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对大熟地水库一级保护区内全部耕地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9.42亩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9.59</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亩退耕地实施人工造林。</w:t>
            </w:r>
          </w:p>
        </w:tc>
        <w:tc>
          <w:tcPr>
            <w:tcW w:w="1276"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2.85</w:t>
            </w:r>
          </w:p>
        </w:tc>
        <w:tc>
          <w:tcPr>
            <w:tcW w:w="1733"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对水源地保护区水土流失面积进行综合治理，同时开展水土流失监测。大熟地水库一级保护区水土流失治理面积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1.46</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22.22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276"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11.84</w:t>
            </w:r>
          </w:p>
        </w:tc>
        <w:tc>
          <w:tcPr>
            <w:tcW w:w="1733"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276"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733"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276"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733"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县生态环境分局、县水务局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大熟地水库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严格按相关法律法规要求开展水源保护区环境监管，定期巡查水库保护区，定期开展饮用水水源地环境状况评估。</w:t>
            </w:r>
          </w:p>
        </w:tc>
        <w:tc>
          <w:tcPr>
            <w:tcW w:w="1276"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733"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县水利局、县生态环境分局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341"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合计</w:t>
            </w:r>
          </w:p>
        </w:tc>
        <w:tc>
          <w:tcPr>
            <w:tcW w:w="1276"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91.16</w:t>
            </w:r>
          </w:p>
        </w:tc>
        <w:tc>
          <w:tcPr>
            <w:tcW w:w="1733"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bookmarkEnd w:id="136"/>
    <w:p>
      <w:pPr>
        <w:pStyle w:val="3"/>
        <w:rPr>
          <w:color w:val="0D0D0D" w:themeColor="text1" w:themeTint="F2"/>
          <w14:textFill>
            <w14:solidFill>
              <w14:schemeClr w14:val="tx1">
                <w14:lumMod w14:val="95000"/>
                <w14:lumOff w14:val="5000"/>
              </w14:schemeClr>
            </w14:solidFill>
          </w14:textFill>
        </w:rPr>
      </w:pPr>
      <w:bookmarkStart w:id="155" w:name="_Toc12536222"/>
      <w:bookmarkStart w:id="156" w:name="_Toc27492770"/>
      <w:bookmarkStart w:id="157" w:name="_Toc25844370"/>
      <w:bookmarkStart w:id="158" w:name="_Toc12621603"/>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55"/>
      <w:bookmarkEnd w:id="156"/>
      <w:bookmarkEnd w:id="157"/>
      <w:bookmarkEnd w:id="158"/>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9" w:name="_Toc27492771"/>
      <w:bookmarkStart w:id="160" w:name="_Toc531261192"/>
      <w:bookmarkStart w:id="161" w:name="_Toc25844371"/>
      <w:bookmarkStart w:id="162" w:name="_Toc17982541"/>
      <w:bookmarkStart w:id="163" w:name="_Toc524596485"/>
      <w:bookmarkStart w:id="164" w:name="_Toc478742873"/>
      <w:bookmarkStart w:id="165" w:name="_Toc452322643"/>
      <w:bookmarkStart w:id="166" w:name="_Toc299451597"/>
      <w:bookmarkStart w:id="167" w:name="_Toc200905568"/>
      <w:bookmarkStart w:id="168" w:name="_Toc169526926"/>
      <w:bookmarkStart w:id="169" w:name="_Toc169506163"/>
      <w:bookmarkStart w:id="170" w:name="_Toc169504813"/>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59"/>
      <w:bookmarkEnd w:id="160"/>
      <w:bookmarkEnd w:id="161"/>
      <w:bookmarkEnd w:id="162"/>
      <w:bookmarkEnd w:id="163"/>
      <w:bookmarkEnd w:id="164"/>
      <w:bookmarkEnd w:id="165"/>
      <w:bookmarkEnd w:id="166"/>
      <w:bookmarkEnd w:id="167"/>
      <w:bookmarkEnd w:id="168"/>
      <w:bookmarkEnd w:id="169"/>
      <w:bookmarkEnd w:id="170"/>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大熟地水库饮用水水源保护区规范化建设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91.16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稳定达标</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71" w:name="_Toc169504814"/>
      <w:bookmarkStart w:id="172" w:name="_Toc169506164"/>
      <w:bookmarkStart w:id="173" w:name="_Toc169526927"/>
      <w:bookmarkStart w:id="174" w:name="_Toc200905569"/>
      <w:bookmarkStart w:id="175" w:name="_Toc299451598"/>
      <w:bookmarkStart w:id="176" w:name="_Toc452322644"/>
      <w:bookmarkStart w:id="177" w:name="_Toc478742874"/>
      <w:bookmarkStart w:id="178" w:name="_Toc524596486"/>
      <w:bookmarkStart w:id="179" w:name="_Toc531261193"/>
      <w:bookmarkStart w:id="180" w:name="_Toc17982542"/>
      <w:bookmarkStart w:id="181" w:name="_Toc25844372"/>
      <w:bookmarkStart w:id="182" w:name="_Toc27492772"/>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71"/>
      <w:bookmarkEnd w:id="172"/>
      <w:bookmarkEnd w:id="173"/>
      <w:bookmarkEnd w:id="174"/>
      <w:bookmarkEnd w:id="175"/>
      <w:bookmarkEnd w:id="176"/>
      <w:bookmarkEnd w:id="177"/>
      <w:bookmarkEnd w:id="178"/>
      <w:bookmarkEnd w:id="179"/>
      <w:bookmarkEnd w:id="180"/>
      <w:bookmarkEnd w:id="181"/>
      <w:bookmarkEnd w:id="182"/>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3" w:name="_Toc200905570"/>
      <w:bookmarkStart w:id="184" w:name="_Toc299451599"/>
      <w:bookmarkStart w:id="185" w:name="_Toc452322645"/>
      <w:bookmarkStart w:id="186" w:name="_Toc478742875"/>
      <w:bookmarkStart w:id="187" w:name="_Toc52459648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83"/>
      <w:bookmarkEnd w:id="184"/>
      <w:bookmarkEnd w:id="185"/>
      <w:bookmarkEnd w:id="186"/>
      <w:bookmarkEnd w:id="187"/>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，加强交通污染防治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8" w:name="_Toc299451600"/>
      <w:bookmarkStart w:id="189" w:name="_Toc452322646"/>
      <w:bookmarkStart w:id="190" w:name="_Toc478742876"/>
      <w:bookmarkStart w:id="191" w:name="_Toc52459648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二级保护区污染控制工程</w:t>
      </w:r>
      <w:bookmarkEnd w:id="188"/>
      <w:bookmarkEnd w:id="189"/>
      <w:bookmarkEnd w:id="190"/>
      <w:bookmarkEnd w:id="191"/>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，在进入二级保护区道路设置标牌，明确二级保护区范围；推广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工程，能有效控制二级保护区污染物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2" w:name="_Toc200905571"/>
      <w:bookmarkStart w:id="193" w:name="_Toc299451601"/>
      <w:bookmarkStart w:id="194" w:name="_Toc452322647"/>
      <w:bookmarkStart w:id="195" w:name="_Toc478742877"/>
      <w:bookmarkStart w:id="196" w:name="_Toc52459648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92"/>
      <w:bookmarkEnd w:id="193"/>
      <w:bookmarkEnd w:id="194"/>
      <w:bookmarkEnd w:id="195"/>
      <w:bookmarkEnd w:id="196"/>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和水土流失治理生态恢复建设工程，建设保护水源涵养林和水土保持林，将进一步提高保护区林草覆盖率，降低流域土壤侵蚀强度，从而提高流域水源涵养能力，降低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7" w:name="_Toc299451602"/>
      <w:bookmarkStart w:id="198" w:name="_Toc452322648"/>
      <w:bookmarkStart w:id="199" w:name="_Toc478742878"/>
      <w:bookmarkStart w:id="200" w:name="_Toc52459649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7"/>
      <w:bookmarkEnd w:id="198"/>
      <w:bookmarkEnd w:id="199"/>
      <w:bookmarkEnd w:id="20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201" w:name="_Toc169504815"/>
      <w:bookmarkStart w:id="202" w:name="_Toc169506165"/>
      <w:bookmarkStart w:id="203" w:name="_Toc169526928"/>
      <w:bookmarkStart w:id="204" w:name="_Toc200905575"/>
      <w:bookmarkStart w:id="205" w:name="_Toc299451603"/>
      <w:bookmarkStart w:id="206" w:name="_Toc452322649"/>
      <w:bookmarkStart w:id="207" w:name="_Toc478742879"/>
      <w:bookmarkStart w:id="208" w:name="_Toc524596491"/>
      <w:bookmarkStart w:id="209" w:name="_Toc531261194"/>
      <w:bookmarkStart w:id="210" w:name="_Toc17982543"/>
      <w:bookmarkStart w:id="211" w:name="_Toc25844373"/>
      <w:bookmarkStart w:id="212" w:name="_Toc27492773"/>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201"/>
      <w:bookmarkEnd w:id="202"/>
      <w:bookmarkEnd w:id="203"/>
      <w:bookmarkEnd w:id="204"/>
      <w:bookmarkEnd w:id="205"/>
      <w:bookmarkEnd w:id="206"/>
      <w:bookmarkEnd w:id="207"/>
      <w:bookmarkEnd w:id="208"/>
      <w:bookmarkEnd w:id="209"/>
      <w:bookmarkEnd w:id="210"/>
      <w:bookmarkEnd w:id="211"/>
      <w:bookmarkEnd w:id="212"/>
    </w:p>
    <w:p>
      <w:pPr>
        <w:adjustRightInd w:val="0"/>
        <w:snapToGrid w:val="0"/>
        <w:spacing w:line="360" w:lineRule="auto"/>
        <w:ind w:firstLine="560"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二级保护区25°以上坡耕地实施退耕还林，对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的存留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keepNext/>
        <w:keepLines/>
        <w:spacing w:before="340" w:after="330" w:line="578" w:lineRule="auto"/>
        <w:jc w:val="center"/>
        <w:outlineLvl w:val="0"/>
        <w:rPr>
          <w:rFonts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pPr>
      <w:bookmarkStart w:id="213" w:name="_Toc27492774"/>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第五章饮用水水源保护区划分方案、图件及有关说明</w:t>
      </w:r>
      <w:bookmarkEnd w:id="213"/>
      <w:r>
        <w:rPr>
          <w:rFonts w:hint="eastAsia"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t xml:space="preserve"> </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4" w:name="_Toc20409173"/>
      <w:bookmarkStart w:id="215" w:name="_Toc27492775"/>
      <w:bookmarkStart w:id="216" w:name="_Toc12621608"/>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饮用水水源保护区划分方案</w:t>
      </w:r>
      <w:bookmarkEnd w:id="214"/>
      <w:bookmarkEnd w:id="215"/>
      <w:bookmarkEnd w:id="216"/>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大熟地</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水库属于小型山区水库，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坝址以上控制流域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1.012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。划分结果如下：</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bookmarkStart w:id="217" w:name="_Hlk520442120"/>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2163m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以下水域，面积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0.0094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外延200m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0.1432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为0.1526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大熟地</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范围</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内一级保护区外的其他区域，面积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0.9067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饮用水水源保护区由一级保护区和二级保护区组成，总面积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1.0593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bookmarkEnd w:id="217"/>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18" w:name="_Toc12621609"/>
      <w:bookmarkStart w:id="219" w:name="_Toc20409174"/>
      <w:bookmarkStart w:id="220" w:name="_Toc27492776"/>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5.2 饮用水水源保护区划分图件</w:t>
      </w:r>
      <w:bookmarkEnd w:id="218"/>
      <w:bookmarkEnd w:id="219"/>
      <w:bookmarkEnd w:id="220"/>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大熟地水库饮用水水源地边界主要拐点的经纬度坐标见表5-1、5-2。</w:t>
      </w: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21"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富源县大熟地</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21"/>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751"/>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jc w:val="center"/>
        </w:trPr>
        <w:tc>
          <w:tcPr>
            <w:tcW w:w="960"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751"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811"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37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54.939" E</w:t>
            </w:r>
          </w:p>
        </w:tc>
        <w:tc>
          <w:tcPr>
            <w:tcW w:w="381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16.812"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37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50.408" E</w:t>
            </w:r>
          </w:p>
        </w:tc>
        <w:tc>
          <w:tcPr>
            <w:tcW w:w="381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9.020"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37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46.740" E</w:t>
            </w:r>
          </w:p>
        </w:tc>
        <w:tc>
          <w:tcPr>
            <w:tcW w:w="381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7.492"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37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39.090" E</w:t>
            </w:r>
          </w:p>
        </w:tc>
        <w:tc>
          <w:tcPr>
            <w:tcW w:w="381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11.084"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37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43.443" E</w:t>
            </w:r>
          </w:p>
        </w:tc>
        <w:tc>
          <w:tcPr>
            <w:tcW w:w="381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20.381"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960"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37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47.315" E</w:t>
            </w:r>
          </w:p>
        </w:tc>
        <w:tc>
          <w:tcPr>
            <w:tcW w:w="381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24.230" N</w:t>
            </w:r>
          </w:p>
        </w:tc>
      </w:tr>
    </w:tbl>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富源县大熟地</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885"/>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88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673"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37.134"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1.126"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31.467"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47' 54.437"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B3</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23.511"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47' 50.279"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B4</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23.077"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0.146"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B5</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6.158"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10.314"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B6</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4.479"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26.057"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B7</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17.326"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39.637"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B8</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29.183"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26.711"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6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B9</w:t>
            </w:r>
          </w:p>
        </w:tc>
        <w:tc>
          <w:tcPr>
            <w:tcW w:w="388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40.000" E</w:t>
            </w:r>
          </w:p>
        </w:tc>
        <w:tc>
          <w:tcPr>
            <w:tcW w:w="3673"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24.597" N</w:t>
            </w:r>
          </w:p>
        </w:tc>
      </w:tr>
    </w:tbl>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74"/>
    <w:bookmarkEnd w:id="75"/>
    <w:bookmarkEnd w:id="76"/>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2" w:name="_Toc531261196"/>
      <w:bookmarkStart w:id="223" w:name="_Toc12621932"/>
      <w:bookmarkStart w:id="224" w:name="_Toc27492777"/>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2"/>
      <w:bookmarkEnd w:id="223"/>
      <w:bookmarkEnd w:id="224"/>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25" w:name="_Toc27492778"/>
      <w:bookmarkStart w:id="226" w:name="_Toc18506561"/>
      <w:r>
        <w:rPr>
          <w:rFonts w:cs="Times New Roman"/>
          <w:color w:val="0D0D0D" w:themeColor="text1" w:themeTint="F2"/>
          <w:sz w:val="28"/>
          <w:szCs w:val="28"/>
          <w14:textFill>
            <w14:solidFill>
              <w14:schemeClr w14:val="tx1">
                <w14:lumMod w14:val="95000"/>
                <w14:lumOff w14:val="5000"/>
              </w14:schemeClr>
            </w14:solidFill>
          </w14:textFill>
        </w:rPr>
        <w:t>附表2 富源县大熟地水库饮用水水源地基础信息表</w:t>
      </w:r>
      <w:bookmarkEnd w:id="225"/>
      <w:bookmarkEnd w:id="226"/>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大熟地水库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727"/>
        <w:gridCol w:w="1232"/>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大熟地水库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后所镇</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HA0300530325104R0003</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北盘江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104°15′52"</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25°48′18"</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2163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后所镇</w:t>
            </w:r>
          </w:p>
        </w:tc>
        <w:tc>
          <w:tcPr>
            <w:tcW w:w="172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23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富源县后所镇自来水厂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pStyle w:val="3"/>
        <w:ind w:left="141"/>
        <w:rPr>
          <w:rFonts w:cs="Times New Roman"/>
          <w:color w:val="0D0D0D" w:themeColor="text1" w:themeTint="F2"/>
          <w:sz w:val="28"/>
          <w:szCs w:val="28"/>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27" w:name="_Toc12621934"/>
      <w:bookmarkStart w:id="228" w:name="_Toc10723935"/>
      <w:bookmarkStart w:id="229" w:name="_Toc27492779"/>
    </w:p>
    <w:p>
      <w:pPr>
        <w:pStyle w:val="3"/>
        <w:adjustRightInd w:val="0"/>
        <w:snapToGrid w:val="0"/>
        <w:spacing w:before="0" w:after="0" w:line="360" w:lineRule="auto"/>
        <w:ind w:left="142"/>
        <w:rPr>
          <w:rFonts w:ascii="仿宋" w:hAnsi="仿宋"/>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27"/>
      <w:bookmarkEnd w:id="228"/>
      <w:r>
        <w:rPr>
          <w:rFonts w:hint="eastAsia" w:cs="Times New Roman"/>
          <w:color w:val="0D0D0D" w:themeColor="text1" w:themeTint="F2"/>
          <w:sz w:val="28"/>
          <w:szCs w:val="28"/>
          <w14:textFill>
            <w14:solidFill>
              <w14:schemeClr w14:val="tx1">
                <w14:lumMod w14:val="95000"/>
                <w14:lumOff w14:val="5000"/>
              </w14:schemeClr>
            </w14:solidFill>
          </w14:textFill>
        </w:rPr>
        <w:t xml:space="preserve"> </w:t>
      </w:r>
      <w:r>
        <w:rPr>
          <w:rFonts w:hint="eastAsia" w:ascii="仿宋" w:hAnsi="仿宋"/>
          <w:color w:val="0D0D0D" w:themeColor="text1" w:themeTint="F2"/>
          <w:sz w:val="28"/>
          <w:szCs w:val="28"/>
          <w14:textFill>
            <w14:solidFill>
              <w14:schemeClr w14:val="tx1">
                <w14:lumMod w14:val="95000"/>
                <w14:lumOff w14:val="5000"/>
              </w14:schemeClr>
            </w14:solidFill>
          </w14:textFill>
        </w:rPr>
        <w:t>富源县大熟地水库集中式饮用水水源保护区划分结果表</w:t>
      </w:r>
      <w:bookmarkEnd w:id="229"/>
    </w:p>
    <w:p>
      <w:pPr>
        <w:adjustRightInd w:val="0"/>
        <w:snapToGrid w:val="0"/>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大熟地</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Layout w:type="fixed"/>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大熟地水库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0.1526</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0.0967</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094</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1432</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0.0967</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水域：大熟地水库正常蓄水位2163m以下的全部水域。</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陆域：大熟地水库正常蓄水位外延200m范围为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陆域：流域分水岭范围内一级保护区外的其他区域。</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bl>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30" w:name="_Toc27492780"/>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富源县大熟地水库饮用水水源地保护区污染源调查表</w:t>
      </w:r>
      <w:bookmarkEnd w:id="230"/>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大熟地水库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134"/>
        <w:gridCol w:w="2297"/>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297"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大熟地水库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0.63公顷；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13.22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、界桩、告示牌</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19.82公顷；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81.90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乡道Y140</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1.二级保护区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3669472"/>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5 -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861279"/>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46 -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0BAA"/>
    <w:rsid w:val="00001AED"/>
    <w:rsid w:val="00002B1D"/>
    <w:rsid w:val="000051A7"/>
    <w:rsid w:val="000057B4"/>
    <w:rsid w:val="000057E5"/>
    <w:rsid w:val="00006389"/>
    <w:rsid w:val="00012715"/>
    <w:rsid w:val="000214DD"/>
    <w:rsid w:val="00023B70"/>
    <w:rsid w:val="000245F6"/>
    <w:rsid w:val="00024D03"/>
    <w:rsid w:val="000315A7"/>
    <w:rsid w:val="0003553B"/>
    <w:rsid w:val="000362D7"/>
    <w:rsid w:val="00036A97"/>
    <w:rsid w:val="00041333"/>
    <w:rsid w:val="00042407"/>
    <w:rsid w:val="000439BE"/>
    <w:rsid w:val="00044BEE"/>
    <w:rsid w:val="000453C1"/>
    <w:rsid w:val="0004636E"/>
    <w:rsid w:val="00047106"/>
    <w:rsid w:val="00053EA4"/>
    <w:rsid w:val="00055B7B"/>
    <w:rsid w:val="00055BA1"/>
    <w:rsid w:val="00057724"/>
    <w:rsid w:val="00071E63"/>
    <w:rsid w:val="00073188"/>
    <w:rsid w:val="00073243"/>
    <w:rsid w:val="0008082C"/>
    <w:rsid w:val="000857FC"/>
    <w:rsid w:val="000924F1"/>
    <w:rsid w:val="00092F78"/>
    <w:rsid w:val="000946A3"/>
    <w:rsid w:val="00095B95"/>
    <w:rsid w:val="000A0EB9"/>
    <w:rsid w:val="000A30C6"/>
    <w:rsid w:val="000A42F3"/>
    <w:rsid w:val="000B2196"/>
    <w:rsid w:val="000B32DF"/>
    <w:rsid w:val="000B75C5"/>
    <w:rsid w:val="000B76E7"/>
    <w:rsid w:val="000C4766"/>
    <w:rsid w:val="000C7271"/>
    <w:rsid w:val="000D6FD0"/>
    <w:rsid w:val="000E1D72"/>
    <w:rsid w:val="000E5B0E"/>
    <w:rsid w:val="000F0431"/>
    <w:rsid w:val="000F08C3"/>
    <w:rsid w:val="000F2DDA"/>
    <w:rsid w:val="000F3D90"/>
    <w:rsid w:val="000F51D5"/>
    <w:rsid w:val="000F7402"/>
    <w:rsid w:val="00103D7C"/>
    <w:rsid w:val="00104C08"/>
    <w:rsid w:val="00110EEA"/>
    <w:rsid w:val="00117795"/>
    <w:rsid w:val="00130C7D"/>
    <w:rsid w:val="00132BB7"/>
    <w:rsid w:val="00133EF1"/>
    <w:rsid w:val="00134E5A"/>
    <w:rsid w:val="0014035B"/>
    <w:rsid w:val="00142C7C"/>
    <w:rsid w:val="00143B51"/>
    <w:rsid w:val="001450A5"/>
    <w:rsid w:val="001515D1"/>
    <w:rsid w:val="00154210"/>
    <w:rsid w:val="00154E81"/>
    <w:rsid w:val="00160938"/>
    <w:rsid w:val="0016142D"/>
    <w:rsid w:val="0016272A"/>
    <w:rsid w:val="00163FD7"/>
    <w:rsid w:val="001650DD"/>
    <w:rsid w:val="0017193D"/>
    <w:rsid w:val="0017196E"/>
    <w:rsid w:val="00172871"/>
    <w:rsid w:val="0017325E"/>
    <w:rsid w:val="00173D56"/>
    <w:rsid w:val="00173E5C"/>
    <w:rsid w:val="00174CAB"/>
    <w:rsid w:val="0017618B"/>
    <w:rsid w:val="00176EA7"/>
    <w:rsid w:val="00176F59"/>
    <w:rsid w:val="0017771E"/>
    <w:rsid w:val="00183092"/>
    <w:rsid w:val="00186949"/>
    <w:rsid w:val="00194212"/>
    <w:rsid w:val="001A0ADE"/>
    <w:rsid w:val="001A2E28"/>
    <w:rsid w:val="001A4329"/>
    <w:rsid w:val="001B0953"/>
    <w:rsid w:val="001B3522"/>
    <w:rsid w:val="001B399F"/>
    <w:rsid w:val="001B4EB6"/>
    <w:rsid w:val="001B6646"/>
    <w:rsid w:val="001C0FDC"/>
    <w:rsid w:val="001C5CC1"/>
    <w:rsid w:val="001C79D2"/>
    <w:rsid w:val="001C7F24"/>
    <w:rsid w:val="001D007F"/>
    <w:rsid w:val="001D2B32"/>
    <w:rsid w:val="001D4DCB"/>
    <w:rsid w:val="001E1E50"/>
    <w:rsid w:val="001E28B4"/>
    <w:rsid w:val="001E2CBB"/>
    <w:rsid w:val="001E3BB6"/>
    <w:rsid w:val="001E3F17"/>
    <w:rsid w:val="001E7E56"/>
    <w:rsid w:val="001F09BA"/>
    <w:rsid w:val="001F2ED2"/>
    <w:rsid w:val="001F39C9"/>
    <w:rsid w:val="001F4959"/>
    <w:rsid w:val="001F63D6"/>
    <w:rsid w:val="00200B72"/>
    <w:rsid w:val="002048A9"/>
    <w:rsid w:val="00204F32"/>
    <w:rsid w:val="002052A1"/>
    <w:rsid w:val="0021314E"/>
    <w:rsid w:val="00214F7F"/>
    <w:rsid w:val="00217CB5"/>
    <w:rsid w:val="00220ABF"/>
    <w:rsid w:val="002232B1"/>
    <w:rsid w:val="00224286"/>
    <w:rsid w:val="002242F4"/>
    <w:rsid w:val="00224325"/>
    <w:rsid w:val="00225115"/>
    <w:rsid w:val="00225CD6"/>
    <w:rsid w:val="00225CE4"/>
    <w:rsid w:val="00234AD7"/>
    <w:rsid w:val="00234D47"/>
    <w:rsid w:val="00235ADC"/>
    <w:rsid w:val="00236BEF"/>
    <w:rsid w:val="00240A23"/>
    <w:rsid w:val="002428DE"/>
    <w:rsid w:val="00242E6F"/>
    <w:rsid w:val="00242F0A"/>
    <w:rsid w:val="00250A68"/>
    <w:rsid w:val="00254575"/>
    <w:rsid w:val="002567B7"/>
    <w:rsid w:val="0026158C"/>
    <w:rsid w:val="0026299C"/>
    <w:rsid w:val="002638A3"/>
    <w:rsid w:val="0027167D"/>
    <w:rsid w:val="00274605"/>
    <w:rsid w:val="002802DD"/>
    <w:rsid w:val="002802F5"/>
    <w:rsid w:val="0028794B"/>
    <w:rsid w:val="00287ED2"/>
    <w:rsid w:val="002920BF"/>
    <w:rsid w:val="0029326D"/>
    <w:rsid w:val="0029330D"/>
    <w:rsid w:val="00293CBE"/>
    <w:rsid w:val="002A0A80"/>
    <w:rsid w:val="002A1BF4"/>
    <w:rsid w:val="002C03F5"/>
    <w:rsid w:val="002C2F2C"/>
    <w:rsid w:val="002C7C4F"/>
    <w:rsid w:val="002D0832"/>
    <w:rsid w:val="002D0CA3"/>
    <w:rsid w:val="002D311E"/>
    <w:rsid w:val="002D34CB"/>
    <w:rsid w:val="002D5179"/>
    <w:rsid w:val="002D7662"/>
    <w:rsid w:val="002D792B"/>
    <w:rsid w:val="002E2135"/>
    <w:rsid w:val="002E2790"/>
    <w:rsid w:val="002E392F"/>
    <w:rsid w:val="002F3241"/>
    <w:rsid w:val="002F66F4"/>
    <w:rsid w:val="002F6799"/>
    <w:rsid w:val="002F7BDA"/>
    <w:rsid w:val="0030118C"/>
    <w:rsid w:val="00303208"/>
    <w:rsid w:val="00310CB9"/>
    <w:rsid w:val="00321A93"/>
    <w:rsid w:val="00323D7E"/>
    <w:rsid w:val="00324464"/>
    <w:rsid w:val="003246BF"/>
    <w:rsid w:val="0032502D"/>
    <w:rsid w:val="00326D8E"/>
    <w:rsid w:val="00326FEE"/>
    <w:rsid w:val="00331309"/>
    <w:rsid w:val="00334C17"/>
    <w:rsid w:val="0034299F"/>
    <w:rsid w:val="003477F8"/>
    <w:rsid w:val="00352FAA"/>
    <w:rsid w:val="00355FE5"/>
    <w:rsid w:val="00356AAB"/>
    <w:rsid w:val="00357883"/>
    <w:rsid w:val="003607FE"/>
    <w:rsid w:val="0036175A"/>
    <w:rsid w:val="00363792"/>
    <w:rsid w:val="00364FC4"/>
    <w:rsid w:val="003700F0"/>
    <w:rsid w:val="00371709"/>
    <w:rsid w:val="0037229F"/>
    <w:rsid w:val="00377B96"/>
    <w:rsid w:val="00377CBD"/>
    <w:rsid w:val="00377F77"/>
    <w:rsid w:val="00382B27"/>
    <w:rsid w:val="00385DD3"/>
    <w:rsid w:val="00386464"/>
    <w:rsid w:val="00391171"/>
    <w:rsid w:val="00392320"/>
    <w:rsid w:val="00394A47"/>
    <w:rsid w:val="003A0A97"/>
    <w:rsid w:val="003A25C1"/>
    <w:rsid w:val="003A72D2"/>
    <w:rsid w:val="003B0CA0"/>
    <w:rsid w:val="003B437D"/>
    <w:rsid w:val="003C0DB4"/>
    <w:rsid w:val="003C522D"/>
    <w:rsid w:val="003C5268"/>
    <w:rsid w:val="003C6F4A"/>
    <w:rsid w:val="003C749D"/>
    <w:rsid w:val="003D161A"/>
    <w:rsid w:val="003D255A"/>
    <w:rsid w:val="003D33EA"/>
    <w:rsid w:val="003D5C8D"/>
    <w:rsid w:val="003D6A90"/>
    <w:rsid w:val="003E538F"/>
    <w:rsid w:val="003E6141"/>
    <w:rsid w:val="003F5C1B"/>
    <w:rsid w:val="00400090"/>
    <w:rsid w:val="00400A21"/>
    <w:rsid w:val="0040266F"/>
    <w:rsid w:val="004031BA"/>
    <w:rsid w:val="00410670"/>
    <w:rsid w:val="004106CF"/>
    <w:rsid w:val="00412929"/>
    <w:rsid w:val="00414205"/>
    <w:rsid w:val="00416620"/>
    <w:rsid w:val="004228AD"/>
    <w:rsid w:val="00423A27"/>
    <w:rsid w:val="00425590"/>
    <w:rsid w:val="004272C3"/>
    <w:rsid w:val="00427307"/>
    <w:rsid w:val="00431A14"/>
    <w:rsid w:val="00432439"/>
    <w:rsid w:val="00434F19"/>
    <w:rsid w:val="004367C6"/>
    <w:rsid w:val="00441F44"/>
    <w:rsid w:val="00445E0F"/>
    <w:rsid w:val="0045221E"/>
    <w:rsid w:val="00454914"/>
    <w:rsid w:val="00455EB4"/>
    <w:rsid w:val="004615C5"/>
    <w:rsid w:val="004628EA"/>
    <w:rsid w:val="00470C5A"/>
    <w:rsid w:val="0047226A"/>
    <w:rsid w:val="00472908"/>
    <w:rsid w:val="004736C1"/>
    <w:rsid w:val="004812C3"/>
    <w:rsid w:val="004834DC"/>
    <w:rsid w:val="004855FD"/>
    <w:rsid w:val="00486D39"/>
    <w:rsid w:val="00494395"/>
    <w:rsid w:val="004950FB"/>
    <w:rsid w:val="004961A3"/>
    <w:rsid w:val="004979B2"/>
    <w:rsid w:val="004A1047"/>
    <w:rsid w:val="004A1E4D"/>
    <w:rsid w:val="004B1778"/>
    <w:rsid w:val="004B4154"/>
    <w:rsid w:val="004B6FC4"/>
    <w:rsid w:val="004B7587"/>
    <w:rsid w:val="004B76E0"/>
    <w:rsid w:val="004C3EA4"/>
    <w:rsid w:val="004D15CB"/>
    <w:rsid w:val="004D5043"/>
    <w:rsid w:val="004D5DA4"/>
    <w:rsid w:val="004E0B8A"/>
    <w:rsid w:val="004E1181"/>
    <w:rsid w:val="004E268D"/>
    <w:rsid w:val="004E31D3"/>
    <w:rsid w:val="004E3B02"/>
    <w:rsid w:val="004F1096"/>
    <w:rsid w:val="004F2555"/>
    <w:rsid w:val="004F305F"/>
    <w:rsid w:val="004F4AFA"/>
    <w:rsid w:val="004F6DBF"/>
    <w:rsid w:val="004F7688"/>
    <w:rsid w:val="00510733"/>
    <w:rsid w:val="00511B03"/>
    <w:rsid w:val="00513C04"/>
    <w:rsid w:val="00514A0D"/>
    <w:rsid w:val="0051699F"/>
    <w:rsid w:val="00516DD9"/>
    <w:rsid w:val="00521B3D"/>
    <w:rsid w:val="0053357C"/>
    <w:rsid w:val="00534D33"/>
    <w:rsid w:val="00537DB7"/>
    <w:rsid w:val="0054698B"/>
    <w:rsid w:val="005531EA"/>
    <w:rsid w:val="00555F14"/>
    <w:rsid w:val="005633C1"/>
    <w:rsid w:val="00563DBF"/>
    <w:rsid w:val="00565CF6"/>
    <w:rsid w:val="00567D90"/>
    <w:rsid w:val="00567ED6"/>
    <w:rsid w:val="00572A40"/>
    <w:rsid w:val="005731EE"/>
    <w:rsid w:val="00575518"/>
    <w:rsid w:val="00576547"/>
    <w:rsid w:val="00580DD0"/>
    <w:rsid w:val="00582F51"/>
    <w:rsid w:val="00585A3E"/>
    <w:rsid w:val="0059048D"/>
    <w:rsid w:val="00595351"/>
    <w:rsid w:val="00596FA7"/>
    <w:rsid w:val="005A1DE4"/>
    <w:rsid w:val="005A4C50"/>
    <w:rsid w:val="005A5A35"/>
    <w:rsid w:val="005B10E7"/>
    <w:rsid w:val="005B277E"/>
    <w:rsid w:val="005B28A0"/>
    <w:rsid w:val="005B2D29"/>
    <w:rsid w:val="005B6C87"/>
    <w:rsid w:val="005C1F31"/>
    <w:rsid w:val="005C2419"/>
    <w:rsid w:val="005C5598"/>
    <w:rsid w:val="005D0A91"/>
    <w:rsid w:val="005D423A"/>
    <w:rsid w:val="005D4BBD"/>
    <w:rsid w:val="005E074F"/>
    <w:rsid w:val="005E1777"/>
    <w:rsid w:val="005E2D96"/>
    <w:rsid w:val="005F2B58"/>
    <w:rsid w:val="005F2DD4"/>
    <w:rsid w:val="00601654"/>
    <w:rsid w:val="00601FB1"/>
    <w:rsid w:val="006022B8"/>
    <w:rsid w:val="00602BC7"/>
    <w:rsid w:val="00604C86"/>
    <w:rsid w:val="0061223E"/>
    <w:rsid w:val="0061288E"/>
    <w:rsid w:val="006129B1"/>
    <w:rsid w:val="006148E7"/>
    <w:rsid w:val="00614957"/>
    <w:rsid w:val="006153FE"/>
    <w:rsid w:val="00617DF6"/>
    <w:rsid w:val="006210E7"/>
    <w:rsid w:val="00623420"/>
    <w:rsid w:val="00631FC0"/>
    <w:rsid w:val="00637330"/>
    <w:rsid w:val="006402C6"/>
    <w:rsid w:val="00640911"/>
    <w:rsid w:val="006427C0"/>
    <w:rsid w:val="0064789A"/>
    <w:rsid w:val="00652246"/>
    <w:rsid w:val="00655FE6"/>
    <w:rsid w:val="00662FC1"/>
    <w:rsid w:val="006659B8"/>
    <w:rsid w:val="006751E8"/>
    <w:rsid w:val="00676EAC"/>
    <w:rsid w:val="00680815"/>
    <w:rsid w:val="00681908"/>
    <w:rsid w:val="00683CEB"/>
    <w:rsid w:val="0068449E"/>
    <w:rsid w:val="0068715B"/>
    <w:rsid w:val="00690182"/>
    <w:rsid w:val="0069443F"/>
    <w:rsid w:val="00694D4E"/>
    <w:rsid w:val="0069529D"/>
    <w:rsid w:val="006A11EE"/>
    <w:rsid w:val="006A2C50"/>
    <w:rsid w:val="006A4D30"/>
    <w:rsid w:val="006A4F95"/>
    <w:rsid w:val="006A546F"/>
    <w:rsid w:val="006B0565"/>
    <w:rsid w:val="006B16F0"/>
    <w:rsid w:val="006B2091"/>
    <w:rsid w:val="006B337B"/>
    <w:rsid w:val="006C13F3"/>
    <w:rsid w:val="006C170A"/>
    <w:rsid w:val="006C224B"/>
    <w:rsid w:val="006C545F"/>
    <w:rsid w:val="006D05B1"/>
    <w:rsid w:val="006D0F75"/>
    <w:rsid w:val="006D3B5C"/>
    <w:rsid w:val="006D5639"/>
    <w:rsid w:val="006D6030"/>
    <w:rsid w:val="006E0D67"/>
    <w:rsid w:val="006E18EA"/>
    <w:rsid w:val="006E2A62"/>
    <w:rsid w:val="006E357C"/>
    <w:rsid w:val="006F640B"/>
    <w:rsid w:val="006F7475"/>
    <w:rsid w:val="007106E4"/>
    <w:rsid w:val="007145E5"/>
    <w:rsid w:val="00717CC5"/>
    <w:rsid w:val="0072026D"/>
    <w:rsid w:val="00720E1F"/>
    <w:rsid w:val="0072335D"/>
    <w:rsid w:val="00725180"/>
    <w:rsid w:val="00727A98"/>
    <w:rsid w:val="00727B4B"/>
    <w:rsid w:val="00730FB8"/>
    <w:rsid w:val="00731DE8"/>
    <w:rsid w:val="00734873"/>
    <w:rsid w:val="00736108"/>
    <w:rsid w:val="0074155F"/>
    <w:rsid w:val="00741BA0"/>
    <w:rsid w:val="00741CB4"/>
    <w:rsid w:val="00742036"/>
    <w:rsid w:val="00742055"/>
    <w:rsid w:val="007436D7"/>
    <w:rsid w:val="00743BFF"/>
    <w:rsid w:val="00753267"/>
    <w:rsid w:val="0075607B"/>
    <w:rsid w:val="007614F8"/>
    <w:rsid w:val="00761D23"/>
    <w:rsid w:val="00762B55"/>
    <w:rsid w:val="007641B6"/>
    <w:rsid w:val="00764B2F"/>
    <w:rsid w:val="0076611B"/>
    <w:rsid w:val="00767447"/>
    <w:rsid w:val="007711DE"/>
    <w:rsid w:val="00771671"/>
    <w:rsid w:val="00774566"/>
    <w:rsid w:val="00774AAF"/>
    <w:rsid w:val="00775329"/>
    <w:rsid w:val="00775C7F"/>
    <w:rsid w:val="00780EB1"/>
    <w:rsid w:val="0078133D"/>
    <w:rsid w:val="007830F0"/>
    <w:rsid w:val="00783D7A"/>
    <w:rsid w:val="00784D61"/>
    <w:rsid w:val="00784EEC"/>
    <w:rsid w:val="00790B54"/>
    <w:rsid w:val="007A175A"/>
    <w:rsid w:val="007A33C1"/>
    <w:rsid w:val="007A3642"/>
    <w:rsid w:val="007A590D"/>
    <w:rsid w:val="007A65FC"/>
    <w:rsid w:val="007A67B2"/>
    <w:rsid w:val="007A79B8"/>
    <w:rsid w:val="007B0AA1"/>
    <w:rsid w:val="007B0CE6"/>
    <w:rsid w:val="007B32E7"/>
    <w:rsid w:val="007B4755"/>
    <w:rsid w:val="007B5260"/>
    <w:rsid w:val="007C3B7D"/>
    <w:rsid w:val="007C435F"/>
    <w:rsid w:val="007C47F3"/>
    <w:rsid w:val="007C5750"/>
    <w:rsid w:val="007C6646"/>
    <w:rsid w:val="007C69E7"/>
    <w:rsid w:val="007C7B3A"/>
    <w:rsid w:val="007C7EE3"/>
    <w:rsid w:val="007D0BBD"/>
    <w:rsid w:val="007D13F3"/>
    <w:rsid w:val="007D65E3"/>
    <w:rsid w:val="007E0966"/>
    <w:rsid w:val="007E5CCE"/>
    <w:rsid w:val="007F04EA"/>
    <w:rsid w:val="007F493E"/>
    <w:rsid w:val="007F4C0A"/>
    <w:rsid w:val="007F56F7"/>
    <w:rsid w:val="007F5E23"/>
    <w:rsid w:val="00806C65"/>
    <w:rsid w:val="008071DA"/>
    <w:rsid w:val="0080747F"/>
    <w:rsid w:val="00807A38"/>
    <w:rsid w:val="00811BBF"/>
    <w:rsid w:val="00812CBA"/>
    <w:rsid w:val="0081736B"/>
    <w:rsid w:val="00824544"/>
    <w:rsid w:val="008252D8"/>
    <w:rsid w:val="00832112"/>
    <w:rsid w:val="00832C3E"/>
    <w:rsid w:val="00835636"/>
    <w:rsid w:val="0084428E"/>
    <w:rsid w:val="00846C7B"/>
    <w:rsid w:val="00850F99"/>
    <w:rsid w:val="008526A3"/>
    <w:rsid w:val="00853B99"/>
    <w:rsid w:val="00853C1D"/>
    <w:rsid w:val="00854FCB"/>
    <w:rsid w:val="008567CC"/>
    <w:rsid w:val="00860C8B"/>
    <w:rsid w:val="00860CA7"/>
    <w:rsid w:val="00867D4D"/>
    <w:rsid w:val="00870B10"/>
    <w:rsid w:val="00872263"/>
    <w:rsid w:val="0088359E"/>
    <w:rsid w:val="00884367"/>
    <w:rsid w:val="00887E27"/>
    <w:rsid w:val="00893F55"/>
    <w:rsid w:val="008968C5"/>
    <w:rsid w:val="00897381"/>
    <w:rsid w:val="008A2074"/>
    <w:rsid w:val="008A3990"/>
    <w:rsid w:val="008A4333"/>
    <w:rsid w:val="008A528B"/>
    <w:rsid w:val="008A6B6E"/>
    <w:rsid w:val="008A742C"/>
    <w:rsid w:val="008B170A"/>
    <w:rsid w:val="008B2450"/>
    <w:rsid w:val="008B69D0"/>
    <w:rsid w:val="008C0D3A"/>
    <w:rsid w:val="008C1E7A"/>
    <w:rsid w:val="008C256E"/>
    <w:rsid w:val="008D2F46"/>
    <w:rsid w:val="008D3212"/>
    <w:rsid w:val="008D7256"/>
    <w:rsid w:val="008E08B8"/>
    <w:rsid w:val="008E0D02"/>
    <w:rsid w:val="008E44B2"/>
    <w:rsid w:val="008F2A81"/>
    <w:rsid w:val="008F582E"/>
    <w:rsid w:val="008F5C40"/>
    <w:rsid w:val="009022BF"/>
    <w:rsid w:val="00903829"/>
    <w:rsid w:val="0090420A"/>
    <w:rsid w:val="00904DD5"/>
    <w:rsid w:val="00913E6E"/>
    <w:rsid w:val="00916ADC"/>
    <w:rsid w:val="00924266"/>
    <w:rsid w:val="0092507B"/>
    <w:rsid w:val="00925799"/>
    <w:rsid w:val="00935524"/>
    <w:rsid w:val="009431F5"/>
    <w:rsid w:val="00943383"/>
    <w:rsid w:val="0094425D"/>
    <w:rsid w:val="00945519"/>
    <w:rsid w:val="00945BEA"/>
    <w:rsid w:val="009461F6"/>
    <w:rsid w:val="00947534"/>
    <w:rsid w:val="009477A5"/>
    <w:rsid w:val="00952441"/>
    <w:rsid w:val="00956F20"/>
    <w:rsid w:val="00960D6D"/>
    <w:rsid w:val="009616D8"/>
    <w:rsid w:val="00970864"/>
    <w:rsid w:val="0097140D"/>
    <w:rsid w:val="00972238"/>
    <w:rsid w:val="00975C9D"/>
    <w:rsid w:val="00976ACF"/>
    <w:rsid w:val="0097772A"/>
    <w:rsid w:val="00977BFB"/>
    <w:rsid w:val="009805DC"/>
    <w:rsid w:val="00981160"/>
    <w:rsid w:val="0098418B"/>
    <w:rsid w:val="00985488"/>
    <w:rsid w:val="00985F15"/>
    <w:rsid w:val="00990E03"/>
    <w:rsid w:val="009947F8"/>
    <w:rsid w:val="00995A84"/>
    <w:rsid w:val="009966D7"/>
    <w:rsid w:val="009976CB"/>
    <w:rsid w:val="00997C30"/>
    <w:rsid w:val="009A13AB"/>
    <w:rsid w:val="009A1604"/>
    <w:rsid w:val="009A50C2"/>
    <w:rsid w:val="009A5975"/>
    <w:rsid w:val="009A6EAA"/>
    <w:rsid w:val="009A73AD"/>
    <w:rsid w:val="009A76FF"/>
    <w:rsid w:val="009B32C2"/>
    <w:rsid w:val="009B6416"/>
    <w:rsid w:val="009B65A1"/>
    <w:rsid w:val="009B734F"/>
    <w:rsid w:val="009B7709"/>
    <w:rsid w:val="009C0133"/>
    <w:rsid w:val="009C2FB2"/>
    <w:rsid w:val="009C624A"/>
    <w:rsid w:val="009D03B9"/>
    <w:rsid w:val="009D11E8"/>
    <w:rsid w:val="009D25CC"/>
    <w:rsid w:val="009D2EE4"/>
    <w:rsid w:val="009D4FCE"/>
    <w:rsid w:val="009E147C"/>
    <w:rsid w:val="009E20A5"/>
    <w:rsid w:val="009E3084"/>
    <w:rsid w:val="009E36CF"/>
    <w:rsid w:val="009E3C20"/>
    <w:rsid w:val="009E4358"/>
    <w:rsid w:val="009E513E"/>
    <w:rsid w:val="009E5458"/>
    <w:rsid w:val="009F039A"/>
    <w:rsid w:val="009F0C6B"/>
    <w:rsid w:val="009F5F24"/>
    <w:rsid w:val="00A02C05"/>
    <w:rsid w:val="00A05395"/>
    <w:rsid w:val="00A06BED"/>
    <w:rsid w:val="00A07136"/>
    <w:rsid w:val="00A11282"/>
    <w:rsid w:val="00A14E86"/>
    <w:rsid w:val="00A15D1C"/>
    <w:rsid w:val="00A21269"/>
    <w:rsid w:val="00A2291B"/>
    <w:rsid w:val="00A23014"/>
    <w:rsid w:val="00A2335D"/>
    <w:rsid w:val="00A24853"/>
    <w:rsid w:val="00A24ACA"/>
    <w:rsid w:val="00A26414"/>
    <w:rsid w:val="00A2679E"/>
    <w:rsid w:val="00A2759D"/>
    <w:rsid w:val="00A277FC"/>
    <w:rsid w:val="00A27A1B"/>
    <w:rsid w:val="00A30C5F"/>
    <w:rsid w:val="00A31CE1"/>
    <w:rsid w:val="00A333B1"/>
    <w:rsid w:val="00A341A6"/>
    <w:rsid w:val="00A35854"/>
    <w:rsid w:val="00A37A36"/>
    <w:rsid w:val="00A37E34"/>
    <w:rsid w:val="00A4301A"/>
    <w:rsid w:val="00A432FC"/>
    <w:rsid w:val="00A437A2"/>
    <w:rsid w:val="00A45964"/>
    <w:rsid w:val="00A5247D"/>
    <w:rsid w:val="00A52561"/>
    <w:rsid w:val="00A55E77"/>
    <w:rsid w:val="00A56C73"/>
    <w:rsid w:val="00A65960"/>
    <w:rsid w:val="00A70B0F"/>
    <w:rsid w:val="00A74CEF"/>
    <w:rsid w:val="00A75CC6"/>
    <w:rsid w:val="00A80215"/>
    <w:rsid w:val="00A81521"/>
    <w:rsid w:val="00A82BC4"/>
    <w:rsid w:val="00A85DB4"/>
    <w:rsid w:val="00A85E44"/>
    <w:rsid w:val="00A86AD4"/>
    <w:rsid w:val="00A90B13"/>
    <w:rsid w:val="00A918E4"/>
    <w:rsid w:val="00A96FC5"/>
    <w:rsid w:val="00AA2D02"/>
    <w:rsid w:val="00AA4AB9"/>
    <w:rsid w:val="00AA648F"/>
    <w:rsid w:val="00AB11F3"/>
    <w:rsid w:val="00AB197F"/>
    <w:rsid w:val="00AB25F7"/>
    <w:rsid w:val="00AB4EB3"/>
    <w:rsid w:val="00AB5427"/>
    <w:rsid w:val="00AB6F59"/>
    <w:rsid w:val="00AC1B72"/>
    <w:rsid w:val="00AC2043"/>
    <w:rsid w:val="00AC6D09"/>
    <w:rsid w:val="00AC6DC8"/>
    <w:rsid w:val="00AD1B79"/>
    <w:rsid w:val="00AD4395"/>
    <w:rsid w:val="00AD44CD"/>
    <w:rsid w:val="00AD72B6"/>
    <w:rsid w:val="00AD73FE"/>
    <w:rsid w:val="00AE1C33"/>
    <w:rsid w:val="00AE4814"/>
    <w:rsid w:val="00AE624F"/>
    <w:rsid w:val="00AE7304"/>
    <w:rsid w:val="00AF1958"/>
    <w:rsid w:val="00AF6EE6"/>
    <w:rsid w:val="00B00F3B"/>
    <w:rsid w:val="00B024E9"/>
    <w:rsid w:val="00B02E29"/>
    <w:rsid w:val="00B04954"/>
    <w:rsid w:val="00B0539E"/>
    <w:rsid w:val="00B05450"/>
    <w:rsid w:val="00B1449C"/>
    <w:rsid w:val="00B14A32"/>
    <w:rsid w:val="00B15EE6"/>
    <w:rsid w:val="00B2110C"/>
    <w:rsid w:val="00B24229"/>
    <w:rsid w:val="00B24FAB"/>
    <w:rsid w:val="00B2620A"/>
    <w:rsid w:val="00B26D42"/>
    <w:rsid w:val="00B277FC"/>
    <w:rsid w:val="00B3029B"/>
    <w:rsid w:val="00B344A4"/>
    <w:rsid w:val="00B34CBF"/>
    <w:rsid w:val="00B37296"/>
    <w:rsid w:val="00B410E3"/>
    <w:rsid w:val="00B43DD2"/>
    <w:rsid w:val="00B44499"/>
    <w:rsid w:val="00B4525C"/>
    <w:rsid w:val="00B50B41"/>
    <w:rsid w:val="00B56480"/>
    <w:rsid w:val="00B56EF4"/>
    <w:rsid w:val="00B57C3B"/>
    <w:rsid w:val="00B63579"/>
    <w:rsid w:val="00B66BC3"/>
    <w:rsid w:val="00B66FAA"/>
    <w:rsid w:val="00B67D3A"/>
    <w:rsid w:val="00B72C3F"/>
    <w:rsid w:val="00B72D16"/>
    <w:rsid w:val="00B80EF8"/>
    <w:rsid w:val="00B8720F"/>
    <w:rsid w:val="00B90411"/>
    <w:rsid w:val="00B90F8C"/>
    <w:rsid w:val="00B92BC3"/>
    <w:rsid w:val="00B94C1C"/>
    <w:rsid w:val="00B95C42"/>
    <w:rsid w:val="00B96E2C"/>
    <w:rsid w:val="00B97538"/>
    <w:rsid w:val="00BA3623"/>
    <w:rsid w:val="00BB1804"/>
    <w:rsid w:val="00BB1C5E"/>
    <w:rsid w:val="00BB2580"/>
    <w:rsid w:val="00BB25EF"/>
    <w:rsid w:val="00BB37D7"/>
    <w:rsid w:val="00BB4D24"/>
    <w:rsid w:val="00BB7437"/>
    <w:rsid w:val="00BC6127"/>
    <w:rsid w:val="00BC79BE"/>
    <w:rsid w:val="00BD1009"/>
    <w:rsid w:val="00BD294D"/>
    <w:rsid w:val="00BD2DDF"/>
    <w:rsid w:val="00BD48C9"/>
    <w:rsid w:val="00BD66E4"/>
    <w:rsid w:val="00BE2192"/>
    <w:rsid w:val="00BE2BE8"/>
    <w:rsid w:val="00BE364C"/>
    <w:rsid w:val="00BE39E5"/>
    <w:rsid w:val="00BE5049"/>
    <w:rsid w:val="00BE6A4D"/>
    <w:rsid w:val="00BE7359"/>
    <w:rsid w:val="00BF0BE3"/>
    <w:rsid w:val="00BF0E97"/>
    <w:rsid w:val="00BF3E15"/>
    <w:rsid w:val="00BF4B4F"/>
    <w:rsid w:val="00C037A8"/>
    <w:rsid w:val="00C04BA7"/>
    <w:rsid w:val="00C054D8"/>
    <w:rsid w:val="00C07690"/>
    <w:rsid w:val="00C118FF"/>
    <w:rsid w:val="00C12762"/>
    <w:rsid w:val="00C139C0"/>
    <w:rsid w:val="00C20D1C"/>
    <w:rsid w:val="00C23CEB"/>
    <w:rsid w:val="00C27B6A"/>
    <w:rsid w:val="00C35279"/>
    <w:rsid w:val="00C36310"/>
    <w:rsid w:val="00C36C5E"/>
    <w:rsid w:val="00C36F46"/>
    <w:rsid w:val="00C41E47"/>
    <w:rsid w:val="00C4395B"/>
    <w:rsid w:val="00C45D6A"/>
    <w:rsid w:val="00C46E34"/>
    <w:rsid w:val="00C47205"/>
    <w:rsid w:val="00C503E4"/>
    <w:rsid w:val="00C531B5"/>
    <w:rsid w:val="00C54602"/>
    <w:rsid w:val="00C57BC8"/>
    <w:rsid w:val="00C707EB"/>
    <w:rsid w:val="00C76B4C"/>
    <w:rsid w:val="00C8237E"/>
    <w:rsid w:val="00C8348B"/>
    <w:rsid w:val="00C84291"/>
    <w:rsid w:val="00C875E3"/>
    <w:rsid w:val="00C90469"/>
    <w:rsid w:val="00C92DB3"/>
    <w:rsid w:val="00C979F7"/>
    <w:rsid w:val="00C97B30"/>
    <w:rsid w:val="00CA0CF8"/>
    <w:rsid w:val="00CA67F2"/>
    <w:rsid w:val="00CB284C"/>
    <w:rsid w:val="00CB5362"/>
    <w:rsid w:val="00CB7AE0"/>
    <w:rsid w:val="00CC0316"/>
    <w:rsid w:val="00CC34D9"/>
    <w:rsid w:val="00CC434C"/>
    <w:rsid w:val="00CC4D8C"/>
    <w:rsid w:val="00CC6CD7"/>
    <w:rsid w:val="00CD48C7"/>
    <w:rsid w:val="00CD6C16"/>
    <w:rsid w:val="00CD7884"/>
    <w:rsid w:val="00CD7A25"/>
    <w:rsid w:val="00CF1356"/>
    <w:rsid w:val="00CF247F"/>
    <w:rsid w:val="00CF5B31"/>
    <w:rsid w:val="00CF7D17"/>
    <w:rsid w:val="00CF7F7F"/>
    <w:rsid w:val="00D01364"/>
    <w:rsid w:val="00D019B0"/>
    <w:rsid w:val="00D01FBD"/>
    <w:rsid w:val="00D029BC"/>
    <w:rsid w:val="00D030FE"/>
    <w:rsid w:val="00D04631"/>
    <w:rsid w:val="00D1020C"/>
    <w:rsid w:val="00D1060A"/>
    <w:rsid w:val="00D106CF"/>
    <w:rsid w:val="00D143A0"/>
    <w:rsid w:val="00D1799A"/>
    <w:rsid w:val="00D203B5"/>
    <w:rsid w:val="00D2062B"/>
    <w:rsid w:val="00D24229"/>
    <w:rsid w:val="00D269E2"/>
    <w:rsid w:val="00D26C3D"/>
    <w:rsid w:val="00D3383E"/>
    <w:rsid w:val="00D41894"/>
    <w:rsid w:val="00D44870"/>
    <w:rsid w:val="00D527E0"/>
    <w:rsid w:val="00D52CD7"/>
    <w:rsid w:val="00D54CD2"/>
    <w:rsid w:val="00D5648C"/>
    <w:rsid w:val="00D56818"/>
    <w:rsid w:val="00D614D5"/>
    <w:rsid w:val="00D61DAE"/>
    <w:rsid w:val="00D65429"/>
    <w:rsid w:val="00D70ED2"/>
    <w:rsid w:val="00D7111C"/>
    <w:rsid w:val="00D735DC"/>
    <w:rsid w:val="00D76CD5"/>
    <w:rsid w:val="00D817E2"/>
    <w:rsid w:val="00D8546C"/>
    <w:rsid w:val="00D86000"/>
    <w:rsid w:val="00D8669A"/>
    <w:rsid w:val="00D90197"/>
    <w:rsid w:val="00D94B5D"/>
    <w:rsid w:val="00D95116"/>
    <w:rsid w:val="00D95D7A"/>
    <w:rsid w:val="00DA0E5F"/>
    <w:rsid w:val="00DA2789"/>
    <w:rsid w:val="00DA6240"/>
    <w:rsid w:val="00DA68A2"/>
    <w:rsid w:val="00DB1AF5"/>
    <w:rsid w:val="00DB39C1"/>
    <w:rsid w:val="00DB60F2"/>
    <w:rsid w:val="00DB68DE"/>
    <w:rsid w:val="00DB7AF8"/>
    <w:rsid w:val="00DC0681"/>
    <w:rsid w:val="00DC2E6B"/>
    <w:rsid w:val="00DC612E"/>
    <w:rsid w:val="00DC76C6"/>
    <w:rsid w:val="00DD1D80"/>
    <w:rsid w:val="00DD2647"/>
    <w:rsid w:val="00DE06AA"/>
    <w:rsid w:val="00DE1CE3"/>
    <w:rsid w:val="00DE55A7"/>
    <w:rsid w:val="00DF07BD"/>
    <w:rsid w:val="00DF2ACF"/>
    <w:rsid w:val="00DF3275"/>
    <w:rsid w:val="00DF71D2"/>
    <w:rsid w:val="00E0197F"/>
    <w:rsid w:val="00E01D45"/>
    <w:rsid w:val="00E02F95"/>
    <w:rsid w:val="00E034ED"/>
    <w:rsid w:val="00E06398"/>
    <w:rsid w:val="00E1183E"/>
    <w:rsid w:val="00E13022"/>
    <w:rsid w:val="00E14F0B"/>
    <w:rsid w:val="00E15C7F"/>
    <w:rsid w:val="00E163AF"/>
    <w:rsid w:val="00E23852"/>
    <w:rsid w:val="00E249AF"/>
    <w:rsid w:val="00E25E9E"/>
    <w:rsid w:val="00E305C8"/>
    <w:rsid w:val="00E32BA2"/>
    <w:rsid w:val="00E35FB8"/>
    <w:rsid w:val="00E36E93"/>
    <w:rsid w:val="00E400BC"/>
    <w:rsid w:val="00E42B07"/>
    <w:rsid w:val="00E445E3"/>
    <w:rsid w:val="00E4493C"/>
    <w:rsid w:val="00E52265"/>
    <w:rsid w:val="00E555D2"/>
    <w:rsid w:val="00E5719D"/>
    <w:rsid w:val="00E60385"/>
    <w:rsid w:val="00E628A5"/>
    <w:rsid w:val="00E66747"/>
    <w:rsid w:val="00E704DC"/>
    <w:rsid w:val="00E708D4"/>
    <w:rsid w:val="00E71516"/>
    <w:rsid w:val="00E740DF"/>
    <w:rsid w:val="00E75251"/>
    <w:rsid w:val="00E85C0A"/>
    <w:rsid w:val="00E87336"/>
    <w:rsid w:val="00E91059"/>
    <w:rsid w:val="00E91661"/>
    <w:rsid w:val="00E93EF5"/>
    <w:rsid w:val="00E9483B"/>
    <w:rsid w:val="00EA0459"/>
    <w:rsid w:val="00EA17E0"/>
    <w:rsid w:val="00EA2607"/>
    <w:rsid w:val="00EA2C71"/>
    <w:rsid w:val="00EA395F"/>
    <w:rsid w:val="00EA62E8"/>
    <w:rsid w:val="00EA63E3"/>
    <w:rsid w:val="00EB10FC"/>
    <w:rsid w:val="00EB1853"/>
    <w:rsid w:val="00EB24D7"/>
    <w:rsid w:val="00EB31F8"/>
    <w:rsid w:val="00EB62E3"/>
    <w:rsid w:val="00EB6A65"/>
    <w:rsid w:val="00EC27D5"/>
    <w:rsid w:val="00EC6C2C"/>
    <w:rsid w:val="00ED169D"/>
    <w:rsid w:val="00ED1F25"/>
    <w:rsid w:val="00ED3B84"/>
    <w:rsid w:val="00ED499B"/>
    <w:rsid w:val="00ED525A"/>
    <w:rsid w:val="00ED5E01"/>
    <w:rsid w:val="00EE2406"/>
    <w:rsid w:val="00EE2825"/>
    <w:rsid w:val="00EE3C96"/>
    <w:rsid w:val="00EE65CC"/>
    <w:rsid w:val="00EF1F22"/>
    <w:rsid w:val="00EF21B3"/>
    <w:rsid w:val="00EF291E"/>
    <w:rsid w:val="00EF428C"/>
    <w:rsid w:val="00EF4ECD"/>
    <w:rsid w:val="00EF5F8E"/>
    <w:rsid w:val="00EF66E0"/>
    <w:rsid w:val="00EF70E2"/>
    <w:rsid w:val="00EF7DFA"/>
    <w:rsid w:val="00F006A8"/>
    <w:rsid w:val="00F00BAF"/>
    <w:rsid w:val="00F024BB"/>
    <w:rsid w:val="00F03116"/>
    <w:rsid w:val="00F03986"/>
    <w:rsid w:val="00F044A2"/>
    <w:rsid w:val="00F11C8F"/>
    <w:rsid w:val="00F12BD5"/>
    <w:rsid w:val="00F145DE"/>
    <w:rsid w:val="00F15652"/>
    <w:rsid w:val="00F201D8"/>
    <w:rsid w:val="00F22942"/>
    <w:rsid w:val="00F22BAD"/>
    <w:rsid w:val="00F24F6D"/>
    <w:rsid w:val="00F30BA4"/>
    <w:rsid w:val="00F31718"/>
    <w:rsid w:val="00F33DE4"/>
    <w:rsid w:val="00F35384"/>
    <w:rsid w:val="00F36AA0"/>
    <w:rsid w:val="00F449EB"/>
    <w:rsid w:val="00F455D7"/>
    <w:rsid w:val="00F50A53"/>
    <w:rsid w:val="00F51A17"/>
    <w:rsid w:val="00F51E06"/>
    <w:rsid w:val="00F53083"/>
    <w:rsid w:val="00F546AD"/>
    <w:rsid w:val="00F564E8"/>
    <w:rsid w:val="00F572E6"/>
    <w:rsid w:val="00F61742"/>
    <w:rsid w:val="00F624D9"/>
    <w:rsid w:val="00F640E5"/>
    <w:rsid w:val="00F66B8F"/>
    <w:rsid w:val="00F67D50"/>
    <w:rsid w:val="00F716BB"/>
    <w:rsid w:val="00F73DE7"/>
    <w:rsid w:val="00F73F6D"/>
    <w:rsid w:val="00F74719"/>
    <w:rsid w:val="00F76C96"/>
    <w:rsid w:val="00F7783B"/>
    <w:rsid w:val="00F8163F"/>
    <w:rsid w:val="00F82566"/>
    <w:rsid w:val="00F825DE"/>
    <w:rsid w:val="00F83C3A"/>
    <w:rsid w:val="00F84C59"/>
    <w:rsid w:val="00F85C38"/>
    <w:rsid w:val="00F93BFF"/>
    <w:rsid w:val="00F93E52"/>
    <w:rsid w:val="00F95758"/>
    <w:rsid w:val="00F95F77"/>
    <w:rsid w:val="00F96078"/>
    <w:rsid w:val="00F97699"/>
    <w:rsid w:val="00FA426E"/>
    <w:rsid w:val="00FA518D"/>
    <w:rsid w:val="00FA6176"/>
    <w:rsid w:val="00FA7518"/>
    <w:rsid w:val="00FB064D"/>
    <w:rsid w:val="00FB6A24"/>
    <w:rsid w:val="00FC0DE5"/>
    <w:rsid w:val="00FC12FF"/>
    <w:rsid w:val="00FC3739"/>
    <w:rsid w:val="00FC3B6C"/>
    <w:rsid w:val="00FC47FC"/>
    <w:rsid w:val="00FC6174"/>
    <w:rsid w:val="00FC7CC5"/>
    <w:rsid w:val="00FD1713"/>
    <w:rsid w:val="00FD1785"/>
    <w:rsid w:val="00FD3CC3"/>
    <w:rsid w:val="00FD4B1F"/>
    <w:rsid w:val="00FD5D2F"/>
    <w:rsid w:val="00FF5208"/>
    <w:rsid w:val="00FF5E1F"/>
    <w:rsid w:val="00FF6872"/>
    <w:rsid w:val="00FF799F"/>
    <w:rsid w:val="4CBD1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qFormat="1" w:uiPriority="99" w:name="Body Text First Indent 2"/>
    <w:lsdException w:qFormat="1" w:unhideWhenUsed="0" w:uiPriority="0" w:name="Note Heading"/>
    <w:lsdException w:qFormat="1" w:uiPriority="0" w:name="Body Text 2"/>
    <w:lsdException w:qFormat="1" w:uiPriority="0" w:name="Body Text 3"/>
    <w:lsdException w:qFormat="1" w:unhideWhenUsed="0" w:uiPriority="0" w:name="Body Text Indent 2"/>
    <w:lsdException w:qFormat="1" w:uiPriority="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uiPriority w:val="99"/>
    <w:pPr>
      <w:numPr>
        <w:ilvl w:val="0"/>
        <w:numId w:val="1"/>
      </w:numPr>
      <w:contextualSpacing/>
    </w:pPr>
  </w:style>
  <w:style w:type="paragraph" w:styleId="16">
    <w:name w:val="Document Map"/>
    <w:basedOn w:val="1"/>
    <w:link w:val="92"/>
    <w:semiHidden/>
    <w:qFormat/>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qFormat/>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qFormat/>
    <w:uiPriority w:val="0"/>
    <w:pPr>
      <w:spacing w:after="120"/>
    </w:pPr>
    <w:rPr>
      <w:rFonts w:ascii="Times New Roman" w:hAnsi="Times New Roman" w:eastAsia="宋体" w:cs="Times New Roman"/>
      <w:kern w:val="0"/>
      <w:sz w:val="24"/>
      <w:szCs w:val="24"/>
    </w:rPr>
  </w:style>
  <w:style w:type="paragraph" w:styleId="20">
    <w:name w:val="Body Text Indent"/>
    <w:basedOn w:val="1"/>
    <w:link w:val="100"/>
    <w:qFormat/>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qFormat/>
    <w:uiPriority w:val="99"/>
    <w:rPr>
      <w:sz w:val="18"/>
      <w:szCs w:val="18"/>
    </w:rPr>
  </w:style>
  <w:style w:type="paragraph" w:styleId="28">
    <w:name w:val="footer"/>
    <w:basedOn w:val="1"/>
    <w:link w:val="54"/>
    <w:unhideWhenUsed/>
    <w:qFormat/>
    <w:uiPriority w:val="99"/>
    <w:pPr>
      <w:tabs>
        <w:tab w:val="center" w:pos="4153"/>
        <w:tab w:val="right" w:pos="8306"/>
      </w:tabs>
      <w:snapToGrid w:val="0"/>
      <w:jc w:val="left"/>
    </w:pPr>
    <w:rPr>
      <w:sz w:val="18"/>
      <w:szCs w:val="18"/>
    </w:rPr>
  </w:style>
  <w:style w:type="paragraph" w:styleId="2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qFormat/>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qFormat/>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qFormat/>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qFormat/>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qFormat/>
    <w:uiPriority w:val="99"/>
    <w:rPr>
      <w:sz w:val="21"/>
      <w:szCs w:val="21"/>
    </w:rPr>
  </w:style>
  <w:style w:type="character" w:customStyle="1" w:styleId="53">
    <w:name w:val="页眉 Char1"/>
    <w:basedOn w:val="46"/>
    <w:link w:val="29"/>
    <w:qFormat/>
    <w:uiPriority w:val="99"/>
    <w:rPr>
      <w:sz w:val="18"/>
      <w:szCs w:val="18"/>
    </w:rPr>
  </w:style>
  <w:style w:type="character" w:customStyle="1" w:styleId="54">
    <w:name w:val="页脚 Char1"/>
    <w:basedOn w:val="46"/>
    <w:link w:val="28"/>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uiPriority w:val="9"/>
    <w:rPr>
      <w:rFonts w:ascii="Times New Roman" w:hAnsi="Times New Roman" w:eastAsia="仿宋" w:cstheme="majorBidi"/>
      <w:b/>
      <w:bCs/>
      <w:sz w:val="32"/>
      <w:szCs w:val="32"/>
    </w:rPr>
  </w:style>
  <w:style w:type="character" w:customStyle="1" w:styleId="57">
    <w:name w:val="标题 3 Char2"/>
    <w:basedOn w:val="46"/>
    <w:link w:val="4"/>
    <w:uiPriority w:val="9"/>
    <w:rPr>
      <w:rFonts w:ascii="Times New Roman" w:hAnsi="Times New Roman" w:eastAsia="仿宋"/>
      <w:b/>
      <w:bCs/>
      <w:sz w:val="30"/>
      <w:szCs w:val="32"/>
    </w:rPr>
  </w:style>
  <w:style w:type="paragraph" w:customStyle="1" w:styleId="58">
    <w:name w:val="Char Char Char"/>
    <w:basedOn w:val="1"/>
    <w:semiHidden/>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qFormat/>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qFormat/>
    <w:uiPriority w:val="99"/>
    <w:rPr>
      <w:b/>
      <w:bCs/>
    </w:rPr>
  </w:style>
  <w:style w:type="character" w:customStyle="1" w:styleId="69">
    <w:name w:val="标题 5 字符"/>
    <w:basedOn w:val="46"/>
    <w:semiHidden/>
    <w:qFormat/>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qFormat/>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qFormat/>
    <w:uiPriority w:val="9"/>
    <w:rPr>
      <w:rFonts w:asciiTheme="majorHAnsi" w:hAnsiTheme="majorHAnsi" w:eastAsiaTheme="majorEastAsia" w:cstheme="majorBidi"/>
      <w:szCs w:val="21"/>
    </w:rPr>
  </w:style>
  <w:style w:type="character" w:customStyle="1" w:styleId="74">
    <w:name w:val="页脚 Char"/>
    <w:uiPriority w:val="99"/>
    <w:rPr>
      <w:sz w:val="18"/>
      <w:szCs w:val="18"/>
    </w:rPr>
  </w:style>
  <w:style w:type="paragraph" w:customStyle="1" w:styleId="75">
    <w:name w:val="Char Char Char1 Char Char Char Char Char Char2 Char"/>
    <w:basedOn w:val="1"/>
    <w:semiHidden/>
    <w:uiPriority w:val="0"/>
    <w:rPr>
      <w:rFonts w:ascii="黑体" w:hAnsi="Times New Roman" w:eastAsia="黑体" w:cs="Times New Roman"/>
      <w:b/>
      <w:kern w:val="0"/>
      <w:sz w:val="32"/>
      <w:szCs w:val="32"/>
    </w:rPr>
  </w:style>
  <w:style w:type="character" w:customStyle="1" w:styleId="76">
    <w:name w:val="页眉 Char"/>
    <w:qFormat/>
    <w:uiPriority w:val="99"/>
    <w:rPr>
      <w:sz w:val="18"/>
      <w:szCs w:val="18"/>
    </w:rPr>
  </w:style>
  <w:style w:type="paragraph" w:customStyle="1" w:styleId="77">
    <w:name w:val="Char Char Char1 Char Char Char Char Char Char2 Char1"/>
    <w:basedOn w:val="1"/>
    <w:semiHidden/>
    <w:qFormat/>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qFormat/>
    <w:uiPriority w:val="0"/>
  </w:style>
  <w:style w:type="character" w:customStyle="1" w:styleId="80">
    <w:name w:val="标题 1 Char"/>
    <w:qFormat/>
    <w:uiPriority w:val="0"/>
    <w:rPr>
      <w:b/>
      <w:bCs/>
      <w:kern w:val="44"/>
      <w:sz w:val="44"/>
      <w:szCs w:val="44"/>
    </w:rPr>
  </w:style>
  <w:style w:type="character" w:customStyle="1" w:styleId="81">
    <w:name w:val="标题 2 Char"/>
    <w:qFormat/>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qFormat/>
    <w:uiPriority w:val="0"/>
    <w:rPr>
      <w:rFonts w:ascii="Calibri" w:hAnsi="Calibri" w:eastAsia="宋体" w:cs="Times New Roman"/>
      <w:b/>
      <w:bCs/>
      <w:kern w:val="0"/>
      <w:sz w:val="28"/>
      <w:szCs w:val="28"/>
      <w:lang w:bidi="en-US"/>
    </w:rPr>
  </w:style>
  <w:style w:type="character" w:customStyle="1" w:styleId="84">
    <w:name w:val="标题 5 Char1"/>
    <w:link w:val="6"/>
    <w:qFormat/>
    <w:uiPriority w:val="0"/>
    <w:rPr>
      <w:rFonts w:ascii="Calibri" w:hAnsi="Calibri" w:eastAsia="宋体" w:cs="Times New Roman"/>
      <w:b/>
      <w:bCs/>
      <w:i/>
      <w:iCs/>
      <w:kern w:val="0"/>
      <w:sz w:val="26"/>
      <w:szCs w:val="26"/>
      <w:lang w:bidi="en-US"/>
    </w:rPr>
  </w:style>
  <w:style w:type="character" w:customStyle="1" w:styleId="85">
    <w:name w:val="标题 6 Char1"/>
    <w:link w:val="7"/>
    <w:qFormat/>
    <w:uiPriority w:val="0"/>
    <w:rPr>
      <w:rFonts w:ascii="Calibri" w:hAnsi="Calibri" w:eastAsia="宋体" w:cs="Times New Roman"/>
      <w:b/>
      <w:bCs/>
      <w:kern w:val="0"/>
      <w:sz w:val="22"/>
      <w:szCs w:val="28"/>
      <w:lang w:bidi="en-US"/>
    </w:rPr>
  </w:style>
  <w:style w:type="character" w:customStyle="1" w:styleId="86">
    <w:name w:val="标题 7 Char1"/>
    <w:link w:val="8"/>
    <w:qFormat/>
    <w:uiPriority w:val="0"/>
    <w:rPr>
      <w:rFonts w:ascii="Calibri" w:hAnsi="Calibri" w:eastAsia="宋体" w:cs="Times New Roman"/>
      <w:kern w:val="0"/>
      <w:sz w:val="24"/>
      <w:szCs w:val="24"/>
      <w:lang w:bidi="en-US"/>
    </w:rPr>
  </w:style>
  <w:style w:type="character" w:customStyle="1" w:styleId="87">
    <w:name w:val="标题 8 Char1"/>
    <w:link w:val="9"/>
    <w:qFormat/>
    <w:uiPriority w:val="0"/>
    <w:rPr>
      <w:rFonts w:ascii="Calibri" w:hAnsi="Calibri" w:eastAsia="宋体" w:cs="Times New Roman"/>
      <w:i/>
      <w:iCs/>
      <w:kern w:val="0"/>
      <w:sz w:val="24"/>
      <w:szCs w:val="24"/>
      <w:lang w:bidi="en-US"/>
    </w:rPr>
  </w:style>
  <w:style w:type="character" w:customStyle="1" w:styleId="88">
    <w:name w:val="标题 9 Char1"/>
    <w:link w:val="10"/>
    <w:qFormat/>
    <w:uiPriority w:val="0"/>
    <w:rPr>
      <w:rFonts w:ascii="Cambria" w:hAnsi="Cambria" w:eastAsia="宋体" w:cs="Times New Roman"/>
      <w:kern w:val="0"/>
      <w:sz w:val="22"/>
      <w:szCs w:val="28"/>
      <w:lang w:bidi="en-US"/>
    </w:rPr>
  </w:style>
  <w:style w:type="character" w:customStyle="1" w:styleId="89">
    <w:name w:val="标题 1 Char1"/>
    <w:qFormat/>
    <w:uiPriority w:val="0"/>
    <w:rPr>
      <w:rFonts w:ascii="仿宋_GB2312" w:hAnsi="Times New Roman" w:eastAsia="仿宋_GB2312" w:cs="Times New Roman"/>
      <w:b/>
      <w:bCs/>
      <w:kern w:val="44"/>
      <w:sz w:val="32"/>
      <w:szCs w:val="44"/>
    </w:rPr>
  </w:style>
  <w:style w:type="character" w:customStyle="1" w:styleId="90">
    <w:name w:val="标题 2 Char1"/>
    <w:qFormat/>
    <w:uiPriority w:val="0"/>
    <w:rPr>
      <w:rFonts w:ascii="Arial" w:hAnsi="Arial" w:eastAsia="黑体" w:cs="Times New Roman"/>
      <w:b/>
      <w:bCs/>
      <w:kern w:val="0"/>
      <w:sz w:val="30"/>
      <w:szCs w:val="32"/>
    </w:rPr>
  </w:style>
  <w:style w:type="character" w:customStyle="1" w:styleId="91">
    <w:name w:val="标题 3 Char1"/>
    <w:uiPriority w:val="0"/>
    <w:rPr>
      <w:rFonts w:ascii="仿宋_GB2312" w:hAnsi="Times New Roman" w:eastAsia="仿宋_GB2312" w:cs="Times New Roman"/>
      <w:b/>
      <w:bCs/>
      <w:kern w:val="0"/>
      <w:sz w:val="28"/>
      <w:szCs w:val="32"/>
    </w:rPr>
  </w:style>
  <w:style w:type="character" w:customStyle="1" w:styleId="92">
    <w:name w:val="文档结构图 Char2"/>
    <w:link w:val="16"/>
    <w:semiHidden/>
    <w:qFormat/>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qFormat/>
    <w:uiPriority w:val="99"/>
    <w:rPr>
      <w:rFonts w:ascii="Microsoft YaHei UI" w:eastAsia="Microsoft YaHei UI"/>
      <w:sz w:val="18"/>
      <w:szCs w:val="18"/>
    </w:rPr>
  </w:style>
  <w:style w:type="character" w:customStyle="1" w:styleId="94">
    <w:name w:val="文档结构图 Char1"/>
    <w:semiHidden/>
    <w:qFormat/>
    <w:uiPriority w:val="99"/>
    <w:rPr>
      <w:rFonts w:ascii="Microsoft YaHei UI" w:eastAsia="Microsoft YaHei UI"/>
      <w:sz w:val="18"/>
      <w:szCs w:val="18"/>
    </w:rPr>
  </w:style>
  <w:style w:type="paragraph" w:customStyle="1" w:styleId="95">
    <w:name w:val="样式 标题 2 + 首行缩进:  2 字符 段前: 0.5 行 段后: 0.5 行"/>
    <w:basedOn w:val="3"/>
    <w:qFormat/>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qFormat/>
    <w:uiPriority w:val="0"/>
    <w:pPr>
      <w:spacing w:before="0" w:after="0" w:line="360" w:lineRule="auto"/>
    </w:pPr>
    <w:rPr>
      <w:rFonts w:ascii="仿宋_GB2312" w:eastAsia="仿宋_GB2312" w:cs="宋体"/>
      <w:kern w:val="0"/>
      <w:sz w:val="28"/>
      <w:szCs w:val="20"/>
    </w:rPr>
  </w:style>
  <w:style w:type="character" w:customStyle="1" w:styleId="97">
    <w:name w:val="文字 Char"/>
    <w:link w:val="61"/>
    <w:qFormat/>
    <w:uiPriority w:val="0"/>
    <w:rPr>
      <w:rFonts w:ascii="Times New Roman" w:hAnsi="Times New Roman" w:eastAsia="宋体" w:cs="Times New Roman"/>
      <w:kern w:val="0"/>
      <w:sz w:val="24"/>
      <w:szCs w:val="24"/>
    </w:rPr>
  </w:style>
  <w:style w:type="character" w:customStyle="1" w:styleId="98">
    <w:name w:val="正文文本缩进 字符"/>
    <w:basedOn w:val="46"/>
    <w:semiHidden/>
    <w:qFormat/>
    <w:uiPriority w:val="99"/>
  </w:style>
  <w:style w:type="character" w:customStyle="1" w:styleId="99">
    <w:name w:val="正文文本缩进 Char"/>
    <w:basedOn w:val="46"/>
    <w:qFormat/>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qFormat/>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qFormat/>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qFormat/>
    <w:uiPriority w:val="0"/>
    <w:rPr>
      <w:rFonts w:ascii="Arial" w:hAnsi="Arial" w:eastAsia="黑体"/>
      <w:b/>
      <w:bCs/>
      <w:color w:val="auto"/>
      <w:sz w:val="32"/>
      <w:u w:val="none"/>
    </w:rPr>
  </w:style>
  <w:style w:type="character" w:customStyle="1" w:styleId="106">
    <w:name w:val="标题 字符"/>
    <w:basedOn w:val="46"/>
    <w:qFormat/>
    <w:uiPriority w:val="10"/>
    <w:rPr>
      <w:rFonts w:asciiTheme="majorHAnsi" w:hAnsiTheme="majorHAnsi" w:eastAsiaTheme="majorEastAsia" w:cstheme="majorBidi"/>
      <w:b/>
      <w:bCs/>
      <w:sz w:val="32"/>
      <w:szCs w:val="32"/>
    </w:rPr>
  </w:style>
  <w:style w:type="character" w:customStyle="1" w:styleId="107">
    <w:name w:val="标题 Char1"/>
    <w:link w:val="40"/>
    <w:uiPriority w:val="0"/>
    <w:rPr>
      <w:rFonts w:ascii="Cambria" w:hAnsi="Cambria" w:eastAsia="宋体" w:cs="Times New Roman"/>
      <w:b/>
      <w:bCs/>
      <w:kern w:val="28"/>
      <w:sz w:val="32"/>
      <w:szCs w:val="32"/>
      <w:lang w:bidi="en-US"/>
    </w:rPr>
  </w:style>
  <w:style w:type="character" w:customStyle="1" w:styleId="108">
    <w:name w:val="副标题 字符"/>
    <w:basedOn w:val="46"/>
    <w:qFormat/>
    <w:uiPriority w:val="11"/>
    <w:rPr>
      <w:b/>
      <w:bCs/>
      <w:kern w:val="28"/>
      <w:sz w:val="32"/>
      <w:szCs w:val="32"/>
    </w:rPr>
  </w:style>
  <w:style w:type="character" w:customStyle="1" w:styleId="109">
    <w:name w:val="副标题 Char1"/>
    <w:link w:val="32"/>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qFormat/>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qFormat/>
    <w:uiPriority w:val="30"/>
    <w:rPr>
      <w:i/>
      <w:iCs/>
      <w:color w:val="4F81BD" w:themeColor="accent1"/>
      <w14:textFill>
        <w14:solidFill>
          <w14:schemeClr w14:val="accent1"/>
        </w14:solidFill>
      </w14:textFill>
    </w:rPr>
  </w:style>
  <w:style w:type="character" w:customStyle="1" w:styleId="117">
    <w:name w:val="明显引用 Char1"/>
    <w:link w:val="115"/>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qFormat/>
    <w:uiPriority w:val="99"/>
    <w:rPr>
      <w:rFonts w:hAnsi="Courier New" w:cs="Courier New" w:asciiTheme="minorEastAsia"/>
    </w:rPr>
  </w:style>
  <w:style w:type="character" w:customStyle="1" w:styleId="125">
    <w:name w:val="纯文本 Char1"/>
    <w:link w:val="23"/>
    <w:qFormat/>
    <w:uiPriority w:val="0"/>
    <w:rPr>
      <w:rFonts w:ascii="宋体" w:hAnsi="Courier New" w:eastAsia="宋体" w:cs="Courier New"/>
      <w:kern w:val="0"/>
      <w:sz w:val="28"/>
      <w:szCs w:val="21"/>
    </w:rPr>
  </w:style>
  <w:style w:type="character" w:customStyle="1" w:styleId="126">
    <w:name w:val="content1"/>
    <w:uiPriority w:val="0"/>
    <w:rPr>
      <w:sz w:val="21"/>
      <w:szCs w:val="21"/>
    </w:rPr>
  </w:style>
  <w:style w:type="character" w:customStyle="1" w:styleId="127">
    <w:name w:val="正文文本 字符"/>
    <w:basedOn w:val="46"/>
    <w:semiHidden/>
    <w:qFormat/>
    <w:uiPriority w:val="99"/>
  </w:style>
  <w:style w:type="character" w:customStyle="1" w:styleId="128">
    <w:name w:val="正文文本 Char1"/>
    <w:link w:val="19"/>
    <w:qFormat/>
    <w:uiPriority w:val="0"/>
    <w:rPr>
      <w:rFonts w:ascii="Times New Roman" w:hAnsi="Times New Roman" w:eastAsia="宋体" w:cs="Times New Roman"/>
      <w:kern w:val="0"/>
      <w:sz w:val="24"/>
      <w:szCs w:val="24"/>
    </w:rPr>
  </w:style>
  <w:style w:type="character" w:customStyle="1" w:styleId="129">
    <w:name w:val="正文首行缩进 Char"/>
    <w:uiPriority w:val="0"/>
    <w:rPr>
      <w:rFonts w:ascii="Times New Roman" w:hAnsi="Times New Roman" w:eastAsia="宋体" w:cs="Times New Roman"/>
      <w:sz w:val="24"/>
      <w:szCs w:val="24"/>
    </w:rPr>
  </w:style>
  <w:style w:type="character" w:customStyle="1" w:styleId="130">
    <w:name w:val="正文首行缩进 Char1"/>
    <w:uiPriority w:val="0"/>
    <w:rPr>
      <w:rFonts w:ascii="Times New Roman" w:hAnsi="Times New Roman" w:eastAsia="宋体" w:cs="Times New Roman"/>
      <w:sz w:val="28"/>
      <w:szCs w:val="24"/>
    </w:rPr>
  </w:style>
  <w:style w:type="paragraph" w:customStyle="1" w:styleId="131">
    <w:name w:val="样式 标题 3 + 小四 段前: 0 磅 段后: 0 磅"/>
    <w:basedOn w:val="4"/>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uiPriority w:val="0"/>
    <w:rPr>
      <w:rFonts w:ascii="Calibri" w:hAnsi="Calibri" w:eastAsia="宋体" w:cs="Times New Roman"/>
      <w:kern w:val="0"/>
      <w:sz w:val="16"/>
      <w:szCs w:val="16"/>
      <w:lang w:bidi="en-US"/>
    </w:rPr>
  </w:style>
  <w:style w:type="character" w:customStyle="1" w:styleId="133">
    <w:name w:val="正文文本 3 字符"/>
    <w:basedOn w:val="46"/>
    <w:semiHidden/>
    <w:uiPriority w:val="99"/>
    <w:rPr>
      <w:sz w:val="16"/>
      <w:szCs w:val="16"/>
    </w:rPr>
  </w:style>
  <w:style w:type="character" w:customStyle="1" w:styleId="134">
    <w:name w:val="正文文本 3 Char1"/>
    <w:semiHidden/>
    <w:uiPriority w:val="99"/>
    <w:rPr>
      <w:sz w:val="16"/>
      <w:szCs w:val="16"/>
    </w:rPr>
  </w:style>
  <w:style w:type="character" w:customStyle="1" w:styleId="135">
    <w:name w:val="正文文本缩进 3 Char2"/>
    <w:link w:val="35"/>
    <w:semiHidden/>
    <w:qFormat/>
    <w:uiPriority w:val="0"/>
    <w:rPr>
      <w:rFonts w:ascii="Calibri" w:hAnsi="Calibri" w:eastAsia="宋体" w:cs="Times New Roman"/>
      <w:kern w:val="0"/>
      <w:sz w:val="16"/>
      <w:szCs w:val="16"/>
      <w:lang w:bidi="en-US"/>
    </w:rPr>
  </w:style>
  <w:style w:type="character" w:customStyle="1" w:styleId="136">
    <w:name w:val="正文文本缩进 3 字符"/>
    <w:basedOn w:val="46"/>
    <w:semiHidden/>
    <w:qFormat/>
    <w:uiPriority w:val="99"/>
    <w:rPr>
      <w:sz w:val="16"/>
      <w:szCs w:val="16"/>
    </w:rPr>
  </w:style>
  <w:style w:type="character" w:customStyle="1" w:styleId="137">
    <w:name w:val="正文文本缩进 3 Char1"/>
    <w:semiHidden/>
    <w:uiPriority w:val="99"/>
    <w:rPr>
      <w:sz w:val="16"/>
      <w:szCs w:val="16"/>
    </w:rPr>
  </w:style>
  <w:style w:type="character" w:customStyle="1" w:styleId="138">
    <w:name w:val="正文文本缩进 2 Char2"/>
    <w:link w:val="26"/>
    <w:semiHidden/>
    <w:qFormat/>
    <w:uiPriority w:val="0"/>
    <w:rPr>
      <w:rFonts w:ascii="Times New Roman" w:hAnsi="Times New Roman" w:eastAsia="宋体" w:cs="Times New Roman"/>
      <w:sz w:val="28"/>
      <w:szCs w:val="24"/>
    </w:rPr>
  </w:style>
  <w:style w:type="character" w:customStyle="1" w:styleId="139">
    <w:name w:val="正文文本缩进 2 字符"/>
    <w:basedOn w:val="46"/>
    <w:semiHidden/>
    <w:qFormat/>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uiPriority w:val="99"/>
  </w:style>
  <w:style w:type="character" w:customStyle="1" w:styleId="143">
    <w:name w:val="正文文本 2 Char1"/>
    <w:basedOn w:val="46"/>
    <w:semiHidden/>
    <w:uiPriority w:val="99"/>
  </w:style>
  <w:style w:type="paragraph" w:customStyle="1" w:styleId="144">
    <w:name w:val="样式1"/>
    <w:basedOn w:val="2"/>
    <w:next w:val="12"/>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qFormat/>
    <w:uiPriority w:val="99"/>
  </w:style>
  <w:style w:type="character" w:customStyle="1" w:styleId="146">
    <w:name w:val="注释标题 Char1"/>
    <w:link w:val="12"/>
    <w:semiHidden/>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qFormat/>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uiPriority w:val="0"/>
    <w:rPr>
      <w:rFonts w:eastAsia="宋体"/>
    </w:rPr>
  </w:style>
  <w:style w:type="paragraph" w:customStyle="1" w:styleId="158">
    <w:name w:val="正文文字缩进"/>
    <w:basedOn w:val="1"/>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qFormat/>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qFormat/>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qFormat/>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qFormat/>
    <w:uiPriority w:val="0"/>
    <w:pPr>
      <w:spacing w:before="100" w:beforeLines="100" w:after="60" w:afterLines="100" w:line="400" w:lineRule="exact"/>
    </w:pPr>
    <w:rPr>
      <w:rFonts w:eastAsia="宋体" w:cs="宋体"/>
      <w:sz w:val="30"/>
      <w:szCs w:val="20"/>
    </w:rPr>
  </w:style>
  <w:style w:type="paragraph" w:customStyle="1" w:styleId="177">
    <w:name w:val="3"/>
    <w:basedOn w:val="1"/>
    <w:next w:val="13"/>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qFormat/>
    <w:uiPriority w:val="0"/>
    <w:pPr>
      <w:tabs>
        <w:tab w:val="left" w:pos="720"/>
      </w:tabs>
      <w:spacing w:before="240" w:after="120" w:line="240" w:lineRule="auto"/>
    </w:pPr>
    <w:rPr>
      <w:rFonts w:eastAsia="黑体" w:cs="Times New Roman"/>
      <w:sz w:val="32"/>
    </w:rPr>
  </w:style>
  <w:style w:type="character" w:customStyle="1" w:styleId="181">
    <w:name w:val="标题 1 Char Char"/>
    <w:uiPriority w:val="0"/>
    <w:rPr>
      <w:rFonts w:eastAsia="黑体"/>
      <w:b/>
      <w:bCs/>
      <w:kern w:val="44"/>
      <w:sz w:val="32"/>
      <w:szCs w:val="44"/>
      <w:lang w:val="en-US" w:eastAsia="zh-CN" w:bidi="ar-SA"/>
    </w:rPr>
  </w:style>
  <w:style w:type="character" w:customStyle="1" w:styleId="182">
    <w:name w:val="样式1 Char Char Char"/>
    <w:uiPriority w:val="0"/>
    <w:rPr>
      <w:rFonts w:eastAsia="黑体"/>
      <w:b/>
      <w:bCs/>
      <w:kern w:val="44"/>
      <w:sz w:val="32"/>
      <w:szCs w:val="44"/>
      <w:lang w:val="en-US" w:eastAsia="zh-CN" w:bidi="ar-SA"/>
    </w:rPr>
  </w:style>
  <w:style w:type="paragraph" w:customStyle="1" w:styleId="183">
    <w:name w:val="样式 标题 1 + 小三 黑色 Char"/>
    <w:basedOn w:val="2"/>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uiPriority w:val="0"/>
    <w:rPr>
      <w:rFonts w:eastAsia="黑体"/>
      <w:b/>
      <w:bCs/>
      <w:color w:val="000000"/>
      <w:kern w:val="44"/>
      <w:sz w:val="30"/>
      <w:szCs w:val="44"/>
      <w:lang w:val="en-US" w:eastAsia="zh-CN" w:bidi="ar-SA"/>
    </w:rPr>
  </w:style>
  <w:style w:type="paragraph" w:customStyle="1" w:styleId="185">
    <w:name w:val="正文文字-01"/>
    <w:basedOn w:val="1"/>
    <w:qFormat/>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qFormat/>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qFormat/>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qFormat/>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uiPriority w:val="0"/>
    <w:rPr>
      <w:rFonts w:ascii="宋体" w:hAnsi="宋体" w:eastAsia="宋体" w:cs="仿宋_GB2312"/>
      <w:b/>
      <w:kern w:val="0"/>
      <w:sz w:val="28"/>
      <w:szCs w:val="24"/>
    </w:rPr>
  </w:style>
  <w:style w:type="paragraph" w:customStyle="1" w:styleId="198">
    <w:name w:val="节1.2"/>
    <w:basedOn w:val="1"/>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qFormat/>
    <w:uiPriority w:val="0"/>
    <w:pPr>
      <w:spacing w:after="0"/>
      <w:jc w:val="center"/>
    </w:pPr>
    <w:rPr>
      <w:rFonts w:ascii="宋体" w:hAnsi="宋体" w:cs="楷体_GB2312"/>
      <w:b/>
      <w:bCs/>
      <w:sz w:val="21"/>
    </w:rPr>
  </w:style>
  <w:style w:type="character" w:customStyle="1" w:styleId="200">
    <w:name w:val="TableHead Char"/>
    <w:link w:val="199"/>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qFormat/>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qFormat/>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uiPriority w:val="0"/>
  </w:style>
  <w:style w:type="paragraph" w:customStyle="1" w:styleId="213">
    <w:name w:val="Char Char Char Char Char Char Char Char Char Char Char Char Char Char Char Char Char Char Char Char Char Char Char Char Char"/>
    <w:basedOn w:val="1"/>
    <w:semiHidden/>
    <w:qFormat/>
    <w:uiPriority w:val="0"/>
    <w:rPr>
      <w:rFonts w:ascii="Times New Roman" w:hAnsi="Times New Roman" w:eastAsia="宋体" w:cs="Times New Roman"/>
      <w:kern w:val="0"/>
      <w:sz w:val="28"/>
      <w:szCs w:val="24"/>
    </w:rPr>
  </w:style>
  <w:style w:type="character" w:customStyle="1" w:styleId="214">
    <w:name w:val="批注文字 字符1"/>
    <w:uiPriority w:val="99"/>
    <w:rPr>
      <w:rFonts w:ascii="仿宋_GB2312" w:hAnsi="Times New Roman" w:eastAsia="仿宋_GB2312" w:cs="Times New Roman"/>
      <w:kern w:val="0"/>
      <w:sz w:val="24"/>
      <w:szCs w:val="24"/>
    </w:rPr>
  </w:style>
  <w:style w:type="character" w:customStyle="1" w:styleId="215">
    <w:name w:val="批注主题 字符1"/>
    <w:semiHidden/>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qFormat/>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uiPriority w:val="99"/>
    <w:rPr>
      <w:rFonts w:ascii="Arial" w:hAnsi="Arial" w:cs="Arial"/>
      <w:vanish/>
      <w:sz w:val="16"/>
      <w:szCs w:val="16"/>
    </w:rPr>
  </w:style>
  <w:style w:type="character" w:customStyle="1" w:styleId="277">
    <w:name w:val="z-窗体顶端 Char1"/>
    <w:link w:val="275"/>
    <w:semiHidden/>
    <w:uiPriority w:val="99"/>
    <w:rPr>
      <w:rFonts w:ascii="Arial" w:hAnsi="Arial" w:eastAsia="宋体" w:cs="Arial"/>
      <w:vanish/>
      <w:kern w:val="0"/>
      <w:sz w:val="16"/>
      <w:szCs w:val="16"/>
    </w:rPr>
  </w:style>
  <w:style w:type="paragraph" w:customStyle="1" w:styleId="278">
    <w:name w:val="HTML Bottom of Form"/>
    <w:basedOn w:val="1"/>
    <w:next w:val="1"/>
    <w:link w:val="280"/>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uiPriority w:val="99"/>
    <w:rPr>
      <w:rFonts w:ascii="Arial" w:hAnsi="Arial" w:cs="Arial"/>
      <w:vanish/>
      <w:sz w:val="16"/>
      <w:szCs w:val="16"/>
    </w:rPr>
  </w:style>
  <w:style w:type="character" w:customStyle="1" w:styleId="280">
    <w:name w:val="z-窗体底端 Char1"/>
    <w:link w:val="278"/>
    <w:qFormat/>
    <w:uiPriority w:val="99"/>
    <w:rPr>
      <w:rFonts w:ascii="Arial" w:hAnsi="Arial" w:eastAsia="宋体" w:cs="Arial"/>
      <w:vanish/>
      <w:kern w:val="0"/>
      <w:sz w:val="16"/>
      <w:szCs w:val="16"/>
    </w:rPr>
  </w:style>
  <w:style w:type="paragraph" w:customStyle="1" w:styleId="2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qFormat/>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qFormat/>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qFormat/>
    <w:uiPriority w:val="99"/>
  </w:style>
  <w:style w:type="character" w:customStyle="1" w:styleId="316">
    <w:name w:val="正文首行缩进 2 Char1"/>
    <w:basedOn w:val="98"/>
    <w:link w:val="43"/>
    <w:semiHidden/>
    <w:qFormat/>
    <w:uiPriority w:val="99"/>
  </w:style>
  <w:style w:type="character" w:customStyle="1" w:styleId="317">
    <w:name w:val="标题 5 Char"/>
    <w:qFormat/>
    <w:uiPriority w:val="0"/>
    <w:rPr>
      <w:rFonts w:ascii="Calibri" w:hAnsi="Calibri" w:eastAsia="宋体" w:cs="Times New Roman"/>
      <w:b/>
      <w:bCs/>
      <w:i/>
      <w:iCs/>
      <w:kern w:val="0"/>
      <w:sz w:val="26"/>
      <w:szCs w:val="26"/>
      <w:lang w:bidi="en-US"/>
    </w:rPr>
  </w:style>
  <w:style w:type="character" w:customStyle="1" w:styleId="318">
    <w:name w:val="标题 6 Char"/>
    <w:qFormat/>
    <w:uiPriority w:val="0"/>
    <w:rPr>
      <w:rFonts w:ascii="Calibri" w:hAnsi="Calibri" w:eastAsia="宋体" w:cs="Times New Roman"/>
      <w:b/>
      <w:bCs/>
      <w:kern w:val="0"/>
      <w:sz w:val="22"/>
      <w:lang w:bidi="en-US"/>
    </w:rPr>
  </w:style>
  <w:style w:type="character" w:customStyle="1" w:styleId="319">
    <w:name w:val="标题 7 Char"/>
    <w:uiPriority w:val="0"/>
    <w:rPr>
      <w:rFonts w:ascii="Calibri" w:hAnsi="Calibri" w:eastAsia="宋体" w:cs="Times New Roman"/>
      <w:kern w:val="0"/>
      <w:sz w:val="24"/>
      <w:szCs w:val="24"/>
      <w:lang w:bidi="en-US"/>
    </w:rPr>
  </w:style>
  <w:style w:type="character" w:customStyle="1" w:styleId="320">
    <w:name w:val="标题 8 Char"/>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qFormat/>
    <w:uiPriority w:val="0"/>
    <w:rPr>
      <w:rFonts w:ascii="宋体" w:hAnsi="宋体" w:eastAsia="宋体" w:cs="Times New Roman"/>
      <w:sz w:val="24"/>
      <w:szCs w:val="24"/>
    </w:rPr>
  </w:style>
  <w:style w:type="character" w:customStyle="1" w:styleId="324">
    <w:name w:val="标题 Char"/>
    <w:qFormat/>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qFormat/>
    <w:uiPriority w:val="0"/>
    <w:rPr>
      <w:rFonts w:ascii="Times New Roman" w:hAnsi="Times New Roman" w:eastAsia="宋体" w:cs="Times New Roman"/>
      <w:sz w:val="24"/>
      <w:szCs w:val="24"/>
    </w:rPr>
  </w:style>
  <w:style w:type="character" w:customStyle="1" w:styleId="331">
    <w:name w:val="正文文本 3 Char"/>
    <w:semiHidden/>
    <w:qFormat/>
    <w:uiPriority w:val="0"/>
    <w:rPr>
      <w:rFonts w:ascii="Calibri" w:hAnsi="Calibri" w:eastAsia="宋体" w:cs="Times New Roman"/>
      <w:kern w:val="0"/>
      <w:sz w:val="16"/>
      <w:szCs w:val="16"/>
      <w:lang w:bidi="en-US"/>
    </w:rPr>
  </w:style>
  <w:style w:type="character" w:customStyle="1" w:styleId="332">
    <w:name w:val="正文文本缩进 3 Char"/>
    <w:semiHidden/>
    <w:qFormat/>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uiPriority w:val="0"/>
    <w:rPr>
      <w:rFonts w:ascii="Calibri" w:hAnsi="Calibri" w:eastAsia="宋体" w:cs="Times New Roman"/>
      <w:kern w:val="0"/>
      <w:sz w:val="20"/>
      <w:szCs w:val="20"/>
    </w:rPr>
  </w:style>
  <w:style w:type="character" w:customStyle="1" w:styleId="337">
    <w:name w:val="批注文字 Char"/>
    <w:semiHidden/>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uiPriority w:val="99"/>
    <w:rPr>
      <w:rFonts w:ascii="Arial" w:hAnsi="Arial" w:eastAsia="宋体" w:cs="Arial"/>
      <w:vanish/>
      <w:kern w:val="0"/>
      <w:sz w:val="16"/>
      <w:szCs w:val="16"/>
    </w:rPr>
  </w:style>
  <w:style w:type="character" w:customStyle="1" w:styleId="341">
    <w:name w:val="未处理的提及1"/>
    <w:basedOn w:val="46"/>
    <w:semiHidden/>
    <w:unhideWhenUsed/>
    <w:qFormat/>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uiPriority w:val="0"/>
    <w:rPr>
      <w:rFonts w:ascii="Times New Roman" w:hAnsi="Times New Roman" w:eastAsia="宋体" w:cs="Times New Roman"/>
      <w:szCs w:val="24"/>
    </w:rPr>
  </w:style>
  <w:style w:type="character" w:customStyle="1" w:styleId="344">
    <w:name w:val="批注文字 字符"/>
    <w:basedOn w:val="46"/>
    <w:uiPriority w:val="99"/>
  </w:style>
  <w:style w:type="character" w:customStyle="1" w:styleId="345">
    <w:name w:val="批注主题 字符"/>
    <w:basedOn w:val="344"/>
    <w:semiHidden/>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uiPriority w:val="99"/>
    <w:rPr>
      <w:color w:val="605E5C"/>
      <w:shd w:val="clear" w:color="auto" w:fill="E1DFDD"/>
    </w:rPr>
  </w:style>
  <w:style w:type="character" w:customStyle="1" w:styleId="348">
    <w:name w:val="未处理的提及4"/>
    <w:basedOn w:val="46"/>
    <w:semiHidden/>
    <w:unhideWhenUsed/>
    <w:qFormat/>
    <w:uiPriority w:val="99"/>
    <w:rPr>
      <w:color w:val="605E5C"/>
      <w:shd w:val="clear" w:color="auto" w:fill="E1DFDD"/>
    </w:rPr>
  </w:style>
  <w:style w:type="paragraph" w:customStyle="1" w:styleId="349">
    <w:name w:val="段"/>
    <w:basedOn w:val="1"/>
    <w:link w:val="351"/>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uiPriority w:val="0"/>
    <w:pPr>
      <w:jc w:val="left"/>
    </w:pPr>
    <w:rPr>
      <w:rFonts w:ascii="宋体" w:hAnsi="宋体" w:eastAsia="宋体" w:cs="宋体"/>
      <w:kern w:val="0"/>
      <w:sz w:val="24"/>
      <w:szCs w:val="24"/>
    </w:rPr>
  </w:style>
  <w:style w:type="character" w:customStyle="1" w:styleId="351">
    <w:name w:val="段 Char1"/>
    <w:basedOn w:val="46"/>
    <w:link w:val="349"/>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qFormat/>
    <w:uiPriority w:val="99"/>
    <w:rPr>
      <w:color w:val="605E5C"/>
      <w:shd w:val="clear" w:color="auto" w:fill="E1DFDD"/>
    </w:rPr>
  </w:style>
  <w:style w:type="character" w:customStyle="1" w:styleId="353">
    <w:name w:val="Unresolved Mention"/>
    <w:basedOn w:val="46"/>
    <w:semiHidden/>
    <w:unhideWhenUsed/>
    <w:qFormat/>
    <w:uiPriority w:val="99"/>
    <w:rPr>
      <w:color w:val="605E5C"/>
      <w:shd w:val="clear" w:color="auto" w:fill="E1DFDD"/>
    </w:rPr>
  </w:style>
  <w:style w:type="table" w:customStyle="1" w:styleId="354">
    <w:name w:val="网格型3"/>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customStyle="1" w:styleId="355">
    <w:name w:val="网格型2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
    <w:name w:val="网格型1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emf"/><Relationship Id="rId15" Type="http://schemas.openxmlformats.org/officeDocument/2006/relationships/image" Target="media/image4.wmf"/><Relationship Id="rId14" Type="http://schemas.openxmlformats.org/officeDocument/2006/relationships/oleObject" Target="embeddings/oleObject2.bin"/><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864231-2EE6-4323-B137-BBE324533C57}">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54</Pages>
  <Words>5028</Words>
  <Characters>28663</Characters>
  <Lines>238</Lines>
  <Paragraphs>67</Paragraphs>
  <TotalTime>80</TotalTime>
  <ScaleCrop>false</ScaleCrop>
  <LinksUpToDate>false</LinksUpToDate>
  <CharactersWithSpaces>33624</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2019-12-17T03:53:00Z</dcterms:created>
  <dc:creator>Administrator</dc:creator>
  <cp:lastModifiedBy>ynfyzfb</cp:lastModifiedBy>
  <cp:lastPrinted>2019-09-29T02:51:00Z</cp:lastPrinted>
  <dcterms:modified xsi:type="dcterms:W3CDTF">2020-11-05T09:34:54Z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