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5"/>
        <w:spacing w:line="360" w:lineRule="auto"/>
        <w:ind w:left="357" w:firstLine="0" w:firstLineChars="0"/>
        <w:jc w:val="center"/>
        <w:rPr>
          <w:rFonts w:ascii="仿宋" w:hAnsi="仿宋" w:eastAsia="仿宋" w:cs="Times New Roman"/>
          <w:b/>
          <w:color w:val="0D0D0D" w:themeColor="text1" w:themeTint="F2"/>
          <w:sz w:val="44"/>
          <w:szCs w:val="44"/>
          <w14:textFill>
            <w14:solidFill>
              <w14:schemeClr w14:val="tx1">
                <w14:lumMod w14:val="95000"/>
                <w14:lumOff w14:val="5000"/>
              </w14:schemeClr>
            </w14:solidFill>
          </w14:textFill>
        </w:rPr>
      </w:pPr>
    </w:p>
    <w:p>
      <w:pPr>
        <w:pStyle w:val="55"/>
        <w:spacing w:line="360" w:lineRule="auto"/>
        <w:ind w:left="357" w:firstLine="0" w:firstLineChars="0"/>
        <w:jc w:val="center"/>
        <w:rPr>
          <w:rFonts w:ascii="仿宋" w:hAnsi="仿宋" w:eastAsia="仿宋" w:cs="Times New Roman"/>
          <w:b/>
          <w:color w:val="0D0D0D" w:themeColor="text1" w:themeTint="F2"/>
          <w:sz w:val="44"/>
          <w:szCs w:val="44"/>
          <w14:textFill>
            <w14:solidFill>
              <w14:schemeClr w14:val="tx1">
                <w14:lumMod w14:val="95000"/>
                <w14:lumOff w14:val="5000"/>
              </w14:schemeClr>
            </w14:solidFill>
          </w14:textFill>
        </w:rPr>
      </w:pPr>
    </w:p>
    <w:p>
      <w:pPr>
        <w:pStyle w:val="55"/>
        <w:spacing w:line="360" w:lineRule="auto"/>
        <w:ind w:left="357" w:firstLine="0" w:firstLineChars="0"/>
        <w:jc w:val="center"/>
        <w:rPr>
          <w:rFonts w:ascii="仿宋" w:hAnsi="仿宋" w:eastAsia="仿宋" w:cs="Times New Roman"/>
          <w:b/>
          <w:color w:val="0D0D0D" w:themeColor="text1" w:themeTint="F2"/>
          <w:sz w:val="44"/>
          <w:szCs w:val="44"/>
          <w14:textFill>
            <w14:solidFill>
              <w14:schemeClr w14:val="tx1">
                <w14:lumMod w14:val="95000"/>
                <w14:lumOff w14:val="5000"/>
              </w14:schemeClr>
            </w14:solidFill>
          </w14:textFill>
        </w:rPr>
      </w:pPr>
    </w:p>
    <w:p>
      <w:pPr>
        <w:pStyle w:val="55"/>
        <w:adjustRightInd w:val="0"/>
        <w:snapToGrid w:val="0"/>
        <w:spacing w:line="360" w:lineRule="auto"/>
        <w:ind w:firstLine="0" w:firstLineChars="0"/>
        <w:jc w:val="center"/>
        <w:rPr>
          <w:rFonts w:ascii="仿宋" w:hAnsi="仿宋" w:eastAsia="仿宋" w:cs="Times New Roman"/>
          <w:b/>
          <w:color w:val="0D0D0D" w:themeColor="text1" w:themeTint="F2"/>
          <w:sz w:val="44"/>
          <w:szCs w:val="44"/>
          <w14:textFill>
            <w14:solidFill>
              <w14:schemeClr w14:val="tx1">
                <w14:lumMod w14:val="95000"/>
                <w14:lumOff w14:val="5000"/>
              </w14:schemeClr>
            </w14:solidFill>
          </w14:textFill>
        </w:rPr>
      </w:pPr>
      <w:bookmarkStart w:id="0" w:name="_Toc478744137"/>
      <w:r>
        <w:rPr>
          <w:rFonts w:hint="eastAsia" w:ascii="仿宋" w:hAnsi="仿宋" w:eastAsia="仿宋" w:cs="Times New Roman"/>
          <w:b/>
          <w:color w:val="0D0D0D" w:themeColor="text1" w:themeTint="F2"/>
          <w:sz w:val="44"/>
          <w:szCs w:val="44"/>
          <w14:textFill>
            <w14:solidFill>
              <w14:schemeClr w14:val="tx1">
                <w14:lumMod w14:val="95000"/>
                <w14:lumOff w14:val="5000"/>
              </w14:schemeClr>
            </w14:solidFill>
          </w14:textFill>
        </w:rPr>
        <w:t>曲靖市富源县</w:t>
      </w:r>
      <w:bookmarkStart w:id="227" w:name="_GoBack"/>
      <w:r>
        <w:rPr>
          <w:rFonts w:hint="eastAsia" w:ascii="仿宋" w:hAnsi="仿宋" w:eastAsia="仿宋" w:cs="Times New Roman"/>
          <w:b/>
          <w:color w:val="0D0D0D" w:themeColor="text1" w:themeTint="F2"/>
          <w:sz w:val="44"/>
          <w:szCs w:val="44"/>
          <w14:textFill>
            <w14:solidFill>
              <w14:schemeClr w14:val="tx1">
                <w14:lumMod w14:val="95000"/>
                <w14:lumOff w14:val="5000"/>
              </w14:schemeClr>
            </w14:solidFill>
          </w14:textFill>
        </w:rPr>
        <w:t>富村镇亦佐</w:t>
      </w:r>
      <w:r>
        <w:rPr>
          <w:rFonts w:ascii="仿宋" w:hAnsi="仿宋" w:eastAsia="仿宋" w:cs="Times New Roman"/>
          <w:b/>
          <w:color w:val="0D0D0D" w:themeColor="text1" w:themeTint="F2"/>
          <w:sz w:val="44"/>
          <w:szCs w:val="44"/>
          <w14:textFill>
            <w14:solidFill>
              <w14:schemeClr w14:val="tx1">
                <w14:lumMod w14:val="95000"/>
                <w14:lumOff w14:val="5000"/>
              </w14:schemeClr>
            </w14:solidFill>
          </w14:textFill>
        </w:rPr>
        <w:t>水库</w:t>
      </w:r>
      <w:bookmarkEnd w:id="227"/>
      <w:r>
        <w:rPr>
          <w:rFonts w:hint="eastAsia" w:ascii="仿宋" w:hAnsi="仿宋" w:eastAsia="仿宋" w:cs="Times New Roman"/>
          <w:b/>
          <w:color w:val="0D0D0D" w:themeColor="text1" w:themeTint="F2"/>
          <w:sz w:val="44"/>
          <w:szCs w:val="44"/>
          <w14:textFill>
            <w14:solidFill>
              <w14:schemeClr w14:val="tx1">
                <w14:lumMod w14:val="95000"/>
                <w14:lumOff w14:val="5000"/>
              </w14:schemeClr>
            </w14:solidFill>
          </w14:textFill>
        </w:rPr>
        <w:t>饮用水</w:t>
      </w:r>
    </w:p>
    <w:p>
      <w:pPr>
        <w:pStyle w:val="55"/>
        <w:adjustRightInd w:val="0"/>
        <w:snapToGrid w:val="0"/>
        <w:spacing w:line="360" w:lineRule="auto"/>
        <w:ind w:firstLine="0" w:firstLineChars="0"/>
        <w:jc w:val="center"/>
        <w:rPr>
          <w:rFonts w:ascii="仿宋" w:hAnsi="仿宋" w:eastAsia="仿宋" w:cs="Times New Roman"/>
          <w:b/>
          <w:color w:val="0D0D0D" w:themeColor="text1" w:themeTint="F2"/>
          <w:sz w:val="44"/>
          <w:szCs w:val="44"/>
          <w14:textFill>
            <w14:solidFill>
              <w14:schemeClr w14:val="tx1">
                <w14:lumMod w14:val="95000"/>
                <w14:lumOff w14:val="5000"/>
              </w14:schemeClr>
            </w14:solidFill>
          </w14:textFill>
        </w:rPr>
      </w:pPr>
      <w:r>
        <w:rPr>
          <w:rFonts w:hint="eastAsia" w:ascii="仿宋" w:hAnsi="仿宋" w:eastAsia="仿宋" w:cs="Times New Roman"/>
          <w:b/>
          <w:color w:val="0D0D0D" w:themeColor="text1" w:themeTint="F2"/>
          <w:sz w:val="44"/>
          <w:szCs w:val="44"/>
          <w14:textFill>
            <w14:solidFill>
              <w14:schemeClr w14:val="tx1">
                <w14:lumMod w14:val="95000"/>
                <w14:lumOff w14:val="5000"/>
              </w14:schemeClr>
            </w14:solidFill>
          </w14:textFill>
        </w:rPr>
        <w:t>水源保护区划分方案</w:t>
      </w:r>
    </w:p>
    <w:p>
      <w:pPr>
        <w:pStyle w:val="55"/>
        <w:adjustRightInd w:val="0"/>
        <w:snapToGrid w:val="0"/>
        <w:spacing w:line="360" w:lineRule="auto"/>
        <w:ind w:firstLine="0" w:firstLineChars="0"/>
        <w:jc w:val="center"/>
        <w:rPr>
          <w:rFonts w:eastAsia="仿宋"/>
          <w:b/>
          <w:color w:val="0D0D0D" w:themeColor="text1" w:themeTint="F2"/>
          <w:sz w:val="36"/>
          <w:szCs w:val="36"/>
          <w14:textFill>
            <w14:solidFill>
              <w14:schemeClr w14:val="tx1">
                <w14:lumMod w14:val="95000"/>
                <w14:lumOff w14:val="5000"/>
              </w14:schemeClr>
            </w14:solidFill>
          </w14:textFill>
        </w:rPr>
      </w:pPr>
      <w:r>
        <w:rPr>
          <w:rFonts w:hint="eastAsia" w:eastAsia="仿宋"/>
          <w:b/>
          <w:color w:val="0D0D0D" w:themeColor="text1" w:themeTint="F2"/>
          <w:sz w:val="36"/>
          <w:szCs w:val="36"/>
          <w14:textFill>
            <w14:solidFill>
              <w14:schemeClr w14:val="tx1">
                <w14:lumMod w14:val="95000"/>
                <w14:lumOff w14:val="5000"/>
              </w14:schemeClr>
            </w14:solidFill>
          </w14:textFill>
        </w:rPr>
        <w:t>（报批稿）</w:t>
      </w:r>
    </w:p>
    <w:p>
      <w:pPr>
        <w:pStyle w:val="55"/>
        <w:spacing w:line="360" w:lineRule="auto"/>
        <w:ind w:firstLine="0" w:firstLineChars="0"/>
        <w:jc w:val="center"/>
        <w:rPr>
          <w:rFonts w:eastAsia="仿宋"/>
          <w:b/>
          <w:color w:val="0D0D0D" w:themeColor="text1" w:themeTint="F2"/>
          <w:sz w:val="32"/>
          <w:szCs w:val="24"/>
          <w14:textFill>
            <w14:solidFill>
              <w14:schemeClr w14:val="tx1">
                <w14:lumMod w14:val="95000"/>
                <w14:lumOff w14:val="5000"/>
              </w14:schemeClr>
            </w14:solidFill>
          </w14:textFill>
        </w:rPr>
      </w:pPr>
    </w:p>
    <w:p>
      <w:pPr>
        <w:pStyle w:val="55"/>
        <w:spacing w:line="360" w:lineRule="auto"/>
        <w:ind w:firstLine="0" w:firstLineChars="0"/>
        <w:jc w:val="center"/>
        <w:rPr>
          <w:rFonts w:eastAsia="仿宋"/>
          <w:b/>
          <w:color w:val="0D0D0D" w:themeColor="text1" w:themeTint="F2"/>
          <w:sz w:val="32"/>
          <w:szCs w:val="24"/>
          <w14:textFill>
            <w14:solidFill>
              <w14:schemeClr w14:val="tx1">
                <w14:lumMod w14:val="95000"/>
                <w14:lumOff w14:val="5000"/>
              </w14:schemeClr>
            </w14:solidFill>
          </w14:textFill>
        </w:rPr>
      </w:pPr>
    </w:p>
    <w:p>
      <w:pPr>
        <w:pStyle w:val="55"/>
        <w:spacing w:line="360" w:lineRule="auto"/>
        <w:ind w:firstLine="0" w:firstLineChars="0"/>
        <w:jc w:val="center"/>
        <w:rPr>
          <w:rFonts w:eastAsia="仿宋"/>
          <w:b/>
          <w:color w:val="0D0D0D" w:themeColor="text1" w:themeTint="F2"/>
          <w:sz w:val="32"/>
          <w:szCs w:val="24"/>
          <w14:textFill>
            <w14:solidFill>
              <w14:schemeClr w14:val="tx1">
                <w14:lumMod w14:val="95000"/>
                <w14:lumOff w14:val="5000"/>
              </w14:schemeClr>
            </w14:solidFill>
          </w14:textFill>
        </w:rPr>
      </w:pPr>
    </w:p>
    <w:p>
      <w:pPr>
        <w:pStyle w:val="55"/>
        <w:spacing w:line="360" w:lineRule="auto"/>
        <w:ind w:firstLine="0" w:firstLineChars="0"/>
        <w:jc w:val="center"/>
        <w:rPr>
          <w:rFonts w:eastAsia="仿宋"/>
          <w:b/>
          <w:color w:val="0D0D0D" w:themeColor="text1" w:themeTint="F2"/>
          <w:sz w:val="32"/>
          <w:szCs w:val="24"/>
          <w14:textFill>
            <w14:solidFill>
              <w14:schemeClr w14:val="tx1">
                <w14:lumMod w14:val="95000"/>
                <w14:lumOff w14:val="5000"/>
              </w14:schemeClr>
            </w14:solidFill>
          </w14:textFill>
        </w:rPr>
      </w:pPr>
    </w:p>
    <w:p>
      <w:pPr>
        <w:pStyle w:val="55"/>
        <w:spacing w:line="360" w:lineRule="auto"/>
        <w:ind w:firstLine="0" w:firstLineChars="0"/>
        <w:jc w:val="center"/>
        <w:rPr>
          <w:rFonts w:eastAsia="仿宋"/>
          <w:b/>
          <w:color w:val="0D0D0D" w:themeColor="text1" w:themeTint="F2"/>
          <w:sz w:val="32"/>
          <w:szCs w:val="24"/>
          <w14:textFill>
            <w14:solidFill>
              <w14:schemeClr w14:val="tx1">
                <w14:lumMod w14:val="95000"/>
                <w14:lumOff w14:val="5000"/>
              </w14:schemeClr>
            </w14:solidFill>
          </w14:textFill>
        </w:rPr>
      </w:pPr>
    </w:p>
    <w:p>
      <w:pPr>
        <w:pStyle w:val="55"/>
        <w:spacing w:line="360" w:lineRule="auto"/>
        <w:ind w:firstLine="0" w:firstLineChars="0"/>
        <w:jc w:val="center"/>
        <w:rPr>
          <w:rFonts w:eastAsia="仿宋"/>
          <w:b/>
          <w:color w:val="0D0D0D" w:themeColor="text1" w:themeTint="F2"/>
          <w:sz w:val="32"/>
          <w:szCs w:val="24"/>
          <w14:textFill>
            <w14:solidFill>
              <w14:schemeClr w14:val="tx1">
                <w14:lumMod w14:val="95000"/>
                <w14:lumOff w14:val="5000"/>
              </w14:schemeClr>
            </w14:solidFill>
          </w14:textFill>
        </w:rPr>
      </w:pPr>
    </w:p>
    <w:p>
      <w:pPr>
        <w:pStyle w:val="55"/>
        <w:tabs>
          <w:tab w:val="left" w:pos="2472"/>
          <w:tab w:val="left" w:pos="3586"/>
          <w:tab w:val="center" w:pos="4331"/>
        </w:tabs>
        <w:spacing w:line="360" w:lineRule="auto"/>
        <w:ind w:firstLine="0" w:firstLineChars="0"/>
        <w:jc w:val="center"/>
        <w:rPr>
          <w:rFonts w:eastAsia="仿宋"/>
          <w:b/>
          <w:color w:val="0D0D0D" w:themeColor="text1" w:themeTint="F2"/>
          <w:sz w:val="32"/>
          <w:szCs w:val="24"/>
          <w14:textFill>
            <w14:solidFill>
              <w14:schemeClr w14:val="tx1">
                <w14:lumMod w14:val="95000"/>
                <w14:lumOff w14:val="5000"/>
              </w14:schemeClr>
            </w14:solidFill>
          </w14:textFill>
        </w:rPr>
      </w:pPr>
      <w:r>
        <w:rPr>
          <w:rFonts w:eastAsia="仿宋"/>
          <w:b/>
          <w:color w:val="0D0D0D" w:themeColor="text1" w:themeTint="F2"/>
          <w:sz w:val="32"/>
          <w:szCs w:val="24"/>
          <w14:textFill>
            <w14:solidFill>
              <w14:schemeClr w14:val="tx1">
                <w14:lumMod w14:val="95000"/>
                <w14:lumOff w14:val="5000"/>
              </w14:schemeClr>
            </w14:solidFill>
          </w14:textFill>
        </w:rPr>
        <w:tab/>
      </w:r>
      <w:r>
        <w:rPr>
          <w:rFonts w:eastAsia="仿宋"/>
          <w:b/>
          <w:color w:val="0D0D0D" w:themeColor="text1" w:themeTint="F2"/>
          <w:sz w:val="32"/>
          <w:szCs w:val="24"/>
          <w14:textFill>
            <w14:solidFill>
              <w14:schemeClr w14:val="tx1">
                <w14:lumMod w14:val="95000"/>
                <w14:lumOff w14:val="5000"/>
              </w14:schemeClr>
            </w14:solidFill>
          </w14:textFill>
        </w:rPr>
        <w:tab/>
      </w:r>
      <w:r>
        <w:rPr>
          <w:rFonts w:eastAsia="仿宋"/>
          <w:b/>
          <w:color w:val="0D0D0D" w:themeColor="text1" w:themeTint="F2"/>
          <w:sz w:val="32"/>
          <w:szCs w:val="24"/>
          <w14:textFill>
            <w14:solidFill>
              <w14:schemeClr w14:val="tx1">
                <w14:lumMod w14:val="95000"/>
                <w14:lumOff w14:val="5000"/>
              </w14:schemeClr>
            </w14:solidFill>
          </w14:textFill>
        </w:rPr>
        <w:tab/>
      </w:r>
    </w:p>
    <w:p>
      <w:pPr>
        <w:pStyle w:val="55"/>
        <w:spacing w:line="360" w:lineRule="auto"/>
        <w:ind w:firstLine="0" w:firstLineChars="0"/>
        <w:jc w:val="center"/>
        <w:rPr>
          <w:rFonts w:eastAsia="仿宋"/>
          <w:b/>
          <w:color w:val="0D0D0D" w:themeColor="text1" w:themeTint="F2"/>
          <w:sz w:val="32"/>
          <w:szCs w:val="24"/>
          <w14:textFill>
            <w14:solidFill>
              <w14:schemeClr w14:val="tx1">
                <w14:lumMod w14:val="95000"/>
                <w14:lumOff w14:val="5000"/>
              </w14:schemeClr>
            </w14:solidFill>
          </w14:textFill>
        </w:rPr>
      </w:pPr>
    </w:p>
    <w:p>
      <w:pPr>
        <w:pStyle w:val="55"/>
        <w:spacing w:line="360" w:lineRule="auto"/>
        <w:ind w:firstLine="0" w:firstLineChars="0"/>
        <w:jc w:val="center"/>
        <w:rPr>
          <w:rFonts w:eastAsia="仿宋"/>
          <w:b/>
          <w:color w:val="0D0D0D" w:themeColor="text1" w:themeTint="F2"/>
          <w:sz w:val="32"/>
          <w:szCs w:val="24"/>
          <w14:textFill>
            <w14:solidFill>
              <w14:schemeClr w14:val="tx1">
                <w14:lumMod w14:val="95000"/>
                <w14:lumOff w14:val="5000"/>
              </w14:schemeClr>
            </w14:solidFill>
          </w14:textFill>
        </w:rPr>
      </w:pPr>
    </w:p>
    <w:p>
      <w:pPr>
        <w:pStyle w:val="55"/>
        <w:spacing w:line="360" w:lineRule="auto"/>
        <w:ind w:firstLine="0" w:firstLineChars="0"/>
        <w:jc w:val="center"/>
        <w:rPr>
          <w:rFonts w:eastAsia="仿宋"/>
          <w:b/>
          <w:color w:val="0D0D0D" w:themeColor="text1" w:themeTint="F2"/>
          <w:sz w:val="32"/>
          <w:szCs w:val="24"/>
          <w14:textFill>
            <w14:solidFill>
              <w14:schemeClr w14:val="tx1">
                <w14:lumMod w14:val="95000"/>
                <w14:lumOff w14:val="5000"/>
              </w14:schemeClr>
            </w14:solidFill>
          </w14:textFill>
        </w:rPr>
      </w:pPr>
    </w:p>
    <w:p>
      <w:pPr>
        <w:pStyle w:val="55"/>
        <w:spacing w:line="360" w:lineRule="auto"/>
        <w:ind w:firstLine="0" w:firstLineChars="0"/>
        <w:jc w:val="center"/>
        <w:rPr>
          <w:rFonts w:eastAsia="仿宋"/>
          <w:b/>
          <w:color w:val="0D0D0D" w:themeColor="text1" w:themeTint="F2"/>
          <w:sz w:val="32"/>
          <w:szCs w:val="24"/>
          <w14:textFill>
            <w14:solidFill>
              <w14:schemeClr w14:val="tx1">
                <w14:lumMod w14:val="95000"/>
                <w14:lumOff w14:val="5000"/>
              </w14:schemeClr>
            </w14:solidFill>
          </w14:textFill>
        </w:rPr>
      </w:pPr>
    </w:p>
    <w:p>
      <w:pPr>
        <w:pStyle w:val="55"/>
        <w:spacing w:line="360" w:lineRule="auto"/>
        <w:ind w:firstLine="0" w:firstLineChars="0"/>
        <w:jc w:val="center"/>
        <w:rPr>
          <w:rFonts w:eastAsia="仿宋"/>
          <w:b/>
          <w:color w:val="0D0D0D" w:themeColor="text1" w:themeTint="F2"/>
          <w:sz w:val="32"/>
          <w:szCs w:val="24"/>
          <w14:textFill>
            <w14:solidFill>
              <w14:schemeClr w14:val="tx1">
                <w14:lumMod w14:val="95000"/>
                <w14:lumOff w14:val="5000"/>
              </w14:schemeClr>
            </w14:solidFill>
          </w14:textFill>
        </w:rPr>
      </w:pPr>
    </w:p>
    <w:p>
      <w:pPr>
        <w:pStyle w:val="55"/>
        <w:spacing w:line="360" w:lineRule="auto"/>
        <w:ind w:firstLine="0" w:firstLineChars="0"/>
        <w:jc w:val="center"/>
        <w:rPr>
          <w:rFonts w:ascii="Times New Roman" w:hAnsi="Times New Roman" w:eastAsia="仿宋"/>
          <w:b/>
          <w:color w:val="0D0D0D" w:themeColor="text1" w:themeTint="F2"/>
          <w:sz w:val="32"/>
          <w:szCs w:val="24"/>
          <w14:textFill>
            <w14:solidFill>
              <w14:schemeClr w14:val="tx1">
                <w14:lumMod w14:val="95000"/>
                <w14:lumOff w14:val="5000"/>
              </w14:schemeClr>
            </w14:solidFill>
          </w14:textFill>
        </w:rPr>
      </w:pPr>
      <w:r>
        <w:rPr>
          <w:rFonts w:hint="eastAsia" w:ascii="Times New Roman" w:hAnsi="Times New Roman" w:eastAsia="仿宋"/>
          <w:b/>
          <w:color w:val="0D0D0D" w:themeColor="text1" w:themeTint="F2"/>
          <w:sz w:val="32"/>
          <w:szCs w:val="24"/>
          <w14:textFill>
            <w14:solidFill>
              <w14:schemeClr w14:val="tx1">
                <w14:lumMod w14:val="95000"/>
                <w14:lumOff w14:val="5000"/>
              </w14:schemeClr>
            </w14:solidFill>
          </w14:textFill>
        </w:rPr>
        <w:t>富源县人民政府</w:t>
      </w:r>
    </w:p>
    <w:p>
      <w:pPr>
        <w:jc w:val="center"/>
        <w:rPr>
          <w:rFonts w:ascii="Times New Roman" w:hAnsi="Times New Roman" w:eastAsia="仿宋"/>
          <w:b/>
          <w:color w:val="0D0D0D" w:themeColor="text1" w:themeTint="F2"/>
          <w:sz w:val="32"/>
          <w:szCs w:val="24"/>
          <w14:textFill>
            <w14:solidFill>
              <w14:schemeClr w14:val="tx1">
                <w14:lumMod w14:val="95000"/>
                <w14:lumOff w14:val="5000"/>
              </w14:schemeClr>
            </w14:solidFill>
          </w14:textFill>
        </w:rPr>
      </w:pPr>
      <w:r>
        <w:rPr>
          <w:rFonts w:ascii="Times New Roman" w:hAnsi="Times New Roman" w:eastAsia="仿宋"/>
          <w:b/>
          <w:color w:val="0D0D0D" w:themeColor="text1" w:themeTint="F2"/>
          <w:sz w:val="32"/>
          <w:szCs w:val="24"/>
          <w14:textFill>
            <w14:solidFill>
              <w14:schemeClr w14:val="tx1">
                <w14:lumMod w14:val="95000"/>
                <w14:lumOff w14:val="5000"/>
              </w14:schemeClr>
            </w14:solidFill>
          </w14:textFill>
        </w:rPr>
        <w:t>201</w:t>
      </w:r>
      <w:r>
        <w:rPr>
          <w:rFonts w:hint="eastAsia" w:ascii="Times New Roman" w:hAnsi="Times New Roman" w:eastAsia="仿宋"/>
          <w:b/>
          <w:color w:val="0D0D0D" w:themeColor="text1" w:themeTint="F2"/>
          <w:sz w:val="32"/>
          <w:szCs w:val="24"/>
          <w14:textFill>
            <w14:solidFill>
              <w14:schemeClr w14:val="tx1">
                <w14:lumMod w14:val="95000"/>
                <w14:lumOff w14:val="5000"/>
              </w14:schemeClr>
            </w14:solidFill>
          </w14:textFill>
        </w:rPr>
        <w:t>9</w:t>
      </w:r>
      <w:r>
        <w:rPr>
          <w:rFonts w:ascii="Times New Roman" w:hAnsi="Times New Roman" w:eastAsia="仿宋"/>
          <w:b/>
          <w:color w:val="0D0D0D" w:themeColor="text1" w:themeTint="F2"/>
          <w:sz w:val="32"/>
          <w:szCs w:val="24"/>
          <w14:textFill>
            <w14:solidFill>
              <w14:schemeClr w14:val="tx1">
                <w14:lumMod w14:val="95000"/>
                <w14:lumOff w14:val="5000"/>
              </w14:schemeClr>
            </w14:solidFill>
          </w14:textFill>
        </w:rPr>
        <w:t>年12月</w:t>
      </w:r>
    </w:p>
    <w:p>
      <w:pPr>
        <w:jc w:val="center"/>
        <w:rPr>
          <w:rFonts w:eastAsia="仿宋"/>
          <w:b/>
          <w:color w:val="0D0D0D" w:themeColor="text1" w:themeTint="F2"/>
          <w:sz w:val="32"/>
          <w:szCs w:val="24"/>
          <w14:textFill>
            <w14:solidFill>
              <w14:schemeClr w14:val="tx1">
                <w14:lumMod w14:val="95000"/>
                <w14:lumOff w14:val="5000"/>
              </w14:schemeClr>
            </w14:solidFill>
          </w14:textFill>
        </w:rPr>
      </w:pPr>
    </w:p>
    <w:p>
      <w:pPr>
        <w:jc w:val="center"/>
        <w:rPr>
          <w:rFonts w:eastAsia="仿宋"/>
          <w:b/>
          <w:color w:val="0D0D0D" w:themeColor="text1" w:themeTint="F2"/>
          <w:sz w:val="32"/>
          <w:szCs w:val="24"/>
          <w14:textFill>
            <w14:solidFill>
              <w14:schemeClr w14:val="tx1">
                <w14:lumMod w14:val="95000"/>
                <w14:lumOff w14:val="5000"/>
              </w14:schemeClr>
            </w14:solidFill>
          </w14:textFill>
        </w:rPr>
      </w:pPr>
    </w:p>
    <w:p>
      <w:pPr>
        <w:jc w:val="center"/>
        <w:rPr>
          <w:rFonts w:eastAsia="仿宋"/>
          <w:b/>
          <w:color w:val="0D0D0D" w:themeColor="text1" w:themeTint="F2"/>
          <w:sz w:val="32"/>
          <w:szCs w:val="24"/>
          <w14:textFill>
            <w14:solidFill>
              <w14:schemeClr w14:val="tx1">
                <w14:lumMod w14:val="95000"/>
                <w14:lumOff w14:val="5000"/>
              </w14:schemeClr>
            </w14:solidFill>
          </w14:textFill>
        </w:rPr>
      </w:pPr>
    </w:p>
    <w:p>
      <w:pPr>
        <w:widowControl/>
        <w:jc w:val="left"/>
        <w:rPr>
          <w:rFonts w:eastAsia="仿宋"/>
          <w:b/>
          <w:color w:val="0D0D0D" w:themeColor="text1" w:themeTint="F2"/>
          <w:sz w:val="32"/>
          <w:szCs w:val="24"/>
          <w14:textFill>
            <w14:solidFill>
              <w14:schemeClr w14:val="tx1">
                <w14:lumMod w14:val="95000"/>
                <w14:lumOff w14:val="5000"/>
              </w14:schemeClr>
            </w14:solidFill>
          </w14:textFill>
        </w:rPr>
      </w:pPr>
      <w:r>
        <w:rPr>
          <w:rFonts w:eastAsia="仿宋"/>
          <w:b/>
          <w:color w:val="0D0D0D" w:themeColor="text1" w:themeTint="F2"/>
          <w:sz w:val="32"/>
          <w:szCs w:val="24"/>
          <w14:textFill>
            <w14:solidFill>
              <w14:schemeClr w14:val="tx1">
                <w14:lumMod w14:val="95000"/>
                <w14:lumOff w14:val="5000"/>
              </w14:schemeClr>
            </w14:solidFill>
          </w14:textFill>
        </w:rPr>
        <w:br w:type="page"/>
      </w:r>
    </w:p>
    <w:p>
      <w:pPr>
        <w:tabs>
          <w:tab w:val="left" w:pos="15660"/>
        </w:tabs>
        <w:spacing w:line="700" w:lineRule="exact"/>
        <w:rPr>
          <w:rFonts w:ascii="Times New Roman" w:hAnsi="Times New Roman" w:eastAsia="仿宋_GB2312" w:cs="Times New Roman"/>
          <w:color w:val="0D0D0D" w:themeColor="text1" w:themeTint="F2"/>
          <w:spacing w:val="6"/>
          <w:w w:val="102"/>
          <w:sz w:val="36"/>
          <w:szCs w:val="30"/>
          <w14:textFill>
            <w14:solidFill>
              <w14:schemeClr w14:val="tx1">
                <w14:lumMod w14:val="95000"/>
                <w14:lumOff w14:val="5000"/>
              </w14:schemeClr>
            </w14:solidFill>
          </w14:textFill>
        </w:rPr>
      </w:pPr>
      <w:bookmarkStart w:id="1" w:name="_Hlk528187490"/>
    </w:p>
    <w:p>
      <w:pPr>
        <w:tabs>
          <w:tab w:val="left" w:pos="15660"/>
        </w:tabs>
        <w:spacing w:line="700" w:lineRule="exact"/>
        <w:rPr>
          <w:rFonts w:ascii="Times New Roman" w:hAnsi="Times New Roman" w:eastAsia="仿宋_GB2312" w:cs="Times New Roman"/>
          <w:color w:val="0D0D0D" w:themeColor="text1" w:themeTint="F2"/>
          <w:spacing w:val="6"/>
          <w:w w:val="102"/>
          <w:sz w:val="32"/>
          <w:szCs w:val="30"/>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6"/>
          <w:w w:val="102"/>
          <w:sz w:val="32"/>
          <w:szCs w:val="30"/>
          <w14:textFill>
            <w14:solidFill>
              <w14:schemeClr w14:val="tx1">
                <w14:lumMod w14:val="95000"/>
                <w14:lumOff w14:val="5000"/>
              </w14:schemeClr>
            </w14:solidFill>
          </w14:textFill>
        </w:rPr>
        <w:t>主持</w:t>
      </w:r>
      <w:r>
        <w:rPr>
          <w:rFonts w:ascii="Times New Roman" w:hAnsi="Times New Roman" w:eastAsia="仿宋_GB2312" w:cs="Times New Roman"/>
          <w:color w:val="0D0D0D" w:themeColor="text1" w:themeTint="F2"/>
          <w:spacing w:val="6"/>
          <w:w w:val="102"/>
          <w:sz w:val="32"/>
          <w:szCs w:val="30"/>
          <w14:textFill>
            <w14:solidFill>
              <w14:schemeClr w14:val="tx1">
                <w14:lumMod w14:val="95000"/>
                <w14:lumOff w14:val="5000"/>
              </w14:schemeClr>
            </w14:solidFill>
          </w14:textFill>
        </w:rPr>
        <w:t>单位：</w:t>
      </w:r>
      <w:r>
        <w:rPr>
          <w:rFonts w:hint="eastAsia" w:ascii="Times New Roman" w:hAnsi="Times New Roman" w:eastAsia="仿宋_GB2312" w:cs="Times New Roman"/>
          <w:color w:val="0D0D0D" w:themeColor="text1" w:themeTint="F2"/>
          <w:spacing w:val="6"/>
          <w:w w:val="102"/>
          <w:sz w:val="32"/>
          <w:szCs w:val="30"/>
          <w14:textFill>
            <w14:solidFill>
              <w14:schemeClr w14:val="tx1">
                <w14:lumMod w14:val="95000"/>
                <w14:lumOff w14:val="5000"/>
              </w14:schemeClr>
            </w14:solidFill>
          </w14:textFill>
        </w:rPr>
        <w:t>富源县人民政府</w:t>
      </w:r>
    </w:p>
    <w:p>
      <w:pPr>
        <w:tabs>
          <w:tab w:val="left" w:pos="15660"/>
        </w:tabs>
        <w:spacing w:line="700" w:lineRule="exact"/>
        <w:rPr>
          <w:rFonts w:ascii="Times New Roman" w:hAnsi="Times New Roman" w:eastAsia="仿宋_GB2312" w:cs="Times New Roman"/>
          <w:color w:val="0D0D0D" w:themeColor="text1" w:themeTint="F2"/>
          <w:spacing w:val="6"/>
          <w:w w:val="102"/>
          <w:sz w:val="32"/>
          <w:szCs w:val="30"/>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6"/>
          <w:w w:val="102"/>
          <w:sz w:val="32"/>
          <w:szCs w:val="30"/>
          <w14:textFill>
            <w14:solidFill>
              <w14:schemeClr w14:val="tx1">
                <w14:lumMod w14:val="95000"/>
                <w14:lumOff w14:val="5000"/>
              </w14:schemeClr>
            </w14:solidFill>
          </w14:textFill>
        </w:rPr>
        <w:t>委托单位：富村镇人民政府</w:t>
      </w:r>
    </w:p>
    <w:p>
      <w:pPr>
        <w:tabs>
          <w:tab w:val="left" w:pos="15660"/>
        </w:tabs>
        <w:spacing w:line="700" w:lineRule="exact"/>
        <w:rPr>
          <w:rFonts w:ascii="Times New Roman" w:hAnsi="Times New Roman" w:eastAsia="仿宋_GB2312" w:cs="Times New Roman"/>
          <w:color w:val="0D0D0D" w:themeColor="text1" w:themeTint="F2"/>
          <w:spacing w:val="6"/>
          <w:w w:val="102"/>
          <w:sz w:val="32"/>
          <w:szCs w:val="30"/>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6"/>
          <w:w w:val="102"/>
          <w:sz w:val="32"/>
          <w:szCs w:val="30"/>
          <w14:textFill>
            <w14:solidFill>
              <w14:schemeClr w14:val="tx1">
                <w14:lumMod w14:val="95000"/>
                <w14:lumOff w14:val="5000"/>
              </w14:schemeClr>
            </w14:solidFill>
          </w14:textFill>
        </w:rPr>
        <w:t>编制单位：云南新世纪环境保护科学研究院</w:t>
      </w:r>
    </w:p>
    <w:p>
      <w:pPr>
        <w:tabs>
          <w:tab w:val="left" w:pos="15660"/>
        </w:tabs>
        <w:spacing w:line="700" w:lineRule="exact"/>
        <w:ind w:left="715" w:leftChars="338" w:hanging="5" w:hangingChars="2"/>
        <w:rPr>
          <w:rFonts w:ascii="Times New Roman" w:hAnsi="Times New Roman" w:eastAsia="仿宋_GB2312" w:cs="Times New Roman"/>
          <w:color w:val="0D0D0D" w:themeColor="text1" w:themeTint="F2"/>
          <w:sz w:val="28"/>
          <w:szCs w:val="24"/>
          <w14:textFill>
            <w14:solidFill>
              <w14:schemeClr w14:val="tx1">
                <w14:lumMod w14:val="95000"/>
                <w14:lumOff w14:val="5000"/>
              </w14:schemeClr>
            </w14:solidFill>
          </w14:textFill>
        </w:rPr>
      </w:pPr>
    </w:p>
    <w:p>
      <w:pPr>
        <w:tabs>
          <w:tab w:val="left" w:pos="15660"/>
        </w:tabs>
        <w:spacing w:line="700" w:lineRule="exact"/>
        <w:ind w:left="715" w:leftChars="338" w:hanging="5" w:hangingChars="2"/>
        <w:rPr>
          <w:rFonts w:ascii="Times New Roman" w:hAnsi="Times New Roman" w:eastAsia="仿宋_GB2312" w:cs="Times New Roman"/>
          <w:color w:val="0D0D0D" w:themeColor="text1" w:themeTint="F2"/>
          <w:sz w:val="28"/>
          <w:szCs w:val="24"/>
          <w14:textFill>
            <w14:solidFill>
              <w14:schemeClr w14:val="tx1">
                <w14:lumMod w14:val="95000"/>
                <w14:lumOff w14:val="5000"/>
              </w14:schemeClr>
            </w14:solidFill>
          </w14:textFill>
        </w:rPr>
      </w:pPr>
    </w:p>
    <w:tbl>
      <w:tblPr>
        <w:tblStyle w:val="45"/>
        <w:tblW w:w="7805" w:type="dxa"/>
        <w:tblInd w:w="4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11"/>
        <w:gridCol w:w="47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011" w:type="dxa"/>
          </w:tcPr>
          <w:p>
            <w:pPr>
              <w:tabs>
                <w:tab w:val="left" w:pos="15660"/>
              </w:tabs>
              <w:spacing w:line="700" w:lineRule="exact"/>
              <w:ind w:right="307" w:rightChars="146"/>
              <w:jc w:val="distribute"/>
              <w:rPr>
                <w:rFonts w:ascii="Times New Roman" w:hAnsi="Times New Roman" w:eastAsia="仿宋_GB2312" w:cs="Times New Roman"/>
                <w:color w:val="0D0D0D" w:themeColor="text1" w:themeTint="F2"/>
                <w:sz w:val="32"/>
                <w:szCs w:val="24"/>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z w:val="32"/>
                <w:szCs w:val="24"/>
                <w14:textFill>
                  <w14:solidFill>
                    <w14:schemeClr w14:val="tx1">
                      <w14:lumMod w14:val="95000"/>
                      <w14:lumOff w14:val="5000"/>
                    </w14:schemeClr>
                  </w14:solidFill>
                </w14:textFill>
              </w:rPr>
              <w:t>总工程师</w:t>
            </w:r>
            <w:r>
              <w:rPr>
                <w:rFonts w:ascii="Times New Roman" w:hAnsi="Times New Roman" w:eastAsia="仿宋_GB2312" w:cs="Times New Roman"/>
                <w:color w:val="0D0D0D" w:themeColor="text1" w:themeTint="F2"/>
                <w:sz w:val="32"/>
                <w:szCs w:val="24"/>
                <w14:textFill>
                  <w14:solidFill>
                    <w14:schemeClr w14:val="tx1">
                      <w14:lumMod w14:val="95000"/>
                      <w14:lumOff w14:val="5000"/>
                    </w14:schemeClr>
                  </w14:solidFill>
                </w14:textFill>
              </w:rPr>
              <w:t>：</w:t>
            </w:r>
          </w:p>
        </w:tc>
        <w:tc>
          <w:tcPr>
            <w:tcW w:w="4794" w:type="dxa"/>
          </w:tcPr>
          <w:p>
            <w:pPr>
              <w:tabs>
                <w:tab w:val="left" w:pos="15660"/>
              </w:tabs>
              <w:spacing w:line="700" w:lineRule="exact"/>
              <w:rPr>
                <w:rFonts w:ascii="Times New Roman" w:hAnsi="Times New Roman" w:eastAsia="仿宋_GB2312" w:cs="Times New Roman"/>
                <w:color w:val="0D0D0D" w:themeColor="text1" w:themeTint="F2"/>
                <w:sz w:val="32"/>
                <w:szCs w:val="24"/>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6"/>
                <w:w w:val="102"/>
                <w:sz w:val="32"/>
                <w:szCs w:val="30"/>
                <w14:textFill>
                  <w14:solidFill>
                    <w14:schemeClr w14:val="tx1">
                      <w14:lumMod w14:val="95000"/>
                      <w14:lumOff w14:val="5000"/>
                    </w14:schemeClr>
                  </w14:solidFill>
                </w14:textFill>
              </w:rPr>
              <w:t>李  唯（正</w:t>
            </w:r>
            <w:r>
              <w:rPr>
                <w:rFonts w:ascii="Times New Roman" w:hAnsi="Times New Roman" w:eastAsia="仿宋_GB2312" w:cs="Times New Roman"/>
                <w:color w:val="0D0D0D" w:themeColor="text1" w:themeTint="F2"/>
                <w:spacing w:val="6"/>
                <w:w w:val="102"/>
                <w:sz w:val="32"/>
                <w:szCs w:val="30"/>
                <w14:textFill>
                  <w14:solidFill>
                    <w14:schemeClr w14:val="tx1">
                      <w14:lumMod w14:val="95000"/>
                      <w14:lumOff w14:val="5000"/>
                    </w14:schemeClr>
                  </w14:solidFill>
                </w14:textFill>
              </w:rPr>
              <w:t>高级</w:t>
            </w:r>
            <w:r>
              <w:rPr>
                <w:rFonts w:hint="eastAsia" w:ascii="Times New Roman" w:hAnsi="Times New Roman" w:eastAsia="仿宋_GB2312" w:cs="Times New Roman"/>
                <w:color w:val="0D0D0D" w:themeColor="text1" w:themeTint="F2"/>
                <w:spacing w:val="6"/>
                <w:w w:val="102"/>
                <w:sz w:val="32"/>
                <w:szCs w:val="30"/>
                <w14:textFill>
                  <w14:solidFill>
                    <w14:schemeClr w14:val="tx1">
                      <w14:lumMod w14:val="95000"/>
                      <w14:lumOff w14:val="5000"/>
                    </w14:schemeClr>
                  </w14:solidFill>
                </w14:textFill>
              </w:rPr>
              <w:t>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011" w:type="dxa"/>
          </w:tcPr>
          <w:p>
            <w:pPr>
              <w:tabs>
                <w:tab w:val="left" w:pos="15660"/>
              </w:tabs>
              <w:spacing w:line="700" w:lineRule="exact"/>
              <w:ind w:right="307" w:rightChars="146"/>
              <w:jc w:val="distribute"/>
              <w:rPr>
                <w:rFonts w:ascii="Times New Roman" w:hAnsi="Times New Roman" w:eastAsia="仿宋_GB2312" w:cs="Times New Roman"/>
                <w:color w:val="0D0D0D" w:themeColor="text1" w:themeTint="F2"/>
                <w:sz w:val="32"/>
                <w:szCs w:val="24"/>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z w:val="32"/>
                <w:szCs w:val="24"/>
                <w14:textFill>
                  <w14:solidFill>
                    <w14:schemeClr w14:val="tx1">
                      <w14:lumMod w14:val="95000"/>
                      <w14:lumOff w14:val="5000"/>
                    </w14:schemeClr>
                  </w14:solidFill>
                </w14:textFill>
              </w:rPr>
              <w:t>审    定：</w:t>
            </w:r>
          </w:p>
        </w:tc>
        <w:tc>
          <w:tcPr>
            <w:tcW w:w="4794" w:type="dxa"/>
          </w:tcPr>
          <w:p>
            <w:pPr>
              <w:tabs>
                <w:tab w:val="left" w:pos="15660"/>
              </w:tabs>
              <w:spacing w:line="700" w:lineRule="exact"/>
              <w:rPr>
                <w:rFonts w:ascii="Times New Roman" w:hAnsi="Times New Roman" w:eastAsia="仿宋_GB2312" w:cs="Times New Roman"/>
                <w:color w:val="0D0D0D" w:themeColor="text1" w:themeTint="F2"/>
                <w:sz w:val="32"/>
                <w:szCs w:val="24"/>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z w:val="32"/>
                <w:szCs w:val="24"/>
                <w14:textFill>
                  <w14:solidFill>
                    <w14:schemeClr w14:val="tx1">
                      <w14:lumMod w14:val="95000"/>
                      <w14:lumOff w14:val="5000"/>
                    </w14:schemeClr>
                  </w14:solidFill>
                </w14:textFill>
              </w:rPr>
              <w:t xml:space="preserve">晏 </w:t>
            </w:r>
            <w:r>
              <w:rPr>
                <w:rFonts w:ascii="Times New Roman" w:hAnsi="Times New Roman" w:eastAsia="仿宋_GB2312" w:cs="Times New Roman"/>
                <w:color w:val="0D0D0D" w:themeColor="text1" w:themeTint="F2"/>
                <w:sz w:val="32"/>
                <w:szCs w:val="24"/>
                <w14:textFill>
                  <w14:solidFill>
                    <w14:schemeClr w14:val="tx1">
                      <w14:lumMod w14:val="95000"/>
                      <w14:lumOff w14:val="5000"/>
                    </w14:schemeClr>
                  </w14:solidFill>
                </w14:textFill>
              </w:rPr>
              <w:t xml:space="preserve"> </w:t>
            </w:r>
            <w:r>
              <w:rPr>
                <w:rFonts w:hint="eastAsia" w:ascii="Times New Roman" w:hAnsi="Times New Roman" w:eastAsia="仿宋_GB2312" w:cs="Times New Roman"/>
                <w:color w:val="0D0D0D" w:themeColor="text1" w:themeTint="F2"/>
                <w:sz w:val="32"/>
                <w:szCs w:val="24"/>
                <w14:textFill>
                  <w14:solidFill>
                    <w14:schemeClr w14:val="tx1">
                      <w14:lumMod w14:val="95000"/>
                      <w14:lumOff w14:val="5000"/>
                    </w14:schemeClr>
                  </w14:solidFill>
                </w14:textFill>
              </w:rPr>
              <w:t>司（高级工程师）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011" w:type="dxa"/>
          </w:tcPr>
          <w:p>
            <w:pPr>
              <w:tabs>
                <w:tab w:val="left" w:pos="15660"/>
              </w:tabs>
              <w:spacing w:line="700" w:lineRule="exact"/>
              <w:ind w:right="307" w:rightChars="146"/>
              <w:jc w:val="distribute"/>
              <w:rPr>
                <w:rFonts w:ascii="Times New Roman" w:hAnsi="Times New Roman" w:eastAsia="仿宋_GB2312" w:cs="Times New Roman"/>
                <w:color w:val="0D0D0D" w:themeColor="text1" w:themeTint="F2"/>
                <w:sz w:val="32"/>
                <w:szCs w:val="24"/>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6"/>
                <w:w w:val="102"/>
                <w:sz w:val="32"/>
                <w:szCs w:val="30"/>
                <w14:textFill>
                  <w14:solidFill>
                    <w14:schemeClr w14:val="tx1">
                      <w14:lumMod w14:val="95000"/>
                      <w14:lumOff w14:val="5000"/>
                    </w14:schemeClr>
                  </w14:solidFill>
                </w14:textFill>
              </w:rPr>
              <w:t xml:space="preserve">审 </w:t>
            </w:r>
            <w:r>
              <w:rPr>
                <w:rFonts w:ascii="Times New Roman" w:hAnsi="Times New Roman" w:eastAsia="仿宋_GB2312" w:cs="Times New Roman"/>
                <w:color w:val="0D0D0D" w:themeColor="text1" w:themeTint="F2"/>
                <w:spacing w:val="6"/>
                <w:w w:val="102"/>
                <w:sz w:val="32"/>
                <w:szCs w:val="30"/>
                <w14:textFill>
                  <w14:solidFill>
                    <w14:schemeClr w14:val="tx1">
                      <w14:lumMod w14:val="95000"/>
                      <w14:lumOff w14:val="5000"/>
                    </w14:schemeClr>
                  </w14:solidFill>
                </w14:textFill>
              </w:rPr>
              <w:t xml:space="preserve"> </w:t>
            </w:r>
            <w:r>
              <w:rPr>
                <w:rFonts w:hint="eastAsia" w:ascii="Times New Roman" w:hAnsi="Times New Roman" w:eastAsia="仿宋_GB2312" w:cs="Times New Roman"/>
                <w:color w:val="0D0D0D" w:themeColor="text1" w:themeTint="F2"/>
                <w:spacing w:val="6"/>
                <w:w w:val="102"/>
                <w:sz w:val="32"/>
                <w:szCs w:val="30"/>
                <w14:textFill>
                  <w14:solidFill>
                    <w14:schemeClr w14:val="tx1">
                      <w14:lumMod w14:val="95000"/>
                      <w14:lumOff w14:val="5000"/>
                    </w14:schemeClr>
                  </w14:solidFill>
                </w14:textFill>
              </w:rPr>
              <w:t xml:space="preserve">  核：</w:t>
            </w:r>
          </w:p>
        </w:tc>
        <w:tc>
          <w:tcPr>
            <w:tcW w:w="4794" w:type="dxa"/>
          </w:tcPr>
          <w:p>
            <w:pPr>
              <w:tabs>
                <w:tab w:val="left" w:pos="15660"/>
              </w:tabs>
              <w:spacing w:line="700" w:lineRule="exact"/>
              <w:rPr>
                <w:rFonts w:ascii="Times New Roman" w:hAnsi="Times New Roman" w:eastAsia="仿宋_GB2312" w:cs="Times New Roman"/>
                <w:color w:val="0D0D0D" w:themeColor="text1" w:themeTint="F2"/>
                <w:sz w:val="32"/>
                <w:szCs w:val="24"/>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6"/>
                <w:w w:val="102"/>
                <w:sz w:val="32"/>
                <w:szCs w:val="30"/>
                <w14:textFill>
                  <w14:solidFill>
                    <w14:schemeClr w14:val="tx1">
                      <w14:lumMod w14:val="95000"/>
                      <w14:lumOff w14:val="5000"/>
                    </w14:schemeClr>
                  </w14:solidFill>
                </w14:textFill>
              </w:rPr>
              <w:t>董志芬</w:t>
            </w:r>
            <w:r>
              <w:rPr>
                <w:rFonts w:hint="eastAsia" w:ascii="Times New Roman" w:hAnsi="Times New Roman" w:eastAsia="仿宋_GB2312" w:cs="Times New Roman"/>
                <w:color w:val="0D0D0D" w:themeColor="text1" w:themeTint="F2"/>
                <w:sz w:val="32"/>
                <w:szCs w:val="24"/>
                <w14:textFill>
                  <w14:solidFill>
                    <w14:schemeClr w14:val="tx1">
                      <w14:lumMod w14:val="95000"/>
                      <w14:lumOff w14:val="5000"/>
                    </w14:schemeClr>
                  </w14:solidFill>
                </w14:textFill>
              </w:rPr>
              <w:t>（高级工程师）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011" w:type="dxa"/>
          </w:tcPr>
          <w:p>
            <w:pPr>
              <w:tabs>
                <w:tab w:val="left" w:pos="15660"/>
              </w:tabs>
              <w:spacing w:line="700" w:lineRule="exact"/>
              <w:ind w:right="307" w:rightChars="146"/>
              <w:jc w:val="distribute"/>
              <w:rPr>
                <w:rFonts w:ascii="Times New Roman" w:hAnsi="Times New Roman" w:eastAsia="仿宋_GB2312" w:cs="Times New Roman"/>
                <w:color w:val="0D0D0D" w:themeColor="text1" w:themeTint="F2"/>
                <w:sz w:val="32"/>
                <w:szCs w:val="24"/>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z w:val="32"/>
                <w:szCs w:val="24"/>
                <w14:textFill>
                  <w14:solidFill>
                    <w14:schemeClr w14:val="tx1">
                      <w14:lumMod w14:val="95000"/>
                      <w14:lumOff w14:val="5000"/>
                    </w14:schemeClr>
                  </w14:solidFill>
                </w14:textFill>
              </w:rPr>
              <w:t>项目</w:t>
            </w:r>
            <w:r>
              <w:rPr>
                <w:rFonts w:ascii="Times New Roman" w:hAnsi="Times New Roman" w:eastAsia="仿宋_GB2312" w:cs="Times New Roman"/>
                <w:color w:val="0D0D0D" w:themeColor="text1" w:themeTint="F2"/>
                <w:sz w:val="32"/>
                <w:szCs w:val="24"/>
                <w14:textFill>
                  <w14:solidFill>
                    <w14:schemeClr w14:val="tx1">
                      <w14:lumMod w14:val="95000"/>
                      <w14:lumOff w14:val="5000"/>
                    </w14:schemeClr>
                  </w14:solidFill>
                </w14:textFill>
              </w:rPr>
              <w:t>负责人</w:t>
            </w:r>
            <w:r>
              <w:rPr>
                <w:rFonts w:hint="eastAsia" w:ascii="Times New Roman" w:hAnsi="Times New Roman" w:eastAsia="仿宋_GB2312" w:cs="Times New Roman"/>
                <w:color w:val="0D0D0D" w:themeColor="text1" w:themeTint="F2"/>
                <w:sz w:val="32"/>
                <w:szCs w:val="24"/>
                <w14:textFill>
                  <w14:solidFill>
                    <w14:schemeClr w14:val="tx1">
                      <w14:lumMod w14:val="95000"/>
                      <w14:lumOff w14:val="5000"/>
                    </w14:schemeClr>
                  </w14:solidFill>
                </w14:textFill>
              </w:rPr>
              <w:t>：</w:t>
            </w:r>
          </w:p>
        </w:tc>
        <w:tc>
          <w:tcPr>
            <w:tcW w:w="4794" w:type="dxa"/>
          </w:tcPr>
          <w:p>
            <w:pPr>
              <w:tabs>
                <w:tab w:val="left" w:pos="15660"/>
              </w:tabs>
              <w:spacing w:line="700" w:lineRule="exact"/>
              <w:rPr>
                <w:rFonts w:ascii="Times New Roman" w:hAnsi="Times New Roman" w:eastAsia="仿宋_GB2312" w:cs="Times New Roman"/>
                <w:color w:val="0D0D0D" w:themeColor="text1" w:themeTint="F2"/>
                <w:sz w:val="32"/>
                <w:szCs w:val="24"/>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z w:val="32"/>
                <w:szCs w:val="24"/>
                <w14:textFill>
                  <w14:solidFill>
                    <w14:schemeClr w14:val="tx1">
                      <w14:lumMod w14:val="95000"/>
                      <w14:lumOff w14:val="5000"/>
                    </w14:schemeClr>
                  </w14:solidFill>
                </w14:textFill>
              </w:rPr>
              <w:t>罗柏青（工程师、硕士）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011" w:type="dxa"/>
          </w:tcPr>
          <w:p>
            <w:pPr>
              <w:tabs>
                <w:tab w:val="left" w:pos="15660"/>
              </w:tabs>
              <w:spacing w:line="700" w:lineRule="exact"/>
              <w:ind w:right="307" w:rightChars="146"/>
              <w:jc w:val="distribute"/>
              <w:rPr>
                <w:rFonts w:ascii="Times New Roman" w:hAnsi="Times New Roman" w:eastAsia="仿宋_GB2312" w:cs="Times New Roman"/>
                <w:color w:val="0D0D0D" w:themeColor="text1" w:themeTint="F2"/>
                <w:sz w:val="32"/>
                <w:szCs w:val="24"/>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z w:val="32"/>
                <w:szCs w:val="24"/>
                <w14:textFill>
                  <w14:solidFill>
                    <w14:schemeClr w14:val="tx1">
                      <w14:lumMod w14:val="95000"/>
                      <w14:lumOff w14:val="5000"/>
                    </w14:schemeClr>
                  </w14:solidFill>
                </w14:textFill>
              </w:rPr>
              <w:t>主要编制人员：</w:t>
            </w:r>
          </w:p>
        </w:tc>
        <w:tc>
          <w:tcPr>
            <w:tcW w:w="4794" w:type="dxa"/>
          </w:tcPr>
          <w:p>
            <w:pPr>
              <w:tabs>
                <w:tab w:val="left" w:pos="15660"/>
              </w:tabs>
              <w:spacing w:line="700" w:lineRule="exact"/>
              <w:rPr>
                <w:rFonts w:ascii="Times New Roman" w:hAnsi="Times New Roman" w:eastAsia="仿宋_GB2312" w:cs="Times New Roman"/>
                <w:color w:val="0D0D0D" w:themeColor="text1" w:themeTint="F2"/>
                <w:sz w:val="32"/>
                <w:szCs w:val="24"/>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z w:val="32"/>
                <w:szCs w:val="24"/>
                <w14:textFill>
                  <w14:solidFill>
                    <w14:schemeClr w14:val="tx1">
                      <w14:lumMod w14:val="95000"/>
                      <w14:lumOff w14:val="5000"/>
                    </w14:schemeClr>
                  </w14:solidFill>
                </w14:textFill>
              </w:rPr>
              <w:t>王春香（工程师、硕士）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011" w:type="dxa"/>
          </w:tcPr>
          <w:p>
            <w:pPr>
              <w:tabs>
                <w:tab w:val="left" w:pos="15660"/>
              </w:tabs>
              <w:spacing w:line="700" w:lineRule="exact"/>
              <w:rPr>
                <w:rFonts w:ascii="Times New Roman" w:hAnsi="Times New Roman" w:eastAsia="仿宋_GB2312" w:cs="Times New Roman"/>
                <w:color w:val="0D0D0D" w:themeColor="text1" w:themeTint="F2"/>
                <w:sz w:val="32"/>
                <w:szCs w:val="24"/>
                <w14:textFill>
                  <w14:solidFill>
                    <w14:schemeClr w14:val="tx1">
                      <w14:lumMod w14:val="95000"/>
                      <w14:lumOff w14:val="5000"/>
                    </w14:schemeClr>
                  </w14:solidFill>
                </w14:textFill>
              </w:rPr>
            </w:pPr>
          </w:p>
        </w:tc>
        <w:tc>
          <w:tcPr>
            <w:tcW w:w="4794" w:type="dxa"/>
          </w:tcPr>
          <w:p>
            <w:pPr>
              <w:tabs>
                <w:tab w:val="left" w:pos="15660"/>
              </w:tabs>
              <w:spacing w:line="700" w:lineRule="exact"/>
              <w:rPr>
                <w:rFonts w:ascii="Times New Roman" w:hAnsi="Times New Roman" w:eastAsia="仿宋_GB2312" w:cs="Times New Roman"/>
                <w:color w:val="0D0D0D" w:themeColor="text1" w:themeTint="F2"/>
                <w:sz w:val="32"/>
                <w:szCs w:val="24"/>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z w:val="32"/>
                <w:szCs w:val="24"/>
                <w14:textFill>
                  <w14:solidFill>
                    <w14:schemeClr w14:val="tx1">
                      <w14:lumMod w14:val="95000"/>
                      <w14:lumOff w14:val="5000"/>
                    </w14:schemeClr>
                  </w14:solidFill>
                </w14:textFill>
              </w:rPr>
              <w:t>魏贤亮（工程师、硕士）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011" w:type="dxa"/>
          </w:tcPr>
          <w:p>
            <w:pPr>
              <w:tabs>
                <w:tab w:val="left" w:pos="15660"/>
              </w:tabs>
              <w:spacing w:line="700" w:lineRule="exact"/>
              <w:rPr>
                <w:rFonts w:ascii="Times New Roman" w:hAnsi="Times New Roman" w:eastAsia="仿宋_GB2312" w:cs="Times New Roman"/>
                <w:color w:val="0D0D0D" w:themeColor="text1" w:themeTint="F2"/>
                <w:sz w:val="32"/>
                <w:szCs w:val="24"/>
                <w14:textFill>
                  <w14:solidFill>
                    <w14:schemeClr w14:val="tx1">
                      <w14:lumMod w14:val="95000"/>
                      <w14:lumOff w14:val="5000"/>
                    </w14:schemeClr>
                  </w14:solidFill>
                </w14:textFill>
              </w:rPr>
            </w:pPr>
          </w:p>
        </w:tc>
        <w:tc>
          <w:tcPr>
            <w:tcW w:w="4794" w:type="dxa"/>
          </w:tcPr>
          <w:p>
            <w:pPr>
              <w:tabs>
                <w:tab w:val="left" w:pos="15660"/>
              </w:tabs>
              <w:spacing w:line="700" w:lineRule="exact"/>
              <w:rPr>
                <w:rFonts w:ascii="Times New Roman" w:hAnsi="Times New Roman" w:eastAsia="仿宋_GB2312" w:cs="Times New Roman"/>
                <w:color w:val="0D0D0D" w:themeColor="text1" w:themeTint="F2"/>
                <w:sz w:val="32"/>
                <w:szCs w:val="24"/>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z w:val="32"/>
                <w:szCs w:val="24"/>
                <w14:textFill>
                  <w14:solidFill>
                    <w14:schemeClr w14:val="tx1">
                      <w14:lumMod w14:val="95000"/>
                      <w14:lumOff w14:val="5000"/>
                    </w14:schemeClr>
                  </w14:solidFill>
                </w14:textFill>
              </w:rPr>
              <w:t>董徐艳（工程师、硕士）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011" w:type="dxa"/>
          </w:tcPr>
          <w:p>
            <w:pPr>
              <w:tabs>
                <w:tab w:val="left" w:pos="15660"/>
              </w:tabs>
              <w:spacing w:line="700" w:lineRule="exact"/>
              <w:rPr>
                <w:rFonts w:ascii="Times New Roman" w:hAnsi="Times New Roman" w:eastAsia="仿宋_GB2312" w:cs="Times New Roman"/>
                <w:color w:val="0D0D0D" w:themeColor="text1" w:themeTint="F2"/>
                <w:sz w:val="32"/>
                <w:szCs w:val="24"/>
                <w14:textFill>
                  <w14:solidFill>
                    <w14:schemeClr w14:val="tx1">
                      <w14:lumMod w14:val="95000"/>
                      <w14:lumOff w14:val="5000"/>
                    </w14:schemeClr>
                  </w14:solidFill>
                </w14:textFill>
              </w:rPr>
            </w:pPr>
          </w:p>
        </w:tc>
        <w:tc>
          <w:tcPr>
            <w:tcW w:w="4794" w:type="dxa"/>
          </w:tcPr>
          <w:p>
            <w:pPr>
              <w:tabs>
                <w:tab w:val="left" w:pos="15660"/>
              </w:tabs>
              <w:spacing w:line="700" w:lineRule="exact"/>
              <w:rPr>
                <w:rFonts w:ascii="Times New Roman" w:hAnsi="Times New Roman" w:eastAsia="仿宋_GB2312" w:cs="Times New Roman"/>
                <w:color w:val="0D0D0D" w:themeColor="text1" w:themeTint="F2"/>
                <w:sz w:val="32"/>
                <w:szCs w:val="24"/>
                <w14:textFill>
                  <w14:solidFill>
                    <w14:schemeClr w14:val="tx1">
                      <w14:lumMod w14:val="95000"/>
                      <w14:lumOff w14:val="5000"/>
                    </w14:schemeClr>
                  </w14:solidFill>
                </w14:textFill>
              </w:rPr>
            </w:pPr>
          </w:p>
        </w:tc>
      </w:tr>
    </w:tbl>
    <w:p>
      <w:pPr>
        <w:jc w:val="center"/>
        <w:rPr>
          <w:rFonts w:eastAsia="仿宋"/>
          <w:b/>
          <w:color w:val="0D0D0D" w:themeColor="text1" w:themeTint="F2"/>
          <w:sz w:val="32"/>
          <w:szCs w:val="24"/>
          <w14:textFill>
            <w14:solidFill>
              <w14:schemeClr w14:val="tx1">
                <w14:lumMod w14:val="95000"/>
                <w14:lumOff w14:val="5000"/>
              </w14:schemeClr>
            </w14:solidFill>
          </w14:textFill>
        </w:rPr>
      </w:pPr>
    </w:p>
    <w:bookmarkEnd w:id="1"/>
    <w:p>
      <w:pPr>
        <w:widowControl/>
        <w:snapToGrid w:val="0"/>
        <w:spacing w:line="360" w:lineRule="auto"/>
        <w:jc w:val="left"/>
        <w:outlineLvl w:val="0"/>
        <w:rPr>
          <w:rFonts w:eastAsia="仿宋"/>
          <w:b/>
          <w:color w:val="0D0D0D" w:themeColor="text1" w:themeTint="F2"/>
          <w:sz w:val="32"/>
          <w:szCs w:val="32"/>
          <w14:textFill>
            <w14:solidFill>
              <w14:schemeClr w14:val="tx1">
                <w14:lumMod w14:val="95000"/>
                <w14:lumOff w14:val="5000"/>
              </w14:schemeClr>
            </w14:solidFill>
          </w14:textFill>
        </w:rPr>
        <w:sectPr>
          <w:footerReference r:id="rId3" w:type="default"/>
          <w:pgSz w:w="11906" w:h="16838"/>
          <w:pgMar w:top="1440" w:right="1800" w:bottom="1440" w:left="1800" w:header="851" w:footer="992" w:gutter="0"/>
          <w:pgNumType w:fmt="numberInDash"/>
          <w:cols w:space="425" w:num="1"/>
          <w:docGrid w:type="lines" w:linePitch="312" w:charSpace="0"/>
        </w:sectPr>
      </w:pPr>
    </w:p>
    <w:p>
      <w:pPr>
        <w:widowControl/>
        <w:snapToGrid w:val="0"/>
        <w:spacing w:line="360" w:lineRule="auto"/>
        <w:jc w:val="left"/>
        <w:outlineLvl w:val="0"/>
        <w:rPr>
          <w:rFonts w:ascii="Times New Roman" w:hAnsi="Times New Roman" w:eastAsia="仿宋" w:cs="Times New Roman"/>
          <w:b/>
          <w:color w:val="0D0D0D" w:themeColor="text1" w:themeTint="F2"/>
          <w:sz w:val="36"/>
          <w:szCs w:val="36"/>
          <w14:textFill>
            <w14:solidFill>
              <w14:schemeClr w14:val="tx1">
                <w14:lumMod w14:val="95000"/>
                <w14:lumOff w14:val="5000"/>
              </w14:schemeClr>
            </w14:solidFill>
          </w14:textFill>
        </w:rPr>
        <w:sectPr>
          <w:footerReference r:id="rId4" w:type="default"/>
          <w:pgSz w:w="11906" w:h="16838"/>
          <w:pgMar w:top="1440" w:right="1800" w:bottom="1440" w:left="1800" w:header="851" w:footer="992" w:gutter="0"/>
          <w:pgNumType w:fmt="lowerRoman" w:start="1"/>
          <w:cols w:space="425" w:num="1"/>
          <w:docGrid w:type="lines" w:linePitch="312" w:charSpace="0"/>
        </w:sectPr>
      </w:pPr>
    </w:p>
    <w:p>
      <w:pPr>
        <w:jc w:val="center"/>
        <w:rPr>
          <w:rFonts w:ascii="Times New Roman" w:hAnsi="Times New Roman" w:eastAsia="仿宋"/>
          <w:b/>
          <w:color w:val="0D0D0D" w:themeColor="text1" w:themeTint="F2"/>
          <w:sz w:val="32"/>
          <w:szCs w:val="24"/>
          <w14:textFill>
            <w14:solidFill>
              <w14:schemeClr w14:val="tx1">
                <w14:lumMod w14:val="95000"/>
                <w14:lumOff w14:val="5000"/>
              </w14:schemeClr>
            </w14:solidFill>
          </w14:textFill>
        </w:rPr>
      </w:pPr>
      <w:r>
        <w:rPr>
          <w:rFonts w:hint="eastAsia" w:ascii="Times New Roman" w:hAnsi="Times New Roman" w:eastAsia="仿宋"/>
          <w:b/>
          <w:color w:val="0D0D0D" w:themeColor="text1" w:themeTint="F2"/>
          <w:sz w:val="32"/>
          <w:szCs w:val="24"/>
          <w14:textFill>
            <w14:solidFill>
              <w14:schemeClr w14:val="tx1">
                <w14:lumMod w14:val="95000"/>
                <w14:lumOff w14:val="5000"/>
              </w14:schemeClr>
            </w14:solidFill>
          </w14:textFill>
        </w:rPr>
        <w:t xml:space="preserve">目 </w:t>
      </w:r>
      <w:r>
        <w:rPr>
          <w:rFonts w:ascii="Times New Roman" w:hAnsi="Times New Roman" w:eastAsia="仿宋"/>
          <w:b/>
          <w:color w:val="0D0D0D" w:themeColor="text1" w:themeTint="F2"/>
          <w:sz w:val="32"/>
          <w:szCs w:val="24"/>
          <w14:textFill>
            <w14:solidFill>
              <w14:schemeClr w14:val="tx1">
                <w14:lumMod w14:val="95000"/>
                <w14:lumOff w14:val="5000"/>
              </w14:schemeClr>
            </w14:solidFill>
          </w14:textFill>
        </w:rPr>
        <w:t xml:space="preserve"> </w:t>
      </w:r>
      <w:r>
        <w:rPr>
          <w:rFonts w:hint="eastAsia" w:ascii="Times New Roman" w:hAnsi="Times New Roman" w:eastAsia="仿宋"/>
          <w:b/>
          <w:color w:val="0D0D0D" w:themeColor="text1" w:themeTint="F2"/>
          <w:sz w:val="32"/>
          <w:szCs w:val="24"/>
          <w14:textFill>
            <w14:solidFill>
              <w14:schemeClr w14:val="tx1">
                <w14:lumMod w14:val="95000"/>
                <w14:lumOff w14:val="5000"/>
              </w14:schemeClr>
            </w14:solidFill>
          </w14:textFill>
        </w:rPr>
        <w:t>录</w:t>
      </w:r>
    </w:p>
    <w:p>
      <w:pPr>
        <w:pStyle w:val="30"/>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instrText xml:space="preserve"> TOC \o "1-3" \h \z \u </w:instrText>
      </w: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fldChar w:fldCharType="separate"/>
      </w:r>
      <w:r>
        <w:fldChar w:fldCharType="begin"/>
      </w:r>
      <w:r>
        <w:instrText xml:space="preserve"> HYPERLINK \l "_Toc27522173" </w:instrText>
      </w:r>
      <w:r>
        <w:fldChar w:fldCharType="separate"/>
      </w:r>
      <w:r>
        <w:rPr>
          <w:rStyle w:val="51"/>
          <w:rFonts w:ascii="Times New Roman" w:hAnsi="Times New Roman" w:eastAsia="仿宋" w:cs="Times New Roman"/>
          <w:b/>
          <w:color w:val="0D0D0D" w:themeColor="text1" w:themeTint="F2"/>
          <w14:textFill>
            <w14:solidFill>
              <w14:schemeClr w14:val="tx1">
                <w14:lumMod w14:val="95000"/>
                <w14:lumOff w14:val="5000"/>
              </w14:schemeClr>
            </w14:solidFill>
          </w14:textFill>
        </w:rPr>
        <w:t>第一章 总则</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_Toc27522173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- 1 -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36"/>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"_Toc27522174"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1.1 划分目的</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_Toc27522174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- 1 -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36"/>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"_Toc27522175"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1.2 划分依据</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_Toc27522175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- 2 -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22"/>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"_Toc27522176"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1.2.1 相关法律法规</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_Toc27522176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- 2 -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22"/>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"_Toc27522177"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1.2.2 技术标准</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_Toc27522177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- 2 -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22"/>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"_Toc27522178"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1.2.3 相关已经批准实施的规划</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_Toc27522178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- 3 -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36"/>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"_Toc27522179"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1.3 技术路线</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_Toc27522179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- 4 -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30"/>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"_Toc27522180" </w:instrText>
      </w:r>
      <w:r>
        <w:fldChar w:fldCharType="separate"/>
      </w:r>
      <w:r>
        <w:rPr>
          <w:rStyle w:val="51"/>
          <w:rFonts w:ascii="Times New Roman" w:hAnsi="Times New Roman" w:eastAsia="仿宋" w:cs="Times New Roman"/>
          <w:b/>
          <w:color w:val="0D0D0D" w:themeColor="text1" w:themeTint="F2"/>
          <w14:textFill>
            <w14:solidFill>
              <w14:schemeClr w14:val="tx1">
                <w14:lumMod w14:val="95000"/>
                <w14:lumOff w14:val="5000"/>
              </w14:schemeClr>
            </w14:solidFill>
          </w14:textFill>
        </w:rPr>
        <w:t>第二章 饮用水水源基础环境状况</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_Toc27522180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- 6 -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36"/>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"_Toc27522181"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2.1 饮用水水源地所在区域的自然状况</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_Toc27522181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- 6 -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22"/>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"_Toc27522182"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2.1.1 地理位置</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_Toc27522182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- 6 -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22"/>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"_Toc27522183"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2.1.2 地形地貌</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_Toc27522183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- 6 -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22"/>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"_Toc27522184"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2.1.3 气候特征</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_Toc27522184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- 6 -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22"/>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"_Toc27522185"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2.1.4 水文水资源状况</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_Toc27522185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- 7 -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36"/>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"_Toc27522186"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2.2 饮用水水源地所在区域的社会经济状况</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_Toc27522186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- 7 -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36"/>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"_Toc27522187"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2.3 饮用水水源地周边城乡土地使用现状及规划情况</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_Toc27522187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- 8 -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36"/>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"_Toc27522188"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2.4 饮用水水源地规划、水功能区划、重要生态功能区等情况</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_Toc27522188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- 9 -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36"/>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"_Toc27522189"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2.5 饮用水水源地基本状况</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_Toc27522189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- 10 -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22"/>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"_Toc27522190"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2.5.1 水库概况</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_Toc27522190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- 10 -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22"/>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"_Toc27522191"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2.5.2 供水情况</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_Toc27522191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- 11 -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36"/>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"_Toc27522192"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2.6 饮用水水源地的水质状况调查评价</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_Toc27522192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- 12 -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22"/>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"_Toc27522193"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2.6.1 评价指标、时段、监测布点</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_Toc27522193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- 12 -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22"/>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"_Toc27522194"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2.6.2 评价方法</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_Toc27522194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- 13 -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22"/>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"_Toc27522195"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2.6.3 水质评价结果</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_Toc27522195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- 16 -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36"/>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"_Toc27522196"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2.7 饮用水水源地周边及上游污染源调查</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_Toc27522196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- 20 -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22"/>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"_Toc27522197" </w:instrText>
      </w:r>
      <w:r>
        <w:fldChar w:fldCharType="separate"/>
      </w:r>
      <w:r>
        <w:rPr>
          <w:rStyle w:val="51"/>
          <w:rFonts w:ascii="Times New Roman" w:hAnsi="Times New Roman" w:eastAsia="仿宋" w:cs="Times New Roman"/>
          <w:bCs/>
          <w:color w:val="0D0D0D" w:themeColor="text1" w:themeTint="F2"/>
          <w14:textFill>
            <w14:solidFill>
              <w14:schemeClr w14:val="tx1">
                <w14:lumMod w14:val="95000"/>
                <w14:lumOff w14:val="5000"/>
              </w14:schemeClr>
            </w14:solidFill>
          </w14:textFill>
        </w:rPr>
        <w:t>2.7.1 点源</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_Toc27522197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- 20 -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22"/>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"_Toc27522198" </w:instrText>
      </w:r>
      <w:r>
        <w:fldChar w:fldCharType="separate"/>
      </w:r>
      <w:r>
        <w:rPr>
          <w:rStyle w:val="51"/>
          <w:rFonts w:ascii="Times New Roman" w:hAnsi="Times New Roman" w:eastAsia="仿宋" w:cs="Times New Roman"/>
          <w:bCs/>
          <w:color w:val="0D0D0D" w:themeColor="text1" w:themeTint="F2"/>
          <w14:textFill>
            <w14:solidFill>
              <w14:schemeClr w14:val="tx1">
                <w14:lumMod w14:val="95000"/>
                <w14:lumOff w14:val="5000"/>
              </w14:schemeClr>
            </w14:solidFill>
          </w14:textFill>
        </w:rPr>
        <w:t>2.7.2 面源</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_Toc27522198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- 20 -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22"/>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"_Toc27522199" </w:instrText>
      </w:r>
      <w:r>
        <w:fldChar w:fldCharType="separate"/>
      </w:r>
      <w:r>
        <w:rPr>
          <w:rStyle w:val="51"/>
          <w:rFonts w:ascii="Times New Roman" w:hAnsi="Times New Roman" w:eastAsia="仿宋" w:cs="Times New Roman"/>
          <w:bCs/>
          <w:color w:val="0D0D0D" w:themeColor="text1" w:themeTint="F2"/>
          <w14:textFill>
            <w14:solidFill>
              <w14:schemeClr w14:val="tx1">
                <w14:lumMod w14:val="95000"/>
                <w14:lumOff w14:val="5000"/>
              </w14:schemeClr>
            </w14:solidFill>
          </w14:textFill>
        </w:rPr>
        <w:t>2.7.3 流动源</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_Toc27522199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- 23 -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22"/>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"_Toc27522200" </w:instrText>
      </w:r>
      <w:r>
        <w:fldChar w:fldCharType="separate"/>
      </w:r>
      <w:r>
        <w:rPr>
          <w:rStyle w:val="51"/>
          <w:rFonts w:ascii="Times New Roman" w:hAnsi="Times New Roman" w:eastAsia="仿宋" w:cs="Times New Roman"/>
          <w:bCs/>
          <w:color w:val="0D0D0D" w:themeColor="text1" w:themeTint="F2"/>
          <w14:textFill>
            <w14:solidFill>
              <w14:schemeClr w14:val="tx1">
                <w14:lumMod w14:val="95000"/>
                <w14:lumOff w14:val="5000"/>
              </w14:schemeClr>
            </w14:solidFill>
          </w14:textFill>
        </w:rPr>
        <w:t>2.7.4 污染源汇总</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_Toc27522200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- 23 -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36"/>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"_Toc27522201"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2.8 饮用水水源地水环境风险分析</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_Toc27522201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- 25 -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36"/>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"_Toc27522202"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2.9 饮用水水源保护区规范化建设现状及存在问题</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_Toc27522202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- 26 -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22"/>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"_Toc27522203" </w:instrText>
      </w:r>
      <w:r>
        <w:fldChar w:fldCharType="separate"/>
      </w:r>
      <w:r>
        <w:rPr>
          <w:rStyle w:val="51"/>
          <w:rFonts w:ascii="Times New Roman" w:hAnsi="Times New Roman" w:eastAsia="仿宋" w:cs="Times New Roman"/>
          <w:bCs/>
          <w:color w:val="0D0D0D" w:themeColor="text1" w:themeTint="F2"/>
          <w14:textFill>
            <w14:solidFill>
              <w14:schemeClr w14:val="tx1">
                <w14:lumMod w14:val="95000"/>
                <w14:lumOff w14:val="5000"/>
              </w14:schemeClr>
            </w14:solidFill>
          </w14:textFill>
        </w:rPr>
        <w:t>2.9.1 保护区规范化建设及管理现状</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_Toc27522203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- 26 -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22"/>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"_Toc27522204" </w:instrText>
      </w:r>
      <w:r>
        <w:fldChar w:fldCharType="separate"/>
      </w:r>
      <w:r>
        <w:rPr>
          <w:rStyle w:val="51"/>
          <w:rFonts w:ascii="Times New Roman" w:hAnsi="Times New Roman" w:eastAsia="仿宋" w:cs="Times New Roman"/>
          <w:bCs/>
          <w:color w:val="0D0D0D" w:themeColor="text1" w:themeTint="F2"/>
          <w14:textFill>
            <w14:solidFill>
              <w14:schemeClr w14:val="tx1">
                <w14:lumMod w14:val="95000"/>
                <w14:lumOff w14:val="5000"/>
              </w14:schemeClr>
            </w14:solidFill>
          </w14:textFill>
        </w:rPr>
        <w:t>2.9.2 保护区主要环境问题</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_Toc27522204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- 27 -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30"/>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"_Toc27522205" </w:instrText>
      </w:r>
      <w:r>
        <w:fldChar w:fldCharType="separate"/>
      </w:r>
      <w:r>
        <w:rPr>
          <w:rStyle w:val="51"/>
          <w:rFonts w:ascii="Times New Roman" w:hAnsi="Times New Roman" w:eastAsia="仿宋" w:cs="Times New Roman"/>
          <w:b/>
          <w:bCs/>
          <w:color w:val="0D0D0D" w:themeColor="text1" w:themeTint="F2"/>
          <w:kern w:val="44"/>
          <w14:textFill>
            <w14:solidFill>
              <w14:schemeClr w14:val="tx1">
                <w14:lumMod w14:val="95000"/>
                <w14:lumOff w14:val="5000"/>
              </w14:schemeClr>
            </w14:solidFill>
          </w14:textFill>
        </w:rPr>
        <w:t>第三章 保护区划分与定界</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_Toc27522205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- 29 -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36"/>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"_Toc27522206" </w:instrText>
      </w:r>
      <w:r>
        <w:fldChar w:fldCharType="separate"/>
      </w:r>
      <w:r>
        <w:rPr>
          <w:rStyle w:val="51"/>
          <w:rFonts w:ascii="Times New Roman" w:hAnsi="Times New Roman" w:eastAsia="仿宋" w:cs="Times New Roman"/>
          <w:bCs/>
          <w:color w:val="0D0D0D" w:themeColor="text1" w:themeTint="F2"/>
          <w14:textFill>
            <w14:solidFill>
              <w14:schemeClr w14:val="tx1">
                <w14:lumMod w14:val="95000"/>
                <w14:lumOff w14:val="5000"/>
              </w14:schemeClr>
            </w14:solidFill>
          </w14:textFill>
        </w:rPr>
        <w:t>3.1 划分方法</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_Toc27522206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- 29 -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22"/>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"_Toc27522207" </w:instrText>
      </w:r>
      <w:r>
        <w:fldChar w:fldCharType="separate"/>
      </w:r>
      <w:r>
        <w:rPr>
          <w:rStyle w:val="51"/>
          <w:rFonts w:ascii="Times New Roman" w:hAnsi="Times New Roman" w:eastAsia="仿宋" w:cs="Times New Roman"/>
          <w:bCs/>
          <w:color w:val="0D0D0D" w:themeColor="text1" w:themeTint="F2"/>
          <w14:textFill>
            <w14:solidFill>
              <w14:schemeClr w14:val="tx1">
                <w14:lumMod w14:val="95000"/>
                <w14:lumOff w14:val="5000"/>
              </w14:schemeClr>
            </w14:solidFill>
          </w14:textFill>
        </w:rPr>
        <w:t>3.1.1 一级保护区划分</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_Toc27522207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- 29 -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22"/>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"_Toc27522208" </w:instrText>
      </w:r>
      <w:r>
        <w:fldChar w:fldCharType="separate"/>
      </w:r>
      <w:r>
        <w:rPr>
          <w:rStyle w:val="51"/>
          <w:rFonts w:ascii="Times New Roman" w:hAnsi="Times New Roman" w:eastAsia="仿宋" w:cs="Times New Roman"/>
          <w:bCs/>
          <w:color w:val="0D0D0D" w:themeColor="text1" w:themeTint="F2"/>
          <w14:textFill>
            <w14:solidFill>
              <w14:schemeClr w14:val="tx1">
                <w14:lumMod w14:val="95000"/>
                <w14:lumOff w14:val="5000"/>
              </w14:schemeClr>
            </w14:solidFill>
          </w14:textFill>
        </w:rPr>
        <w:t>3.1.2 二级保护区划分</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_Toc27522208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- 29 -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36"/>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"_Toc27522209" </w:instrText>
      </w:r>
      <w:r>
        <w:fldChar w:fldCharType="separate"/>
      </w:r>
      <w:r>
        <w:rPr>
          <w:rStyle w:val="51"/>
          <w:rFonts w:ascii="Times New Roman" w:hAnsi="Times New Roman" w:eastAsia="仿宋" w:cs="Times New Roman"/>
          <w:bCs/>
          <w:color w:val="0D0D0D" w:themeColor="text1" w:themeTint="F2"/>
          <w14:textFill>
            <w14:solidFill>
              <w14:schemeClr w14:val="tx1">
                <w14:lumMod w14:val="95000"/>
                <w14:lumOff w14:val="5000"/>
              </w14:schemeClr>
            </w14:solidFill>
          </w14:textFill>
        </w:rPr>
        <w:t>3.2 初步划分结果与分析</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_Toc27522209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- 30 -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36"/>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"_Toc27522210" </w:instrText>
      </w:r>
      <w:r>
        <w:fldChar w:fldCharType="separate"/>
      </w:r>
      <w:r>
        <w:rPr>
          <w:rStyle w:val="51"/>
          <w:rFonts w:ascii="Times New Roman" w:hAnsi="Times New Roman" w:eastAsia="仿宋" w:cs="Times New Roman"/>
          <w:bCs/>
          <w:color w:val="0D0D0D" w:themeColor="text1" w:themeTint="F2"/>
          <w14:textFill>
            <w14:solidFill>
              <w14:schemeClr w14:val="tx1">
                <w14:lumMod w14:val="95000"/>
                <w14:lumOff w14:val="5000"/>
              </w14:schemeClr>
            </w14:solidFill>
          </w14:textFill>
        </w:rPr>
        <w:t>3.3 保护区定界的依据</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_Toc27522210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- 31 -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30"/>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"_Toc27522211" </w:instrText>
      </w:r>
      <w:r>
        <w:fldChar w:fldCharType="separate"/>
      </w:r>
      <w:r>
        <w:rPr>
          <w:rStyle w:val="51"/>
          <w:rFonts w:ascii="Times New Roman" w:hAnsi="Times New Roman" w:eastAsia="仿宋" w:cs="Times New Roman"/>
          <w:b/>
          <w:color w:val="0D0D0D" w:themeColor="text1" w:themeTint="F2"/>
          <w14:textFill>
            <w14:solidFill>
              <w14:schemeClr w14:val="tx1">
                <w14:lumMod w14:val="95000"/>
                <w14:lumOff w14:val="5000"/>
              </w14:schemeClr>
            </w14:solidFill>
          </w14:textFill>
        </w:rPr>
        <w:t>第四章 饮用水水源保护区建设投资估算</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_Toc27522211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- 32 -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36"/>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"_Toc27522212"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4.1 保护区规范化建设项目投资估算</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_Toc27522212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- 32 -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22"/>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"_Toc27522213"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4.1.1 保护区范围划定工程</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_Toc27522213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- 32 -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22"/>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"_Toc27522214"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4.1.2 保护区整治工程</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_Toc27522214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- 33 -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22"/>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"_Toc27522215"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4.1.3 生态恢复与建设工程</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_Toc27522215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- 34 -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22"/>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"_Toc27522216"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4.1.4 管理能力建设工程</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_Toc27522216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- 35 -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36"/>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"_Toc27522217"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4.2 规范化建设目标达标的可行性分析</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_Toc27522217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- 38 -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22"/>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"_Toc27522218"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4.2.1 项目投资及预期效果</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_Toc27522218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- 38 -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22"/>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"_Toc27522219"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4.2.2 保护区整治方案可行性</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_Toc27522219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- 38 -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22"/>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"_Toc27522220"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4.2.3 饮用水水源地水质目标可达性分析</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_Toc27522220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- 39 -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30"/>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"_Toc27522221" </w:instrText>
      </w:r>
      <w:r>
        <w:fldChar w:fldCharType="separate"/>
      </w:r>
      <w:r>
        <w:rPr>
          <w:rStyle w:val="51"/>
          <w:rFonts w:ascii="Times New Roman" w:hAnsi="Times New Roman" w:eastAsia="仿宋" w:cs="Times New Roman"/>
          <w:b/>
          <w:bCs/>
          <w:color w:val="0D0D0D" w:themeColor="text1" w:themeTint="F2"/>
          <w:kern w:val="44"/>
          <w14:textFill>
            <w14:solidFill>
              <w14:schemeClr w14:val="tx1">
                <w14:lumMod w14:val="95000"/>
                <w14:lumOff w14:val="5000"/>
              </w14:schemeClr>
            </w14:solidFill>
          </w14:textFill>
        </w:rPr>
        <w:t>第五章饮用水水源保护区划分方案、图件及有关说明</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_Toc27522221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- 40 -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36"/>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"_Toc27522222" </w:instrText>
      </w:r>
      <w:r>
        <w:fldChar w:fldCharType="separate"/>
      </w:r>
      <w:r>
        <w:rPr>
          <w:rStyle w:val="51"/>
          <w:rFonts w:ascii="Times New Roman" w:hAnsi="Times New Roman" w:eastAsia="仿宋" w:cs="Times New Roman"/>
          <w:bCs/>
          <w:color w:val="0D0D0D" w:themeColor="text1" w:themeTint="F2"/>
          <w14:textFill>
            <w14:solidFill>
              <w14:schemeClr w14:val="tx1">
                <w14:lumMod w14:val="95000"/>
                <w14:lumOff w14:val="5000"/>
              </w14:schemeClr>
            </w14:solidFill>
          </w14:textFill>
        </w:rPr>
        <w:t>5.1 饮用水水源保护区划分方案</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_Toc27522222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- 40 -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36"/>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"_Toc27522223" </w:instrText>
      </w:r>
      <w:r>
        <w:fldChar w:fldCharType="separate"/>
      </w:r>
      <w:r>
        <w:rPr>
          <w:rStyle w:val="51"/>
          <w:rFonts w:ascii="Times New Roman" w:hAnsi="Times New Roman" w:eastAsia="仿宋" w:cs="Times New Roman"/>
          <w:bCs/>
          <w:color w:val="0D0D0D" w:themeColor="text1" w:themeTint="F2"/>
          <w14:textFill>
            <w14:solidFill>
              <w14:schemeClr w14:val="tx1">
                <w14:lumMod w14:val="95000"/>
                <w14:lumOff w14:val="5000"/>
              </w14:schemeClr>
            </w14:solidFill>
          </w14:textFill>
        </w:rPr>
        <w:t>5.2 饮用水水源保护区划分图件</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_Toc27522223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- 40 -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36"/>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"_Toc27522224"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附表1 富源县（2018年）基础信息调查表</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_Toc27522224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- 42 -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36"/>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"_Toc27522225"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附表2 富源县亦佐水库饮用水水源地基础信息表</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_Toc27522225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- 42 -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36"/>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"_Toc27522226"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附表3 富源县亦佐水库集中式饮用水水源保护区划分结果表</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_Toc27522226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- 43 -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pStyle w:val="36"/>
        <w:tabs>
          <w:tab w:val="right" w:leader="dot" w:pos="8296"/>
        </w:tabs>
        <w:rPr>
          <w:rFonts w:ascii="Times New Roman" w:hAnsi="Times New Roman" w:eastAsia="仿宋" w:cs="Times New Roman"/>
          <w:color w:val="0D0D0D" w:themeColor="text1" w:themeTint="F2"/>
          <w:kern w:val="2"/>
          <w:sz w:val="21"/>
          <w14:textFill>
            <w14:solidFill>
              <w14:schemeClr w14:val="tx1">
                <w14:lumMod w14:val="95000"/>
                <w14:lumOff w14:val="5000"/>
              </w14:schemeClr>
            </w14:solidFill>
          </w14:textFill>
        </w:rPr>
      </w:pPr>
      <w:r>
        <w:fldChar w:fldCharType="begin"/>
      </w:r>
      <w:r>
        <w:instrText xml:space="preserve"> HYPERLINK \l "_Toc27522227" </w:instrText>
      </w:r>
      <w:r>
        <w:fldChar w:fldCharType="separate"/>
      </w:r>
      <w:r>
        <w:rPr>
          <w:rStyle w:val="51"/>
          <w:rFonts w:ascii="Times New Roman" w:hAnsi="Times New Roman" w:eastAsia="仿宋" w:cs="Times New Roman"/>
          <w:color w:val="0D0D0D" w:themeColor="text1" w:themeTint="F2"/>
          <w14:textFill>
            <w14:solidFill>
              <w14:schemeClr w14:val="tx1">
                <w14:lumMod w14:val="95000"/>
                <w14:lumOff w14:val="5000"/>
              </w14:schemeClr>
            </w14:solidFill>
          </w14:textFill>
        </w:rPr>
        <w:t>附表4 富源县亦佐水库饮用水水源地保护区污染源调查表</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ab/>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instrText xml:space="preserve"> PAGEREF _Toc27522227 \h </w:instrTex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t>- 43 -</w:t>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14:textFill>
            <w14:solidFill>
              <w14:schemeClr w14:val="tx1">
                <w14:lumMod w14:val="95000"/>
                <w14:lumOff w14:val="5000"/>
              </w14:schemeClr>
            </w14:solidFill>
          </w14:textFill>
        </w:rPr>
        <w:fldChar w:fldCharType="end"/>
      </w:r>
    </w:p>
    <w:p>
      <w:pPr>
        <w:snapToGrid w:val="0"/>
        <w:spacing w:line="360" w:lineRule="auto"/>
        <w:ind w:left="960" w:hanging="960" w:hangingChars="400"/>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sectPr>
          <w:footerReference r:id="rId5" w:type="default"/>
          <w:pgSz w:w="11906" w:h="16838"/>
          <w:pgMar w:top="1440" w:right="1800" w:bottom="1440" w:left="1800" w:header="851" w:footer="992" w:gutter="0"/>
          <w:pgNumType w:fmt="lowerRoman" w:start="1"/>
          <w:cols w:space="425" w:num="1"/>
          <w:docGrid w:type="lines" w:linePitch="312" w:charSpace="0"/>
        </w:sect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fldChar w:fldCharType="end"/>
      </w:r>
    </w:p>
    <w:p>
      <w:pPr>
        <w:snapToGrid w:val="0"/>
        <w:spacing w:line="360" w:lineRule="auto"/>
        <w:ind w:left="960" w:hanging="960" w:hangingChars="400"/>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p>
    <w:p>
      <w:pPr>
        <w:snapToGrid w:val="0"/>
        <w:spacing w:line="360" w:lineRule="auto"/>
        <w:ind w:left="1124" w:hanging="1124" w:hangingChars="400"/>
        <w:rPr>
          <w:rFonts w:ascii="Times New Roman" w:hAnsi="Times New Roman" w:eastAsia="仿宋" w:cs="Times New Roman"/>
          <w:b/>
          <w:bCs/>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b/>
          <w:bCs/>
          <w:color w:val="0D0D0D" w:themeColor="text1" w:themeTint="F2"/>
          <w:sz w:val="28"/>
          <w:szCs w:val="28"/>
          <w14:textFill>
            <w14:solidFill>
              <w14:schemeClr w14:val="tx1">
                <w14:lumMod w14:val="95000"/>
                <w14:lumOff w14:val="5000"/>
              </w14:schemeClr>
            </w14:solidFill>
          </w14:textFill>
        </w:rPr>
        <w:t>附图：</w:t>
      </w:r>
    </w:p>
    <w:p>
      <w:pPr>
        <w:snapToGrid w:val="0"/>
        <w:spacing w:line="360" w:lineRule="auto"/>
        <w:ind w:firstLine="480" w:firstLineChars="200"/>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bookmarkStart w:id="2" w:name="_Hlk528187524"/>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附图1  亦佐水库饮用水源地区位图</w:t>
      </w:r>
    </w:p>
    <w:p>
      <w:pPr>
        <w:snapToGrid w:val="0"/>
        <w:spacing w:line="360" w:lineRule="auto"/>
        <w:ind w:firstLine="480" w:firstLineChars="200"/>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附图2  亦佐水库饮用水源地水系图</w:t>
      </w:r>
    </w:p>
    <w:p>
      <w:pPr>
        <w:snapToGrid w:val="0"/>
        <w:spacing w:line="360" w:lineRule="auto"/>
        <w:ind w:firstLine="480" w:firstLineChars="200"/>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附图3  亦佐水库饮用水源地保护区区划图</w:t>
      </w:r>
    </w:p>
    <w:p>
      <w:pPr>
        <w:snapToGrid w:val="0"/>
        <w:spacing w:line="360" w:lineRule="auto"/>
        <w:ind w:firstLine="480" w:firstLineChars="200"/>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附图4  亦佐水库饮用水源地保护区划污染源分布图</w:t>
      </w:r>
    </w:p>
    <w:p>
      <w:pPr>
        <w:snapToGrid w:val="0"/>
        <w:spacing w:line="360" w:lineRule="auto"/>
        <w:ind w:firstLine="480" w:firstLineChars="200"/>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附图5  亦佐水库饮用水源地保护区划拐点图</w:t>
      </w:r>
    </w:p>
    <w:p>
      <w:pPr>
        <w:snapToGrid w:val="0"/>
        <w:spacing w:line="360" w:lineRule="auto"/>
        <w:ind w:left="1120" w:hanging="1120" w:hangingChars="400"/>
        <w:rPr>
          <w:rFonts w:ascii="Times New Roman" w:hAnsi="Times New Roman" w:eastAsia="仿宋" w:cs="Times New Roman"/>
          <w:color w:val="0D0D0D" w:themeColor="text1" w:themeTint="F2"/>
          <w:sz w:val="28"/>
          <w:szCs w:val="24"/>
          <w14:textFill>
            <w14:solidFill>
              <w14:schemeClr w14:val="tx1">
                <w14:lumMod w14:val="95000"/>
                <w14:lumOff w14:val="5000"/>
              </w14:schemeClr>
            </w14:solidFill>
          </w14:textFill>
        </w:rPr>
      </w:pPr>
    </w:p>
    <w:p>
      <w:pPr>
        <w:snapToGrid w:val="0"/>
        <w:spacing w:line="360" w:lineRule="auto"/>
        <w:ind w:left="1124" w:hanging="1124" w:hangingChars="400"/>
        <w:rPr>
          <w:rFonts w:ascii="Times New Roman" w:hAnsi="Times New Roman" w:eastAsia="仿宋" w:cs="Times New Roman"/>
          <w:b/>
          <w:bCs/>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b/>
          <w:bCs/>
          <w:color w:val="0D0D0D" w:themeColor="text1" w:themeTint="F2"/>
          <w:sz w:val="28"/>
          <w:szCs w:val="28"/>
          <w14:textFill>
            <w14:solidFill>
              <w14:schemeClr w14:val="tx1">
                <w14:lumMod w14:val="95000"/>
                <w14:lumOff w14:val="5000"/>
              </w14:schemeClr>
            </w14:solidFill>
          </w14:textFill>
        </w:rPr>
        <w:t>附件：</w:t>
      </w:r>
    </w:p>
    <w:p>
      <w:pPr>
        <w:snapToGrid w:val="0"/>
        <w:spacing w:line="360" w:lineRule="auto"/>
        <w:ind w:firstLine="480" w:firstLineChars="200"/>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附</w:t>
      </w: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件</w:t>
      </w: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 xml:space="preserve">1  </w:t>
      </w: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富源县千吨万人饮用水水源地水质检测（蓝硕检字〔201</w:t>
      </w: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9</w:t>
      </w: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w:t>
      </w: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811</w:t>
      </w: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号）</w:t>
      </w:r>
    </w:p>
    <w:p>
      <w:pPr>
        <w:snapToGrid w:val="0"/>
        <w:spacing w:line="360" w:lineRule="auto"/>
        <w:ind w:firstLine="480" w:firstLineChars="200"/>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p>
    <w:bookmarkEnd w:id="2"/>
    <w:p>
      <w:pPr>
        <w:rPr>
          <w:rFonts w:cs="Times New Roman"/>
          <w:color w:val="0D0D0D" w:themeColor="text1" w:themeTint="F2"/>
          <w:sz w:val="36"/>
          <w:szCs w:val="36"/>
          <w14:textFill>
            <w14:solidFill>
              <w14:schemeClr w14:val="tx1">
                <w14:lumMod w14:val="95000"/>
                <w14:lumOff w14:val="5000"/>
              </w14:schemeClr>
            </w14:solidFill>
          </w14:textFill>
        </w:rPr>
      </w:pPr>
    </w:p>
    <w:p>
      <w:pPr>
        <w:rPr>
          <w:rFonts w:cs="Times New Roman"/>
          <w:color w:val="0D0D0D" w:themeColor="text1" w:themeTint="F2"/>
          <w:sz w:val="36"/>
          <w:szCs w:val="36"/>
          <w14:textFill>
            <w14:solidFill>
              <w14:schemeClr w14:val="tx1">
                <w14:lumMod w14:val="95000"/>
                <w14:lumOff w14:val="5000"/>
              </w14:schemeClr>
            </w14:solidFill>
          </w14:textFill>
        </w:rPr>
        <w:sectPr>
          <w:pgSz w:w="11906" w:h="16838"/>
          <w:pgMar w:top="1440" w:right="1800" w:bottom="1440" w:left="1800" w:header="851" w:footer="992" w:gutter="0"/>
          <w:pgNumType w:fmt="lowerRoman"/>
          <w:cols w:space="425" w:num="1"/>
          <w:docGrid w:type="lines" w:linePitch="312" w:charSpace="0"/>
        </w:sectPr>
      </w:pPr>
    </w:p>
    <w:p>
      <w:pPr>
        <w:widowControl/>
        <w:snapToGrid w:val="0"/>
        <w:spacing w:line="360" w:lineRule="auto"/>
        <w:jc w:val="center"/>
        <w:outlineLvl w:val="0"/>
        <w:rPr>
          <w:rFonts w:ascii="Times New Roman" w:hAnsi="Times New Roman" w:eastAsia="仿宋" w:cs="Times New Roman"/>
          <w:b/>
          <w:color w:val="0D0D0D" w:themeColor="text1" w:themeTint="F2"/>
          <w:sz w:val="36"/>
          <w:szCs w:val="36"/>
          <w14:textFill>
            <w14:solidFill>
              <w14:schemeClr w14:val="tx1">
                <w14:lumMod w14:val="95000"/>
                <w14:lumOff w14:val="5000"/>
              </w14:schemeClr>
            </w14:solidFill>
          </w14:textFill>
        </w:rPr>
        <w:sectPr>
          <w:footerReference r:id="rId6" w:type="default"/>
          <w:pgSz w:w="11906" w:h="16838"/>
          <w:pgMar w:top="1440" w:right="1800" w:bottom="1440" w:left="1800" w:header="851" w:footer="992" w:gutter="0"/>
          <w:pgNumType w:fmt="numberInDash" w:start="1"/>
          <w:cols w:space="425" w:num="1"/>
          <w:docGrid w:type="lines" w:linePitch="312" w:charSpace="0"/>
        </w:sectPr>
      </w:pPr>
    </w:p>
    <w:p>
      <w:pPr>
        <w:widowControl/>
        <w:snapToGrid w:val="0"/>
        <w:spacing w:line="360" w:lineRule="auto"/>
        <w:jc w:val="center"/>
        <w:outlineLvl w:val="0"/>
        <w:rPr>
          <w:rFonts w:ascii="Times New Roman" w:hAnsi="Times New Roman" w:eastAsia="仿宋" w:cs="Times New Roman"/>
          <w:b/>
          <w:color w:val="0D0D0D" w:themeColor="text1" w:themeTint="F2"/>
          <w:sz w:val="36"/>
          <w:szCs w:val="36"/>
          <w14:textFill>
            <w14:solidFill>
              <w14:schemeClr w14:val="tx1">
                <w14:lumMod w14:val="95000"/>
                <w14:lumOff w14:val="5000"/>
              </w14:schemeClr>
            </w14:solidFill>
          </w14:textFill>
        </w:rPr>
      </w:pPr>
      <w:bookmarkStart w:id="3" w:name="_Toc27522173"/>
      <w:r>
        <w:rPr>
          <w:rFonts w:hint="eastAsia" w:ascii="Times New Roman" w:hAnsi="Times New Roman" w:eastAsia="仿宋" w:cs="Times New Roman"/>
          <w:b/>
          <w:color w:val="0D0D0D" w:themeColor="text1" w:themeTint="F2"/>
          <w:sz w:val="36"/>
          <w:szCs w:val="36"/>
          <w14:textFill>
            <w14:solidFill>
              <w14:schemeClr w14:val="tx1">
                <w14:lumMod w14:val="95000"/>
                <w14:lumOff w14:val="5000"/>
              </w14:schemeClr>
            </w14:solidFill>
          </w14:textFill>
        </w:rPr>
        <w:t>第一章</w:t>
      </w:r>
      <w:r>
        <w:rPr>
          <w:rFonts w:ascii="Times New Roman" w:hAnsi="Times New Roman" w:eastAsia="仿宋" w:cs="Times New Roman"/>
          <w:b/>
          <w:color w:val="0D0D0D" w:themeColor="text1" w:themeTint="F2"/>
          <w:sz w:val="36"/>
          <w:szCs w:val="36"/>
          <w14:textFill>
            <w14:solidFill>
              <w14:schemeClr w14:val="tx1">
                <w14:lumMod w14:val="95000"/>
                <w14:lumOff w14:val="5000"/>
              </w14:schemeClr>
            </w14:solidFill>
          </w14:textFill>
        </w:rPr>
        <w:t xml:space="preserve"> </w:t>
      </w:r>
      <w:bookmarkEnd w:id="0"/>
      <w:r>
        <w:rPr>
          <w:rFonts w:hint="eastAsia" w:ascii="Times New Roman" w:hAnsi="Times New Roman" w:eastAsia="仿宋" w:cs="Times New Roman"/>
          <w:b/>
          <w:color w:val="0D0D0D" w:themeColor="text1" w:themeTint="F2"/>
          <w:sz w:val="36"/>
          <w:szCs w:val="36"/>
          <w14:textFill>
            <w14:solidFill>
              <w14:schemeClr w14:val="tx1">
                <w14:lumMod w14:val="95000"/>
                <w14:lumOff w14:val="5000"/>
              </w14:schemeClr>
            </w14:solidFill>
          </w14:textFill>
        </w:rPr>
        <w:t>总则</w:t>
      </w:r>
      <w:bookmarkEnd w:id="3"/>
    </w:p>
    <w:p>
      <w:pPr>
        <w:pStyle w:val="3"/>
        <w:rPr>
          <w:color w:val="0D0D0D" w:themeColor="text1" w:themeTint="F2"/>
          <w14:textFill>
            <w14:solidFill>
              <w14:schemeClr w14:val="tx1">
                <w14:lumMod w14:val="95000"/>
                <w14:lumOff w14:val="5000"/>
              </w14:schemeClr>
            </w14:solidFill>
          </w14:textFill>
        </w:rPr>
      </w:pPr>
      <w:bookmarkStart w:id="4" w:name="_Toc478744138"/>
      <w:bookmarkStart w:id="5" w:name="_Toc27522174"/>
      <w:r>
        <w:rPr>
          <w:color w:val="0D0D0D" w:themeColor="text1" w:themeTint="F2"/>
          <w14:textFill>
            <w14:solidFill>
              <w14:schemeClr w14:val="tx1">
                <w14:lumMod w14:val="95000"/>
                <w14:lumOff w14:val="5000"/>
              </w14:schemeClr>
            </w14:solidFill>
          </w14:textFill>
        </w:rPr>
        <w:t>1.1</w:t>
      </w:r>
      <w:r>
        <w:rPr>
          <w:rFonts w:hint="eastAsia"/>
          <w:color w:val="0D0D0D" w:themeColor="text1" w:themeTint="F2"/>
          <w14:textFill>
            <w14:solidFill>
              <w14:schemeClr w14:val="tx1">
                <w14:lumMod w14:val="95000"/>
                <w14:lumOff w14:val="5000"/>
              </w14:schemeClr>
            </w14:solidFill>
          </w14:textFill>
        </w:rPr>
        <w:t xml:space="preserve"> </w:t>
      </w:r>
      <w:bookmarkEnd w:id="4"/>
      <w:r>
        <w:rPr>
          <w:rFonts w:hint="eastAsia"/>
          <w:color w:val="0D0D0D" w:themeColor="text1" w:themeTint="F2"/>
          <w14:textFill>
            <w14:solidFill>
              <w14:schemeClr w14:val="tx1">
                <w14:lumMod w14:val="95000"/>
                <w14:lumOff w14:val="5000"/>
              </w14:schemeClr>
            </w14:solidFill>
          </w14:textFill>
        </w:rPr>
        <w:t>划分目的</w:t>
      </w:r>
      <w:bookmarkEnd w:id="5"/>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为贯彻落实《生态环境部 水利部关于进一步开展饮用水水源地保护工作的通知》（环执法〔</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2018〕</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142</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号</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）、《云南省生态环境厅 云南省水利厅关于印发云南省水源地环境保护攻坚战实施方案的通知》（云环发〔</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201</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9</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4</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号</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）、《云南省生态环境厅 云南省水利厅关于转发&lt;关于进一步开展饮用水水源地保护工作的通知&gt;的函》（云环函〔</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201</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9</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70</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号</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）、《云南省水源地保护攻坚战专项小组办公室关于印发云南省集中式饮用水水源地保护工作方案的通知》（云污防水源〔</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201</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9</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1</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号</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精神，全面开展供水人口在10000人或日供水在1000吨以上（“千吨万人”）及以上集中式饮用水水源地保护区划定工作，推进饮用水水源地规范化建设，强化饮用水水源地环境管理，依法开展饮用水水源保护区划定工作，对未划定或划定不符合法律法规要求的参照《饮用水水源保护区划分技术规范》（</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HJ 338-2018）</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按法定程序予以划定或调整。</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为</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满足</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《饮用水水源保护区划分技术规范》（HJ 338-2018）</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要求，确保富源县饮用水安全，富源县将对辖区内各乡镇在用“千吨万人”水源地保护区范围根据最新技术规范进行划分，进一步掌握饮用水水源地环境状况，加强饮用水水源地污染防治和管理能力建设，建立完善水源地保护相关技术方法、管理办法，解决目前危害饮用水安全的重大问题，切实推动饮用水水源地环境保护专项整治工作的全面开展，为后续“千吨万人”饮用水水源地保护的各项工作奠定基础。</w:t>
      </w:r>
    </w:p>
    <w:p>
      <w:pPr>
        <w:pStyle w:val="3"/>
        <w:rPr>
          <w:color w:val="0D0D0D" w:themeColor="text1" w:themeTint="F2"/>
          <w14:textFill>
            <w14:solidFill>
              <w14:schemeClr w14:val="tx1">
                <w14:lumMod w14:val="95000"/>
                <w14:lumOff w14:val="5000"/>
              </w14:schemeClr>
            </w14:solidFill>
          </w14:textFill>
        </w:rPr>
      </w:pPr>
      <w:bookmarkStart w:id="6" w:name="_Toc27522175"/>
      <w:bookmarkStart w:id="7" w:name="_Toc478744139"/>
      <w:r>
        <w:rPr>
          <w:color w:val="0D0D0D" w:themeColor="text1" w:themeTint="F2"/>
          <w14:textFill>
            <w14:solidFill>
              <w14:schemeClr w14:val="tx1">
                <w14:lumMod w14:val="95000"/>
                <w14:lumOff w14:val="5000"/>
              </w14:schemeClr>
            </w14:solidFill>
          </w14:textFill>
        </w:rPr>
        <w:t>1.2</w:t>
      </w:r>
      <w:r>
        <w:rPr>
          <w:rFonts w:hint="eastAsia"/>
          <w:color w:val="0D0D0D" w:themeColor="text1" w:themeTint="F2"/>
          <w14:textFill>
            <w14:solidFill>
              <w14:schemeClr w14:val="tx1">
                <w14:lumMod w14:val="95000"/>
                <w14:lumOff w14:val="5000"/>
              </w14:schemeClr>
            </w14:solidFill>
          </w14:textFill>
        </w:rPr>
        <w:t xml:space="preserve"> 划分</w:t>
      </w:r>
      <w:r>
        <w:rPr>
          <w:color w:val="0D0D0D" w:themeColor="text1" w:themeTint="F2"/>
          <w14:textFill>
            <w14:solidFill>
              <w14:schemeClr w14:val="tx1">
                <w14:lumMod w14:val="95000"/>
                <w14:lumOff w14:val="5000"/>
              </w14:schemeClr>
            </w14:solidFill>
          </w14:textFill>
        </w:rPr>
        <w:t>依据</w:t>
      </w:r>
      <w:bookmarkEnd w:id="6"/>
      <w:bookmarkEnd w:id="7"/>
    </w:p>
    <w:p>
      <w:pPr>
        <w:pStyle w:val="4"/>
        <w:rPr>
          <w:color w:val="0D0D0D" w:themeColor="text1" w:themeTint="F2"/>
          <w14:textFill>
            <w14:solidFill>
              <w14:schemeClr w14:val="tx1">
                <w14:lumMod w14:val="95000"/>
                <w14:lumOff w14:val="5000"/>
              </w14:schemeClr>
            </w14:solidFill>
          </w14:textFill>
        </w:rPr>
      </w:pPr>
      <w:bookmarkStart w:id="8" w:name="_Toc200905490"/>
      <w:bookmarkStart w:id="9" w:name="_Toc272332582"/>
      <w:bookmarkStart w:id="10" w:name="_Toc478744140"/>
      <w:bookmarkStart w:id="11" w:name="_Toc27522176"/>
      <w:r>
        <w:rPr>
          <w:color w:val="0D0D0D" w:themeColor="text1" w:themeTint="F2"/>
          <w14:textFill>
            <w14:solidFill>
              <w14:schemeClr w14:val="tx1">
                <w14:lumMod w14:val="95000"/>
                <w14:lumOff w14:val="5000"/>
              </w14:schemeClr>
            </w14:solidFill>
          </w14:textFill>
        </w:rPr>
        <w:t>1.2.1</w:t>
      </w:r>
      <w:r>
        <w:rPr>
          <w:rFonts w:hint="eastAsia"/>
          <w:color w:val="0D0D0D" w:themeColor="text1" w:themeTint="F2"/>
          <w14:textFill>
            <w14:solidFill>
              <w14:schemeClr w14:val="tx1">
                <w14:lumMod w14:val="95000"/>
                <w14:lumOff w14:val="5000"/>
              </w14:schemeClr>
            </w14:solidFill>
          </w14:textFill>
        </w:rPr>
        <w:t xml:space="preserve"> 相关</w:t>
      </w:r>
      <w:r>
        <w:rPr>
          <w:color w:val="0D0D0D" w:themeColor="text1" w:themeTint="F2"/>
          <w14:textFill>
            <w14:solidFill>
              <w14:schemeClr w14:val="tx1">
                <w14:lumMod w14:val="95000"/>
                <w14:lumOff w14:val="5000"/>
              </w14:schemeClr>
            </w14:solidFill>
          </w14:textFill>
        </w:rPr>
        <w:t>法律法规</w:t>
      </w:r>
      <w:bookmarkEnd w:id="8"/>
      <w:bookmarkEnd w:id="9"/>
      <w:bookmarkEnd w:id="10"/>
      <w:bookmarkEnd w:id="11"/>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（1）</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《中华人民共和国环境保护法》（2014年4月修订）</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（2）</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《中华人民共和国水法》（2016年7月修订）</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（3）</w:t>
      </w:r>
      <w:bookmarkStart w:id="12" w:name="_Hlk524551544"/>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《中华人民共和国水污染防治法》</w:t>
      </w:r>
      <w:bookmarkEnd w:id="12"/>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（2017年6月修订）</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（4）</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《中华人民共和国固体废物污染环境防治法》（2016年11月修改）</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（5）</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《中华人民共和国水土保持法》（2010年12月修订）</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（6）</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《中华人民共和国水土保持法实施条例》（国务院令第120号，2011年1月修订）</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（7）</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《中华人民共和国森林法》（</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2009</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年</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8</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月修改）</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8</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《中华人民共和国森林法实施条例》（国务院令第</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698</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号，201</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8</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年</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3</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月修订）</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（9）</w:t>
      </w:r>
      <w:bookmarkStart w:id="13" w:name="_Hlk524551559"/>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《饮用水水源保护区污染防治管理规定》</w:t>
      </w:r>
      <w:bookmarkEnd w:id="13"/>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2010年12月修正</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（10）</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《突发环境事件应急管理办法》（环保部令第34号）</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（11）</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《畜禽规模养殖污染防治条例》（2014</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年</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1</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月</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1</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日</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实施）</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（12）</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《云南省环境保护条例》（2004年6月修改）</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（13）</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《云南省森林条例》（2002年11月发布）</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（14）</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《云南省水土保持条例》（2014年7月）</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pStyle w:val="4"/>
        <w:rPr>
          <w:color w:val="0D0D0D" w:themeColor="text1" w:themeTint="F2"/>
          <w14:textFill>
            <w14:solidFill>
              <w14:schemeClr w14:val="tx1">
                <w14:lumMod w14:val="95000"/>
                <w14:lumOff w14:val="5000"/>
              </w14:schemeClr>
            </w14:solidFill>
          </w14:textFill>
        </w:rPr>
      </w:pPr>
      <w:bookmarkStart w:id="14" w:name="_Toc200905491"/>
      <w:bookmarkStart w:id="15" w:name="_Toc272332583"/>
      <w:bookmarkStart w:id="16" w:name="_Toc478744141"/>
      <w:bookmarkStart w:id="17" w:name="_Toc27522177"/>
      <w:r>
        <w:rPr>
          <w:color w:val="0D0D0D" w:themeColor="text1" w:themeTint="F2"/>
          <w14:textFill>
            <w14:solidFill>
              <w14:schemeClr w14:val="tx1">
                <w14:lumMod w14:val="95000"/>
                <w14:lumOff w14:val="5000"/>
              </w14:schemeClr>
            </w14:solidFill>
          </w14:textFill>
        </w:rPr>
        <w:t>1.2.2</w:t>
      </w:r>
      <w:r>
        <w:rPr>
          <w:rFonts w:hint="eastAsia"/>
          <w:color w:val="0D0D0D" w:themeColor="text1" w:themeTint="F2"/>
          <w14:textFill>
            <w14:solidFill>
              <w14:schemeClr w14:val="tx1">
                <w14:lumMod w14:val="95000"/>
                <w14:lumOff w14:val="5000"/>
              </w14:schemeClr>
            </w14:solidFill>
          </w14:textFill>
        </w:rPr>
        <w:t xml:space="preserve"> </w:t>
      </w:r>
      <w:bookmarkEnd w:id="14"/>
      <w:bookmarkEnd w:id="15"/>
      <w:bookmarkEnd w:id="16"/>
      <w:r>
        <w:rPr>
          <w:rFonts w:hint="eastAsia"/>
          <w:color w:val="0D0D0D" w:themeColor="text1" w:themeTint="F2"/>
          <w14:textFill>
            <w14:solidFill>
              <w14:schemeClr w14:val="tx1">
                <w14:lumMod w14:val="95000"/>
                <w14:lumOff w14:val="5000"/>
              </w14:schemeClr>
            </w14:solidFill>
          </w14:textFill>
        </w:rPr>
        <w:t>技术标准</w:t>
      </w:r>
      <w:bookmarkEnd w:id="17"/>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bookmarkStart w:id="18" w:name="_Toc272332584"/>
      <w:bookmarkStart w:id="19" w:name="_Toc200905492"/>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（1）</w:t>
      </w:r>
      <w:bookmarkStart w:id="20" w:name="_Hlk530390607"/>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《地表水质量标准》（GB3838-20</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02</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（2）</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《生活饮用水水源水质标准》（CJ3020-93）</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p>
    <w:bookmarkEnd w:id="20"/>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3</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《生活饮用水卫生标准》（GB5749-2006）</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4</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《饮用水水源保护区划分技术规范》（HJ 338-2018）</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bookmarkStart w:id="21" w:name="_Hlk521681780"/>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（5）</w:t>
      </w:r>
      <w:bookmarkEnd w:id="21"/>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《集中式饮用水水源地规范化建设环境保护技术要求》（HJ773-2015）</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（6）</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《集中式饮用水水源环境保护指南</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（试行）</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环办〔2012〕50号</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（7）《集中式饮用水水源地环境保护状况评估技术规范》（HJ774-2015）；</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8</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）《集中式饮用水水源编码规范》（HJ747-2015）；</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9</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《饮用水水源保护区标志技术要求》（HJ/T433-2008）</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（1</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0</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《畜禽养殖禁养区划定技术指南》（环办水体</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〔201</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6</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99号）</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（1</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1</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《农村生活污染控制技术规范》（HJ574-2010）</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pStyle w:val="4"/>
        <w:rPr>
          <w:color w:val="0D0D0D" w:themeColor="text1" w:themeTint="F2"/>
          <w14:textFill>
            <w14:solidFill>
              <w14:schemeClr w14:val="tx1">
                <w14:lumMod w14:val="95000"/>
                <w14:lumOff w14:val="5000"/>
              </w14:schemeClr>
            </w14:solidFill>
          </w14:textFill>
        </w:rPr>
      </w:pPr>
      <w:bookmarkStart w:id="22" w:name="_Toc27522178"/>
      <w:r>
        <w:rPr>
          <w:color w:val="0D0D0D" w:themeColor="text1" w:themeTint="F2"/>
          <w14:textFill>
            <w14:solidFill>
              <w14:schemeClr w14:val="tx1">
                <w14:lumMod w14:val="95000"/>
                <w14:lumOff w14:val="5000"/>
              </w14:schemeClr>
            </w14:solidFill>
          </w14:textFill>
        </w:rPr>
        <w:t>1.2.3</w:t>
      </w:r>
      <w:r>
        <w:rPr>
          <w:rFonts w:hint="eastAsia"/>
          <w:color w:val="0D0D0D" w:themeColor="text1" w:themeTint="F2"/>
          <w14:textFill>
            <w14:solidFill>
              <w14:schemeClr w14:val="tx1">
                <w14:lumMod w14:val="95000"/>
                <w14:lumOff w14:val="5000"/>
              </w14:schemeClr>
            </w14:solidFill>
          </w14:textFill>
        </w:rPr>
        <w:t xml:space="preserve"> </w:t>
      </w:r>
      <w:bookmarkEnd w:id="18"/>
      <w:bookmarkEnd w:id="19"/>
      <w:r>
        <w:rPr>
          <w:rFonts w:hint="eastAsia"/>
          <w:color w:val="0D0D0D" w:themeColor="text1" w:themeTint="F2"/>
          <w14:textFill>
            <w14:solidFill>
              <w14:schemeClr w14:val="tx1">
                <w14:lumMod w14:val="95000"/>
                <w14:lumOff w14:val="5000"/>
              </w14:schemeClr>
            </w14:solidFill>
          </w14:textFill>
        </w:rPr>
        <w:t>相关已经批准实施的规划</w:t>
      </w:r>
      <w:bookmarkEnd w:id="22"/>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（1）</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《水污染防治行动计划》</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国发〔2015〕17号</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bookmarkStart w:id="23" w:name="_Hlk523170381"/>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（2）</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全国集中式饮用水水源地环境保护专项行动方案》</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环环监</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〔2018〕25号）</w:t>
      </w:r>
      <w:bookmarkEnd w:id="23"/>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（3）</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住房城乡建设部 中央农办 环境保护部 农业部关于落实《国务院办公厅关于改善农村人居环境的指导意见》有关工作的通知（建村〔2014〕102号）</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（4）</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《重点流域水污染防治规划（2011-2015年）》；</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（5）</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《云南省地表水水环境功能区划（2010~2020年）》（云南省环境保护厅，云环发〔2014〕34号）；</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（6）《云南省主体功能区规划》（2014年1月）；</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（7）</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《云南省生态功能区划》；</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（8）</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《云南省人民政府办公厅关于加强城镇集中式饮用水源保护工作的通知》（云政办发〔2007〕106号）；</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（9）</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《云南省水污染防治工作方案》（云政发〔2016〕3号）</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（10）《云南省水源地环境保护攻坚战实施方案》（云环发〔</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201</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9</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4</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号</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（11）《云南省集中式饮用水水源地保护工作方案》（云污防水源〔</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201</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9</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1</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号</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pStyle w:val="3"/>
        <w:rPr>
          <w:color w:val="0D0D0D" w:themeColor="text1" w:themeTint="F2"/>
          <w14:textFill>
            <w14:solidFill>
              <w14:schemeClr w14:val="tx1">
                <w14:lumMod w14:val="95000"/>
                <w14:lumOff w14:val="5000"/>
              </w14:schemeClr>
            </w14:solidFill>
          </w14:textFill>
        </w:rPr>
      </w:pPr>
      <w:bookmarkStart w:id="24" w:name="_Toc478744142"/>
      <w:bookmarkStart w:id="25" w:name="_Toc27522179"/>
      <w:r>
        <w:rPr>
          <w:color w:val="0D0D0D" w:themeColor="text1" w:themeTint="F2"/>
          <w14:textFill>
            <w14:solidFill>
              <w14:schemeClr w14:val="tx1">
                <w14:lumMod w14:val="95000"/>
                <w14:lumOff w14:val="5000"/>
              </w14:schemeClr>
            </w14:solidFill>
          </w14:textFill>
        </w:rPr>
        <w:t>1.</w:t>
      </w:r>
      <w:r>
        <w:rPr>
          <w:rFonts w:hint="eastAsia"/>
          <w:color w:val="0D0D0D" w:themeColor="text1" w:themeTint="F2"/>
          <w14:textFill>
            <w14:solidFill>
              <w14:schemeClr w14:val="tx1">
                <w14:lumMod w14:val="95000"/>
                <w14:lumOff w14:val="5000"/>
              </w14:schemeClr>
            </w14:solidFill>
          </w14:textFill>
        </w:rPr>
        <w:t>3</w:t>
      </w:r>
      <w:r>
        <w:rPr>
          <w:color w:val="0D0D0D" w:themeColor="text1" w:themeTint="F2"/>
          <w14:textFill>
            <w14:solidFill>
              <w14:schemeClr w14:val="tx1">
                <w14:lumMod w14:val="95000"/>
                <w14:lumOff w14:val="5000"/>
              </w14:schemeClr>
            </w14:solidFill>
          </w14:textFill>
        </w:rPr>
        <w:t xml:space="preserve"> </w:t>
      </w:r>
      <w:bookmarkEnd w:id="24"/>
      <w:r>
        <w:rPr>
          <w:rFonts w:hint="eastAsia"/>
          <w:color w:val="0D0D0D" w:themeColor="text1" w:themeTint="F2"/>
          <w14:textFill>
            <w14:solidFill>
              <w14:schemeClr w14:val="tx1">
                <w14:lumMod w14:val="95000"/>
                <w14:lumOff w14:val="5000"/>
              </w14:schemeClr>
            </w14:solidFill>
          </w14:textFill>
        </w:rPr>
        <w:t>技术路线</w:t>
      </w:r>
      <w:bookmarkEnd w:id="25"/>
    </w:p>
    <w:p>
      <w:pPr>
        <w:adjustRightInd w:val="0"/>
        <w:snapToGrid w:val="0"/>
        <w:spacing w:line="360" w:lineRule="auto"/>
        <w:ind w:firstLine="560"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结合环境基础情况调查、土地利用现状，依据《饮用水水源保护区划分技术规范》（HJ</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 xml:space="preserve"> </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338-</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2018</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），对</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富源县富村镇亦佐</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水库</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饮用水水源地</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保护区进行划分。</w:t>
      </w:r>
    </w:p>
    <w:p>
      <w:pPr>
        <w:spacing w:line="360" w:lineRule="auto"/>
        <w:jc w:val="cente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drawing>
          <wp:inline distT="0" distB="0" distL="0" distR="0">
            <wp:extent cx="2733675" cy="5514975"/>
            <wp:effectExtent l="0" t="0" r="9525" b="952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733675" cy="5514975"/>
                    </a:xfrm>
                    <a:prstGeom prst="rect">
                      <a:avLst/>
                    </a:prstGeom>
                  </pic:spPr>
                </pic:pic>
              </a:graphicData>
            </a:graphic>
          </wp:inline>
        </w:drawing>
      </w:r>
    </w:p>
    <w:p>
      <w:pPr>
        <w:spacing w:line="360" w:lineRule="auto"/>
        <w:jc w:val="cente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图1</w:t>
      </w:r>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3-</w:t>
      </w:r>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 xml:space="preserve">1  </w:t>
      </w: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富源县饮用水水源地保护区划分技术路线</w:t>
      </w:r>
    </w:p>
    <w:p>
      <w:pPr>
        <w:spacing w:line="360" w:lineRule="auto"/>
        <w:ind w:firstLine="560"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p>
    <w:p>
      <w:pPr>
        <w:widowControl/>
        <w:jc w:val="left"/>
        <w:rPr>
          <w:rFonts w:ascii="Times New Roman" w:hAnsi="Times New Roman" w:eastAsia="仿宋"/>
          <w:b/>
          <w:bCs/>
          <w:color w:val="0D0D0D" w:themeColor="text1" w:themeTint="F2"/>
          <w:kern w:val="44"/>
          <w:sz w:val="36"/>
          <w:szCs w:val="44"/>
          <w14:textFill>
            <w14:solidFill>
              <w14:schemeClr w14:val="tx1">
                <w14:lumMod w14:val="95000"/>
                <w14:lumOff w14:val="5000"/>
              </w14:schemeClr>
            </w14:solidFill>
          </w14:textFill>
        </w:rPr>
        <w:sectPr>
          <w:footerReference r:id="rId7" w:type="default"/>
          <w:pgSz w:w="11906" w:h="16838"/>
          <w:pgMar w:top="1440" w:right="1800" w:bottom="1440" w:left="1800" w:header="851" w:footer="992" w:gutter="0"/>
          <w:pgNumType w:fmt="numberInDash" w:start="1"/>
          <w:cols w:space="425" w:num="1"/>
          <w:docGrid w:type="lines" w:linePitch="312" w:charSpace="0"/>
        </w:sectPr>
      </w:pPr>
    </w:p>
    <w:p>
      <w:pPr>
        <w:widowControl/>
        <w:snapToGrid w:val="0"/>
        <w:spacing w:line="360" w:lineRule="auto"/>
        <w:jc w:val="center"/>
        <w:outlineLvl w:val="0"/>
        <w:rPr>
          <w:rFonts w:ascii="Times New Roman" w:hAnsi="Times New Roman" w:eastAsia="仿宋" w:cs="Times New Roman"/>
          <w:b/>
          <w:color w:val="0D0D0D" w:themeColor="text1" w:themeTint="F2"/>
          <w:sz w:val="36"/>
          <w:szCs w:val="36"/>
          <w14:textFill>
            <w14:solidFill>
              <w14:schemeClr w14:val="tx1">
                <w14:lumMod w14:val="95000"/>
                <w14:lumOff w14:val="5000"/>
              </w14:schemeClr>
            </w14:solidFill>
          </w14:textFill>
        </w:rPr>
      </w:pPr>
      <w:bookmarkStart w:id="26" w:name="_Toc27522180"/>
      <w:r>
        <w:rPr>
          <w:rFonts w:hint="eastAsia" w:ascii="Times New Roman" w:hAnsi="Times New Roman" w:eastAsia="仿宋" w:cs="Times New Roman"/>
          <w:b/>
          <w:color w:val="0D0D0D" w:themeColor="text1" w:themeTint="F2"/>
          <w:sz w:val="36"/>
          <w:szCs w:val="36"/>
          <w14:textFill>
            <w14:solidFill>
              <w14:schemeClr w14:val="tx1">
                <w14:lumMod w14:val="95000"/>
                <w14:lumOff w14:val="5000"/>
              </w14:schemeClr>
            </w14:solidFill>
          </w14:textFill>
        </w:rPr>
        <w:t xml:space="preserve">第二章 </w:t>
      </w:r>
      <w:r>
        <w:rPr>
          <w:rFonts w:ascii="Times New Roman" w:hAnsi="Times New Roman" w:eastAsia="仿宋" w:cs="Times New Roman"/>
          <w:b/>
          <w:color w:val="0D0D0D" w:themeColor="text1" w:themeTint="F2"/>
          <w:sz w:val="36"/>
          <w:szCs w:val="36"/>
          <w14:textFill>
            <w14:solidFill>
              <w14:schemeClr w14:val="tx1">
                <w14:lumMod w14:val="95000"/>
                <w14:lumOff w14:val="5000"/>
              </w14:schemeClr>
            </w14:solidFill>
          </w14:textFill>
        </w:rPr>
        <w:t>饮用水</w:t>
      </w:r>
      <w:r>
        <w:rPr>
          <w:rFonts w:hint="eastAsia" w:ascii="Times New Roman" w:hAnsi="Times New Roman" w:eastAsia="仿宋" w:cs="Times New Roman"/>
          <w:b/>
          <w:color w:val="0D0D0D" w:themeColor="text1" w:themeTint="F2"/>
          <w:sz w:val="36"/>
          <w:szCs w:val="36"/>
          <w14:textFill>
            <w14:solidFill>
              <w14:schemeClr w14:val="tx1">
                <w14:lumMod w14:val="95000"/>
                <w14:lumOff w14:val="5000"/>
              </w14:schemeClr>
            </w14:solidFill>
          </w14:textFill>
        </w:rPr>
        <w:t>水源基础环境状况</w:t>
      </w:r>
      <w:bookmarkEnd w:id="26"/>
    </w:p>
    <w:p>
      <w:pPr>
        <w:pStyle w:val="3"/>
        <w:rPr>
          <w:color w:val="0D0D0D" w:themeColor="text1" w:themeTint="F2"/>
          <w14:textFill>
            <w14:solidFill>
              <w14:schemeClr w14:val="tx1">
                <w14:lumMod w14:val="95000"/>
                <w14:lumOff w14:val="5000"/>
              </w14:schemeClr>
            </w14:solidFill>
          </w14:textFill>
        </w:rPr>
      </w:pPr>
      <w:bookmarkStart w:id="27" w:name="_Toc10729966"/>
      <w:bookmarkStart w:id="28" w:name="_Toc12456051"/>
      <w:bookmarkStart w:id="29" w:name="_Toc27522181"/>
      <w:r>
        <w:rPr>
          <w:color w:val="0D0D0D" w:themeColor="text1" w:themeTint="F2"/>
          <w14:textFill>
            <w14:solidFill>
              <w14:schemeClr w14:val="tx1">
                <w14:lumMod w14:val="95000"/>
                <w14:lumOff w14:val="5000"/>
              </w14:schemeClr>
            </w14:solidFill>
          </w14:textFill>
        </w:rPr>
        <w:t xml:space="preserve">2.1 </w:t>
      </w:r>
      <w:r>
        <w:rPr>
          <w:rFonts w:hint="eastAsia"/>
          <w:color w:val="0D0D0D" w:themeColor="text1" w:themeTint="F2"/>
          <w14:textFill>
            <w14:solidFill>
              <w14:schemeClr w14:val="tx1">
                <w14:lumMod w14:val="95000"/>
                <w14:lumOff w14:val="5000"/>
              </w14:schemeClr>
            </w14:solidFill>
          </w14:textFill>
        </w:rPr>
        <w:t>饮用水水源地所在区域的自然状况</w:t>
      </w:r>
      <w:bookmarkEnd w:id="27"/>
      <w:bookmarkEnd w:id="28"/>
      <w:bookmarkEnd w:id="29"/>
    </w:p>
    <w:p>
      <w:pPr>
        <w:pStyle w:val="4"/>
        <w:rPr>
          <w:color w:val="0D0D0D" w:themeColor="text1" w:themeTint="F2"/>
          <w14:textFill>
            <w14:solidFill>
              <w14:schemeClr w14:val="tx1">
                <w14:lumMod w14:val="95000"/>
                <w14:lumOff w14:val="5000"/>
              </w14:schemeClr>
            </w14:solidFill>
          </w14:textFill>
        </w:rPr>
      </w:pPr>
      <w:bookmarkStart w:id="30" w:name="_Toc27522182"/>
      <w:bookmarkStart w:id="31" w:name="_Toc10729967"/>
      <w:bookmarkStart w:id="32" w:name="_Toc12456052"/>
      <w:r>
        <w:rPr>
          <w:rFonts w:hint="eastAsia"/>
          <w:color w:val="0D0D0D" w:themeColor="text1" w:themeTint="F2"/>
          <w14:textFill>
            <w14:solidFill>
              <w14:schemeClr w14:val="tx1">
                <w14:lumMod w14:val="95000"/>
                <w14:lumOff w14:val="5000"/>
              </w14:schemeClr>
            </w14:solidFill>
          </w14:textFill>
        </w:rPr>
        <w:t>2.1.1 地理位置</w:t>
      </w:r>
      <w:bookmarkEnd w:id="30"/>
      <w:bookmarkEnd w:id="31"/>
      <w:bookmarkEnd w:id="32"/>
    </w:p>
    <w:p>
      <w:pPr>
        <w:adjustRightInd w:val="0"/>
        <w:snapToGrid w:val="0"/>
        <w:spacing w:line="360" w:lineRule="auto"/>
        <w:ind w:firstLine="560"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富源县位于云南省东部，地处东经</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103°58~104°49'，北纬25°~25°58'</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之间，东接贵州省盘县、兴义，西连沾益县和麒麟区，南抵罗平县，北依宣威市。县城距曲靖市政府驻地麒麟城63km，距省政府驻地昆明198km。</w:t>
      </w:r>
    </w:p>
    <w:p>
      <w:pPr>
        <w:adjustRightInd w:val="0"/>
        <w:snapToGrid w:val="0"/>
        <w:spacing w:line="360" w:lineRule="auto"/>
        <w:ind w:firstLine="560"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亦佐水库位于富源县富村镇，地理位置为东经</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104°26'53"，北纬25°20'21"。</w:t>
      </w:r>
    </w:p>
    <w:p>
      <w:pPr>
        <w:pStyle w:val="4"/>
        <w:rPr>
          <w:color w:val="0D0D0D" w:themeColor="text1" w:themeTint="F2"/>
          <w14:textFill>
            <w14:solidFill>
              <w14:schemeClr w14:val="tx1">
                <w14:lumMod w14:val="95000"/>
                <w14:lumOff w14:val="5000"/>
              </w14:schemeClr>
            </w14:solidFill>
          </w14:textFill>
        </w:rPr>
      </w:pPr>
      <w:bookmarkStart w:id="33" w:name="_Toc27522183"/>
      <w:bookmarkStart w:id="34" w:name="_Toc10729968"/>
      <w:bookmarkStart w:id="35" w:name="_Toc12456053"/>
      <w:r>
        <w:rPr>
          <w:rFonts w:hint="eastAsia"/>
          <w:color w:val="0D0D0D" w:themeColor="text1" w:themeTint="F2"/>
          <w14:textFill>
            <w14:solidFill>
              <w14:schemeClr w14:val="tx1">
                <w14:lumMod w14:val="95000"/>
                <w14:lumOff w14:val="5000"/>
              </w14:schemeClr>
            </w14:solidFill>
          </w14:textFill>
        </w:rPr>
        <w:t>2.1.2 地形地貌</w:t>
      </w:r>
      <w:bookmarkEnd w:id="33"/>
      <w:bookmarkEnd w:id="34"/>
      <w:bookmarkEnd w:id="35"/>
    </w:p>
    <w:p>
      <w:pPr>
        <w:adjustRightInd w:val="0"/>
        <w:snapToGrid w:val="0"/>
        <w:spacing w:line="360" w:lineRule="auto"/>
        <w:ind w:firstLine="560"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富源县地势由西北向东南略倾斜，乌蒙山支脉自北向南纵贯全境。东北部的老黑山（主峰2737m）由北向南展布；西部的东山（主峰营盘山海拔2749.9m），由北向东展布；南部的十八连山（主峰海拔2410m），东北走向。县城坐落在峦岗、白马、定南山之间的鸣凤山上，北高南低成缓坡形。东门河、西门河由北向南，汇入城南小黄河（块择河上游）。县境内海拔最高点在墨红镇的营盘山，为2748.9m，海拔最低点在古敢水族乡的特土峡谷，为1100m。乌蒙山支脉从北向南纵贯全境。</w:t>
      </w:r>
    </w:p>
    <w:p>
      <w:pPr>
        <w:pStyle w:val="4"/>
        <w:rPr>
          <w:color w:val="0D0D0D" w:themeColor="text1" w:themeTint="F2"/>
          <w14:textFill>
            <w14:solidFill>
              <w14:schemeClr w14:val="tx1">
                <w14:lumMod w14:val="95000"/>
                <w14:lumOff w14:val="5000"/>
              </w14:schemeClr>
            </w14:solidFill>
          </w14:textFill>
        </w:rPr>
      </w:pPr>
      <w:bookmarkStart w:id="36" w:name="_Toc12456054"/>
      <w:bookmarkStart w:id="37" w:name="_Toc27522184"/>
      <w:bookmarkStart w:id="38" w:name="_Toc10729969"/>
      <w:r>
        <w:rPr>
          <w:rFonts w:hint="eastAsia"/>
          <w:color w:val="0D0D0D" w:themeColor="text1" w:themeTint="F2"/>
          <w14:textFill>
            <w14:solidFill>
              <w14:schemeClr w14:val="tx1">
                <w14:lumMod w14:val="95000"/>
                <w14:lumOff w14:val="5000"/>
              </w14:schemeClr>
            </w14:solidFill>
          </w14:textFill>
        </w:rPr>
        <w:t>2.1.3 气候特征</w:t>
      </w:r>
      <w:bookmarkEnd w:id="36"/>
      <w:bookmarkEnd w:id="37"/>
      <w:bookmarkEnd w:id="38"/>
    </w:p>
    <w:p>
      <w:pPr>
        <w:adjustRightInd w:val="0"/>
        <w:snapToGrid w:val="0"/>
        <w:spacing w:line="360" w:lineRule="auto"/>
        <w:ind w:firstLine="560"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富源县境内属南温带山地季风型半湿润气候。由于地处低纬高原，山高谷深，坡陡流急，地形地貌复杂，形成南部热、中部暖、北部凉的区域气候；又在垂直差异上形成槽坝热、半山暖、山区凉、高山寒的立体气候。年平均气温 13.8℃，最高月均气温19.8℃，最低月均气温5.7℃。年平均降雨量1093.7mm，其中5~10月为雨季，占降雨量的87.1%，11月至次年4月为少雨干季，雨量占12.9%。年均相对湿度为75%。全年无霜期180～260天。年均日照时数1819.8小时。</w:t>
      </w:r>
    </w:p>
    <w:p>
      <w:pPr>
        <w:pStyle w:val="4"/>
        <w:rPr>
          <w:color w:val="0D0D0D" w:themeColor="text1" w:themeTint="F2"/>
          <w14:textFill>
            <w14:solidFill>
              <w14:schemeClr w14:val="tx1">
                <w14:lumMod w14:val="95000"/>
                <w14:lumOff w14:val="5000"/>
              </w14:schemeClr>
            </w14:solidFill>
          </w14:textFill>
        </w:rPr>
      </w:pPr>
      <w:bookmarkStart w:id="39" w:name="_Toc27522185"/>
      <w:bookmarkStart w:id="40" w:name="_Toc12456055"/>
      <w:bookmarkStart w:id="41" w:name="_Toc10729970"/>
      <w:r>
        <w:rPr>
          <w:rFonts w:hint="eastAsia"/>
          <w:color w:val="0D0D0D" w:themeColor="text1" w:themeTint="F2"/>
          <w14:textFill>
            <w14:solidFill>
              <w14:schemeClr w14:val="tx1">
                <w14:lumMod w14:val="95000"/>
                <w14:lumOff w14:val="5000"/>
              </w14:schemeClr>
            </w14:solidFill>
          </w14:textFill>
        </w:rPr>
        <w:t>2.1.4 水文水资源状况</w:t>
      </w:r>
      <w:bookmarkEnd w:id="39"/>
      <w:bookmarkEnd w:id="40"/>
      <w:bookmarkEnd w:id="41"/>
    </w:p>
    <w:p>
      <w:pPr>
        <w:adjustRightInd w:val="0"/>
        <w:snapToGrid w:val="0"/>
        <w:spacing w:line="360" w:lineRule="auto"/>
        <w:ind w:firstLine="560"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富源县境内河流属于珠江流域的西江水系，多呈纵向分布，主要河流有块泽河、黄泥河、嘉河、丕德河等。其中块泽河是县境内的第一大河，黄泥河为县境内的第二大河。在河流的支系归属上，除嘉河属北盘江外，其余均属南盘江支流。富源县境内不仅河网密布，而且水库众多，据统计，富源县境内共有中型水库2座（石坝水库、响水河水库），小型水库51座，县境内地下水露头（泉）较多，而且冷水泉、温水泉、热水泉类型齐全。</w:t>
      </w:r>
    </w:p>
    <w:p>
      <w:pPr>
        <w:pStyle w:val="3"/>
        <w:rPr>
          <w:color w:val="0D0D0D" w:themeColor="text1" w:themeTint="F2"/>
          <w14:textFill>
            <w14:solidFill>
              <w14:schemeClr w14:val="tx1">
                <w14:lumMod w14:val="95000"/>
                <w14:lumOff w14:val="5000"/>
              </w14:schemeClr>
            </w14:solidFill>
          </w14:textFill>
        </w:rPr>
      </w:pPr>
      <w:bookmarkStart w:id="42" w:name="_Toc12456056"/>
      <w:bookmarkStart w:id="43" w:name="_Toc27522186"/>
      <w:bookmarkStart w:id="44" w:name="_Toc10729972"/>
      <w:r>
        <w:rPr>
          <w:color w:val="0D0D0D" w:themeColor="text1" w:themeTint="F2"/>
          <w14:textFill>
            <w14:solidFill>
              <w14:schemeClr w14:val="tx1">
                <w14:lumMod w14:val="95000"/>
                <w14:lumOff w14:val="5000"/>
              </w14:schemeClr>
            </w14:solidFill>
          </w14:textFill>
        </w:rPr>
        <w:t>2.2</w:t>
      </w:r>
      <w:r>
        <w:rPr>
          <w:rFonts w:hint="eastAsia"/>
          <w:color w:val="0D0D0D" w:themeColor="text1" w:themeTint="F2"/>
          <w14:textFill>
            <w14:solidFill>
              <w14:schemeClr w14:val="tx1">
                <w14:lumMod w14:val="95000"/>
                <w14:lumOff w14:val="5000"/>
              </w14:schemeClr>
            </w14:solidFill>
          </w14:textFill>
        </w:rPr>
        <w:t xml:space="preserve"> 饮用水水源地所在区域的</w:t>
      </w:r>
      <w:r>
        <w:rPr>
          <w:color w:val="0D0D0D" w:themeColor="text1" w:themeTint="F2"/>
          <w14:textFill>
            <w14:solidFill>
              <w14:schemeClr w14:val="tx1">
                <w14:lumMod w14:val="95000"/>
                <w14:lumOff w14:val="5000"/>
              </w14:schemeClr>
            </w14:solidFill>
          </w14:textFill>
        </w:rPr>
        <w:t>社会经济状况</w:t>
      </w:r>
      <w:bookmarkEnd w:id="42"/>
      <w:bookmarkEnd w:id="43"/>
      <w:bookmarkEnd w:id="44"/>
    </w:p>
    <w:p>
      <w:pPr>
        <w:adjustRightInd w:val="0"/>
        <w:snapToGrid w:val="0"/>
        <w:spacing w:line="360" w:lineRule="auto"/>
        <w:ind w:firstLine="560"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富源县辖9镇1乡2街道</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。即：</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中安街道、胜境街道、后所镇、墨红镇、大河镇、营上镇、竹园镇、富村镇、十八连山镇、老厂镇、黄泥河镇和古敢水族乡。2018年末全县户籍总人口为834404人，其中：城镇人口216480人，乡村人口617924人，少数民族人口84565人。2018年全县实现生产总值1553458万元，按照可比价计算比上年增长9.5%。其中：第一产业实现增加值373832万元，同比增长6.3%；第二产业实现增加值502285万元，同比增长12.9%；第三产业实现增加值677341万元，同比增长8.5%；全县三次产业结构比例为24.1：32.3：43.6。全年城镇居民人均可支配收入达34725元，农村居民人均可支配收入12473元。</w:t>
      </w:r>
    </w:p>
    <w:p>
      <w:pPr>
        <w:adjustRightInd w:val="0"/>
        <w:snapToGrid w:val="0"/>
        <w:spacing w:line="360" w:lineRule="auto"/>
        <w:ind w:firstLine="560"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亦佐水库位于富源县富村镇亦佐村委会，涉及乡镇及村委会社会经济概况统计如下。</w:t>
      </w:r>
    </w:p>
    <w:p>
      <w:pPr>
        <w:adjustRightInd w:val="0"/>
        <w:snapToGrid w:val="0"/>
        <w:spacing w:line="360" w:lineRule="auto"/>
        <w:ind w:firstLine="562" w:firstLineChars="200"/>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（2）富村镇</w:t>
      </w:r>
    </w:p>
    <w:p>
      <w:pPr>
        <w:adjustRightInd w:val="0"/>
        <w:snapToGrid w:val="0"/>
        <w:spacing w:line="360" w:lineRule="auto"/>
        <w:ind w:firstLine="560"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富村镇位于富源县中部，距县城63km，国土总面积330.53km</w:t>
      </w:r>
      <w:r>
        <w:rPr>
          <w:rFonts w:hint="eastAsia" w:ascii="Times New Roman" w:hAnsi="Times New Roman" w:eastAsia="仿宋" w:cs="Times New Roman"/>
          <w:color w:val="0D0D0D" w:themeColor="text1" w:themeTint="F2"/>
          <w:sz w:val="28"/>
          <w:szCs w:val="28"/>
          <w:vertAlign w:val="superscript"/>
          <w14:textFill>
            <w14:solidFill>
              <w14:schemeClr w14:val="tx1">
                <w14:lumMod w14:val="95000"/>
                <w14:lumOff w14:val="5000"/>
              </w14:schemeClr>
            </w14:solidFill>
          </w14:textFill>
        </w:rPr>
        <w:t>2</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，耕地面积6711.4hm</w:t>
      </w:r>
      <w:r>
        <w:rPr>
          <w:rFonts w:hint="eastAsia" w:ascii="Times New Roman" w:hAnsi="Times New Roman" w:eastAsia="仿宋" w:cs="Times New Roman"/>
          <w:color w:val="0D0D0D" w:themeColor="text1" w:themeTint="F2"/>
          <w:sz w:val="28"/>
          <w:szCs w:val="28"/>
          <w:vertAlign w:val="superscript"/>
          <w14:textFill>
            <w14:solidFill>
              <w14:schemeClr w14:val="tx1">
                <w14:lumMod w14:val="95000"/>
                <w14:lumOff w14:val="5000"/>
              </w14:schemeClr>
            </w14:solidFill>
          </w14:textFill>
        </w:rPr>
        <w:t>2</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平均海拔1980m。2016年末，全镇辖21个村（居）委会，204个自然村，271个村（居）民小组（14个居民小组、257个村民小组），2.39万户10.45万人，其中非农业人口9141人，少数民族8439人。2016年国民生产总值实现18.56亿元，同比增长8%；粮食播种面积13.85万亩，实现总产量5545万公斤；肉猪出栏19.5万头、肉牛出栏1.2万头、肉羊出栏2.55万只、禽类出栏78.2万羽，实现畜牧业总产值达2.75亿元。</w:t>
      </w:r>
    </w:p>
    <w:p>
      <w:pPr>
        <w:adjustRightInd w:val="0"/>
        <w:snapToGrid w:val="0"/>
        <w:spacing w:line="360" w:lineRule="auto"/>
        <w:ind w:firstLine="562" w:firstLineChars="200"/>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（2）亦佐水库保护区范围</w:t>
      </w:r>
    </w:p>
    <w:p>
      <w:pPr>
        <w:adjustRightInd w:val="0"/>
        <w:snapToGrid w:val="0"/>
        <w:spacing w:line="360" w:lineRule="auto"/>
        <w:ind w:firstLine="560"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亦佐水库保护区内无农村居民点，涉及耕地面积22.64hm</w:t>
      </w:r>
      <w:r>
        <w:rPr>
          <w:rFonts w:ascii="Times New Roman" w:hAnsi="Times New Roman" w:eastAsia="仿宋" w:cs="Times New Roman"/>
          <w:color w:val="0D0D0D" w:themeColor="text1" w:themeTint="F2"/>
          <w:sz w:val="28"/>
          <w:szCs w:val="28"/>
          <w:vertAlign w:val="superscript"/>
          <w14:textFill>
            <w14:solidFill>
              <w14:schemeClr w14:val="tx1">
                <w14:lumMod w14:val="95000"/>
                <w14:lumOff w14:val="5000"/>
              </w14:schemeClr>
            </w14:solidFill>
          </w14:textFill>
        </w:rPr>
        <w:t>2</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，均为旱地</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pStyle w:val="3"/>
        <w:rPr>
          <w:color w:val="0D0D0D" w:themeColor="text1" w:themeTint="F2"/>
          <w14:textFill>
            <w14:solidFill>
              <w14:schemeClr w14:val="tx1">
                <w14:lumMod w14:val="95000"/>
                <w14:lumOff w14:val="5000"/>
              </w14:schemeClr>
            </w14:solidFill>
          </w14:textFill>
        </w:rPr>
      </w:pPr>
      <w:bookmarkStart w:id="45" w:name="_Toc12621568"/>
      <w:bookmarkStart w:id="46" w:name="_Toc25679051"/>
      <w:bookmarkStart w:id="47" w:name="_Toc27522187"/>
      <w:r>
        <w:rPr>
          <w:color w:val="0D0D0D" w:themeColor="text1" w:themeTint="F2"/>
          <w14:textFill>
            <w14:solidFill>
              <w14:schemeClr w14:val="tx1">
                <w14:lumMod w14:val="95000"/>
                <w14:lumOff w14:val="5000"/>
              </w14:schemeClr>
            </w14:solidFill>
          </w14:textFill>
        </w:rPr>
        <w:t>2.</w:t>
      </w:r>
      <w:r>
        <w:rPr>
          <w:rFonts w:hint="eastAsia"/>
          <w:color w:val="0D0D0D" w:themeColor="text1" w:themeTint="F2"/>
          <w14:textFill>
            <w14:solidFill>
              <w14:schemeClr w14:val="tx1">
                <w14:lumMod w14:val="95000"/>
                <w14:lumOff w14:val="5000"/>
              </w14:schemeClr>
            </w14:solidFill>
          </w14:textFill>
        </w:rPr>
        <w:t>3 饮用水水源地周边城乡土地使用现状及规划情况</w:t>
      </w:r>
      <w:bookmarkEnd w:id="45"/>
      <w:bookmarkEnd w:id="46"/>
      <w:bookmarkEnd w:id="47"/>
    </w:p>
    <w:p>
      <w:pPr>
        <w:adjustRightInd w:val="0"/>
        <w:snapToGrid w:val="0"/>
        <w:spacing w:line="360" w:lineRule="auto"/>
        <w:ind w:firstLine="560"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根据现场踏勘，结合</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富源县自然资源局提供数据和</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卫星影像图，</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对亦佐水库</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饮用水水源</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保护区范围</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内土地利用现状进行</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统计</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分析，</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亦佐水库</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保护区内土地利用方式主要为灌木林地，占保护区面积的34.99%；其次是旱地，占保护区面积的31.11%；有林地占保护区面积的23.14%；草地占保护区面积的4.48%;水域占保护区面积的4.48%；建设用地面积较小。亦佐水库保护区土地利用现状见表2</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3-1、图2.3-1。</w:t>
      </w:r>
    </w:p>
    <w:p>
      <w:pPr>
        <w:spacing w:line="480" w:lineRule="exact"/>
        <w:jc w:val="center"/>
        <w:rPr>
          <w:rFonts w:ascii="Times New Roman" w:hAnsi="Times New Roman" w:eastAsia="仿宋" w:cs="Times New Roman"/>
          <w:b/>
          <w:color w:val="0D0D0D" w:themeColor="text1" w:themeTint="F2"/>
          <w:sz w:val="28"/>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28"/>
          <w:szCs w:val="24"/>
          <w14:textFill>
            <w14:solidFill>
              <w14:schemeClr w14:val="tx1">
                <w14:lumMod w14:val="95000"/>
                <w14:lumOff w14:val="5000"/>
              </w14:schemeClr>
            </w14:solidFill>
          </w14:textFill>
        </w:rPr>
        <w:t>表2.</w:t>
      </w:r>
      <w:r>
        <w:rPr>
          <w:rFonts w:hint="eastAsia" w:ascii="Times New Roman" w:hAnsi="Times New Roman" w:eastAsia="仿宋" w:cs="Times New Roman"/>
          <w:b/>
          <w:color w:val="0D0D0D" w:themeColor="text1" w:themeTint="F2"/>
          <w:sz w:val="28"/>
          <w:szCs w:val="24"/>
          <w14:textFill>
            <w14:solidFill>
              <w14:schemeClr w14:val="tx1">
                <w14:lumMod w14:val="95000"/>
                <w14:lumOff w14:val="5000"/>
              </w14:schemeClr>
            </w14:solidFill>
          </w14:textFill>
        </w:rPr>
        <w:t>3</w:t>
      </w:r>
      <w:r>
        <w:rPr>
          <w:rFonts w:ascii="Times New Roman" w:hAnsi="Times New Roman" w:eastAsia="仿宋" w:cs="Times New Roman"/>
          <w:b/>
          <w:color w:val="0D0D0D" w:themeColor="text1" w:themeTint="F2"/>
          <w:sz w:val="28"/>
          <w:szCs w:val="24"/>
          <w14:textFill>
            <w14:solidFill>
              <w14:schemeClr w14:val="tx1">
                <w14:lumMod w14:val="95000"/>
                <w14:lumOff w14:val="5000"/>
              </w14:schemeClr>
            </w14:solidFill>
          </w14:textFill>
        </w:rPr>
        <w:t>-</w:t>
      </w:r>
      <w:r>
        <w:rPr>
          <w:rFonts w:hint="eastAsia" w:ascii="Times New Roman" w:hAnsi="Times New Roman" w:eastAsia="仿宋" w:cs="Times New Roman"/>
          <w:b/>
          <w:color w:val="0D0D0D" w:themeColor="text1" w:themeTint="F2"/>
          <w:sz w:val="28"/>
          <w:szCs w:val="24"/>
          <w14:textFill>
            <w14:solidFill>
              <w14:schemeClr w14:val="tx1">
                <w14:lumMod w14:val="95000"/>
                <w14:lumOff w14:val="5000"/>
              </w14:schemeClr>
            </w14:solidFill>
          </w14:textFill>
        </w:rPr>
        <w:t>1</w:t>
      </w:r>
      <w:r>
        <w:rPr>
          <w:rFonts w:ascii="Times New Roman" w:hAnsi="Times New Roman" w:eastAsia="仿宋" w:cs="Times New Roman"/>
          <w:b/>
          <w:color w:val="0D0D0D" w:themeColor="text1" w:themeTint="F2"/>
          <w:sz w:val="28"/>
          <w:szCs w:val="24"/>
          <w14:textFill>
            <w14:solidFill>
              <w14:schemeClr w14:val="tx1">
                <w14:lumMod w14:val="95000"/>
                <w14:lumOff w14:val="5000"/>
              </w14:schemeClr>
            </w14:solidFill>
          </w14:textFill>
        </w:rPr>
        <w:t xml:space="preserve">  </w:t>
      </w:r>
      <w:r>
        <w:rPr>
          <w:rFonts w:hint="eastAsia" w:ascii="Times New Roman" w:hAnsi="Times New Roman" w:eastAsia="仿宋" w:cs="Times New Roman"/>
          <w:b/>
          <w:color w:val="0D0D0D" w:themeColor="text1" w:themeTint="F2"/>
          <w:sz w:val="28"/>
          <w:szCs w:val="24"/>
          <w14:textFill>
            <w14:solidFill>
              <w14:schemeClr w14:val="tx1">
                <w14:lumMod w14:val="95000"/>
                <w14:lumOff w14:val="5000"/>
              </w14:schemeClr>
            </w14:solidFill>
          </w14:textFill>
        </w:rPr>
        <w:t>亦佐水库保护区土地利用现状</w:t>
      </w:r>
    </w:p>
    <w:tbl>
      <w:tblPr>
        <w:tblStyle w:val="44"/>
        <w:tblW w:w="9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3"/>
        <w:gridCol w:w="2694"/>
        <w:gridCol w:w="2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4503" w:type="dxa"/>
            <w:vMerge w:val="restart"/>
            <w:shd w:val="clear" w:color="auto" w:fill="D8D8D8" w:themeFill="background1" w:themeFillShade="D9"/>
            <w:vAlign w:val="center"/>
          </w:tcPr>
          <w:p>
            <w:pPr>
              <w:jc w:val="center"/>
              <w:rPr>
                <w:rFonts w:eastAsia="仿宋"/>
                <w:b/>
                <w:color w:val="0D0D0D" w:themeColor="text1" w:themeTint="F2"/>
                <w:sz w:val="24"/>
                <w:szCs w:val="24"/>
                <w14:textFill>
                  <w14:solidFill>
                    <w14:schemeClr w14:val="tx1">
                      <w14:lumMod w14:val="95000"/>
                      <w14:lumOff w14:val="5000"/>
                    </w14:schemeClr>
                  </w14:solidFill>
                </w14:textFill>
              </w:rPr>
            </w:pPr>
            <w:r>
              <w:rPr>
                <w:rFonts w:hint="eastAsia" w:eastAsia="仿宋"/>
                <w:b/>
                <w:color w:val="0D0D0D" w:themeColor="text1" w:themeTint="F2"/>
                <w:sz w:val="24"/>
                <w:szCs w:val="24"/>
                <w14:textFill>
                  <w14:solidFill>
                    <w14:schemeClr w14:val="tx1">
                      <w14:lumMod w14:val="95000"/>
                      <w14:lumOff w14:val="5000"/>
                    </w14:schemeClr>
                  </w14:solidFill>
                </w14:textFill>
              </w:rPr>
              <w:t>土地利用类型</w:t>
            </w:r>
          </w:p>
        </w:tc>
        <w:tc>
          <w:tcPr>
            <w:tcW w:w="5147" w:type="dxa"/>
            <w:gridSpan w:val="2"/>
            <w:shd w:val="clear" w:color="auto" w:fill="D8D8D8" w:themeFill="background1" w:themeFillShade="D9"/>
          </w:tcPr>
          <w:p>
            <w:pPr>
              <w:jc w:val="center"/>
              <w:rPr>
                <w:rFonts w:eastAsia="仿宋"/>
                <w:b/>
                <w:color w:val="0D0D0D" w:themeColor="text1" w:themeTint="F2"/>
                <w:sz w:val="24"/>
                <w:szCs w:val="24"/>
                <w14:textFill>
                  <w14:solidFill>
                    <w14:schemeClr w14:val="tx1">
                      <w14:lumMod w14:val="95000"/>
                      <w14:lumOff w14:val="5000"/>
                    </w14:schemeClr>
                  </w14:solidFill>
                </w14:textFill>
              </w:rPr>
            </w:pPr>
            <w:r>
              <w:rPr>
                <w:rFonts w:hint="eastAsia" w:eastAsia="仿宋"/>
                <w:b/>
                <w:color w:val="0D0D0D" w:themeColor="text1" w:themeTint="F2"/>
                <w:sz w:val="24"/>
                <w:szCs w:val="24"/>
                <w14:textFill>
                  <w14:solidFill>
                    <w14:schemeClr w14:val="tx1">
                      <w14:lumMod w14:val="95000"/>
                      <w14:lumOff w14:val="5000"/>
                    </w14:schemeClr>
                  </w14:solidFill>
                </w14:textFill>
              </w:rPr>
              <w:t>亦佐水库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4503" w:type="dxa"/>
            <w:vMerge w:val="continue"/>
            <w:shd w:val="clear" w:color="auto" w:fill="D8D8D8" w:themeFill="background1" w:themeFillShade="D9"/>
            <w:vAlign w:val="center"/>
          </w:tcPr>
          <w:p>
            <w:pPr>
              <w:jc w:val="center"/>
              <w:rPr>
                <w:rFonts w:eastAsia="仿宋"/>
                <w:b/>
                <w:color w:val="0D0D0D" w:themeColor="text1" w:themeTint="F2"/>
                <w:sz w:val="24"/>
                <w:szCs w:val="24"/>
                <w14:textFill>
                  <w14:solidFill>
                    <w14:schemeClr w14:val="tx1">
                      <w14:lumMod w14:val="95000"/>
                      <w14:lumOff w14:val="5000"/>
                    </w14:schemeClr>
                  </w14:solidFill>
                </w14:textFill>
              </w:rPr>
            </w:pPr>
          </w:p>
        </w:tc>
        <w:tc>
          <w:tcPr>
            <w:tcW w:w="5147" w:type="dxa"/>
            <w:gridSpan w:val="2"/>
            <w:shd w:val="clear" w:color="auto" w:fill="D8D8D8" w:themeFill="background1" w:themeFillShade="D9"/>
          </w:tcPr>
          <w:p>
            <w:pPr>
              <w:jc w:val="center"/>
              <w:rPr>
                <w:rFonts w:eastAsia="仿宋"/>
                <w:b/>
                <w:color w:val="0D0D0D" w:themeColor="text1" w:themeTint="F2"/>
                <w:sz w:val="24"/>
                <w:szCs w:val="24"/>
                <w14:textFill>
                  <w14:solidFill>
                    <w14:schemeClr w14:val="tx1">
                      <w14:lumMod w14:val="95000"/>
                      <w14:lumOff w14:val="5000"/>
                    </w14:schemeClr>
                  </w14:solidFill>
                </w14:textFill>
              </w:rPr>
            </w:pPr>
            <w:r>
              <w:rPr>
                <w:rFonts w:hint="eastAsia" w:eastAsia="仿宋"/>
                <w:b/>
                <w:color w:val="0D0D0D" w:themeColor="text1" w:themeTint="F2"/>
                <w:sz w:val="24"/>
                <w:szCs w:val="24"/>
                <w14:textFill>
                  <w14:solidFill>
                    <w14:schemeClr w14:val="tx1">
                      <w14:lumMod w14:val="95000"/>
                      <w14:lumOff w14:val="5000"/>
                    </w14:schemeClr>
                  </w14:solidFill>
                </w14:textFill>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4503" w:type="dxa"/>
            <w:vMerge w:val="continue"/>
            <w:shd w:val="clear" w:color="auto" w:fill="D8D8D8" w:themeFill="background1" w:themeFillShade="D9"/>
            <w:vAlign w:val="center"/>
          </w:tcPr>
          <w:p>
            <w:pPr>
              <w:jc w:val="center"/>
              <w:rPr>
                <w:rFonts w:eastAsia="仿宋"/>
                <w:b/>
                <w:color w:val="0D0D0D" w:themeColor="text1" w:themeTint="F2"/>
                <w:sz w:val="24"/>
                <w:szCs w:val="24"/>
                <w14:textFill>
                  <w14:solidFill>
                    <w14:schemeClr w14:val="tx1">
                      <w14:lumMod w14:val="95000"/>
                      <w14:lumOff w14:val="5000"/>
                    </w14:schemeClr>
                  </w14:solidFill>
                </w14:textFill>
              </w:rPr>
            </w:pPr>
          </w:p>
        </w:tc>
        <w:tc>
          <w:tcPr>
            <w:tcW w:w="2694" w:type="dxa"/>
            <w:shd w:val="clear" w:color="auto" w:fill="D8D8D8" w:themeFill="background1" w:themeFillShade="D9"/>
          </w:tcPr>
          <w:p>
            <w:pPr>
              <w:jc w:val="center"/>
              <w:rPr>
                <w:rFonts w:eastAsia="仿宋"/>
                <w:b/>
                <w:color w:val="0D0D0D" w:themeColor="text1" w:themeTint="F2"/>
                <w:sz w:val="24"/>
                <w:szCs w:val="24"/>
                <w14:textFill>
                  <w14:solidFill>
                    <w14:schemeClr w14:val="tx1">
                      <w14:lumMod w14:val="95000"/>
                      <w14:lumOff w14:val="5000"/>
                    </w14:schemeClr>
                  </w14:solidFill>
                </w14:textFill>
              </w:rPr>
            </w:pPr>
            <w:r>
              <w:rPr>
                <w:rFonts w:hint="eastAsia" w:eastAsia="仿宋"/>
                <w:b/>
                <w:color w:val="0D0D0D" w:themeColor="text1" w:themeTint="F2"/>
                <w:sz w:val="24"/>
                <w:szCs w:val="24"/>
                <w14:textFill>
                  <w14:solidFill>
                    <w14:schemeClr w14:val="tx1">
                      <w14:lumMod w14:val="95000"/>
                      <w14:lumOff w14:val="5000"/>
                    </w14:schemeClr>
                  </w14:solidFill>
                </w14:textFill>
              </w:rPr>
              <w:t>面积（</w:t>
            </w:r>
            <w:r>
              <w:rPr>
                <w:rFonts w:hint="eastAsia"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h</w:t>
            </w:r>
            <w: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m</w:t>
            </w:r>
            <w:r>
              <w:rPr>
                <w:rFonts w:ascii="Times New Roman" w:hAnsi="Times New Roman" w:eastAsia="仿宋" w:cs="Times New Roman"/>
                <w:b/>
                <w:color w:val="0D0D0D" w:themeColor="text1" w:themeTint="F2"/>
                <w:sz w:val="24"/>
                <w:szCs w:val="24"/>
                <w:vertAlign w:val="superscript"/>
                <w14:textFill>
                  <w14:solidFill>
                    <w14:schemeClr w14:val="tx1">
                      <w14:lumMod w14:val="95000"/>
                      <w14:lumOff w14:val="5000"/>
                    </w14:schemeClr>
                  </w14:solidFill>
                </w14:textFill>
              </w:rPr>
              <w:t>2</w:t>
            </w:r>
            <w:r>
              <w:rPr>
                <w:rFonts w:hint="eastAsia" w:eastAsia="仿宋"/>
                <w:b/>
                <w:color w:val="0D0D0D" w:themeColor="text1" w:themeTint="F2"/>
                <w:sz w:val="24"/>
                <w:szCs w:val="24"/>
                <w14:textFill>
                  <w14:solidFill>
                    <w14:schemeClr w14:val="tx1">
                      <w14:lumMod w14:val="95000"/>
                      <w14:lumOff w14:val="5000"/>
                    </w14:schemeClr>
                  </w14:solidFill>
                </w14:textFill>
              </w:rPr>
              <w:t>）</w:t>
            </w:r>
          </w:p>
        </w:tc>
        <w:tc>
          <w:tcPr>
            <w:tcW w:w="2453" w:type="dxa"/>
            <w:shd w:val="clear" w:color="auto" w:fill="D8D8D8" w:themeFill="background1" w:themeFillShade="D9"/>
          </w:tcPr>
          <w:p>
            <w:pPr>
              <w:jc w:val="center"/>
              <w:rPr>
                <w:rFonts w:eastAsia="仿宋"/>
                <w:b/>
                <w:color w:val="0D0D0D" w:themeColor="text1" w:themeTint="F2"/>
                <w:sz w:val="24"/>
                <w:szCs w:val="24"/>
                <w14:textFill>
                  <w14:solidFill>
                    <w14:schemeClr w14:val="tx1">
                      <w14:lumMod w14:val="95000"/>
                      <w14:lumOff w14:val="5000"/>
                    </w14:schemeClr>
                  </w14:solidFill>
                </w14:textFill>
              </w:rPr>
            </w:pPr>
            <w:r>
              <w:rPr>
                <w:rFonts w:hint="eastAsia" w:eastAsia="仿宋"/>
                <w:b/>
                <w:color w:val="0D0D0D" w:themeColor="text1" w:themeTint="F2"/>
                <w:sz w:val="24"/>
                <w:szCs w:val="24"/>
                <w14:textFill>
                  <w14:solidFill>
                    <w14:schemeClr w14:val="tx1">
                      <w14:lumMod w14:val="95000"/>
                      <w14:lumOff w14:val="5000"/>
                    </w14:schemeClr>
                  </w14:solidFill>
                </w14:textFill>
              </w:rPr>
              <w:t>比例（</w:t>
            </w:r>
            <w: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w:t>
            </w:r>
            <w:r>
              <w:rPr>
                <w:rFonts w:hint="eastAsia" w:eastAsia="仿宋"/>
                <w:b/>
                <w:color w:val="0D0D0D" w:themeColor="text1" w:themeTint="F2"/>
                <w:sz w:val="24"/>
                <w:szCs w:val="24"/>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503" w:type="dxa"/>
            <w:shd w:val="clear" w:color="auto" w:fill="auto"/>
            <w:vAlign w:val="center"/>
          </w:tcPr>
          <w:p>
            <w:pPr>
              <w:jc w:val="center"/>
              <w:rPr>
                <w:rFonts w:eastAsia="宋体"/>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2"/>
                <w14:textFill>
                  <w14:solidFill>
                    <w14:schemeClr w14:val="tx1">
                      <w14:lumMod w14:val="95000"/>
                      <w14:lumOff w14:val="5000"/>
                    </w14:schemeClr>
                  </w14:solidFill>
                </w14:textFill>
              </w:rPr>
              <w:t>有林地</w:t>
            </w:r>
          </w:p>
        </w:tc>
        <w:tc>
          <w:tcPr>
            <w:tcW w:w="2694" w:type="dxa"/>
            <w:vAlign w:val="center"/>
          </w:tcPr>
          <w:p>
            <w:pPr>
              <w:widowControl/>
              <w:jc w:val="cente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16.84</w:t>
            </w:r>
          </w:p>
        </w:tc>
        <w:tc>
          <w:tcPr>
            <w:tcW w:w="2453" w:type="dxa"/>
            <w:vAlign w:val="center"/>
          </w:tcPr>
          <w:p>
            <w:pPr>
              <w:widowControl/>
              <w:jc w:val="cente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23.14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503" w:type="dxa"/>
            <w:shd w:val="clear" w:color="auto" w:fill="auto"/>
            <w:vAlign w:val="center"/>
          </w:tcPr>
          <w:p>
            <w:pPr>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2"/>
                <w14:textFill>
                  <w14:solidFill>
                    <w14:schemeClr w14:val="tx1">
                      <w14:lumMod w14:val="95000"/>
                      <w14:lumOff w14:val="5000"/>
                    </w14:schemeClr>
                  </w14:solidFill>
                </w14:textFill>
              </w:rPr>
              <w:t>灌木林地</w:t>
            </w:r>
          </w:p>
        </w:tc>
        <w:tc>
          <w:tcPr>
            <w:tcW w:w="2694" w:type="dxa"/>
            <w:vAlign w:val="center"/>
          </w:tcPr>
          <w:p>
            <w:pPr>
              <w:jc w:val="cente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25.47</w:t>
            </w:r>
          </w:p>
        </w:tc>
        <w:tc>
          <w:tcPr>
            <w:tcW w:w="2453" w:type="dxa"/>
            <w:vAlign w:val="center"/>
          </w:tcPr>
          <w:p>
            <w:pPr>
              <w:jc w:val="cente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34.99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503" w:type="dxa"/>
            <w:shd w:val="clear" w:color="auto" w:fill="auto"/>
            <w:vAlign w:val="center"/>
          </w:tcPr>
          <w:p>
            <w:pPr>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2"/>
                <w14:textFill>
                  <w14:solidFill>
                    <w14:schemeClr w14:val="tx1">
                      <w14:lumMod w14:val="95000"/>
                      <w14:lumOff w14:val="5000"/>
                    </w14:schemeClr>
                  </w14:solidFill>
                </w14:textFill>
              </w:rPr>
              <w:t>旱地</w:t>
            </w:r>
          </w:p>
        </w:tc>
        <w:tc>
          <w:tcPr>
            <w:tcW w:w="2694" w:type="dxa"/>
            <w:vAlign w:val="center"/>
          </w:tcPr>
          <w:p>
            <w:pPr>
              <w:jc w:val="cente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22.64</w:t>
            </w:r>
          </w:p>
        </w:tc>
        <w:tc>
          <w:tcPr>
            <w:tcW w:w="2453" w:type="dxa"/>
            <w:vAlign w:val="center"/>
          </w:tcPr>
          <w:p>
            <w:pPr>
              <w:jc w:val="cente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31.11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503" w:type="dxa"/>
            <w:shd w:val="clear" w:color="auto" w:fill="auto"/>
            <w:vAlign w:val="center"/>
          </w:tcPr>
          <w:p>
            <w:pPr>
              <w:widowControl/>
              <w:jc w:val="center"/>
              <w:rPr>
                <w:rFonts w:ascii="仿宋" w:hAnsi="仿宋" w:eastAsia="仿宋"/>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2"/>
                <w14:textFill>
                  <w14:solidFill>
                    <w14:schemeClr w14:val="tx1">
                      <w14:lumMod w14:val="95000"/>
                      <w14:lumOff w14:val="5000"/>
                    </w14:schemeClr>
                  </w14:solidFill>
                </w14:textFill>
              </w:rPr>
              <w:t>草地</w:t>
            </w:r>
          </w:p>
        </w:tc>
        <w:tc>
          <w:tcPr>
            <w:tcW w:w="2694" w:type="dxa"/>
            <w:vAlign w:val="center"/>
          </w:tcPr>
          <w:p>
            <w:pPr>
              <w:widowControl/>
              <w:jc w:val="cente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4.35</w:t>
            </w:r>
          </w:p>
        </w:tc>
        <w:tc>
          <w:tcPr>
            <w:tcW w:w="2453" w:type="dxa"/>
            <w:vAlign w:val="center"/>
          </w:tcPr>
          <w:p>
            <w:pPr>
              <w:widowControl/>
              <w:jc w:val="cente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503" w:type="dxa"/>
            <w:shd w:val="clear" w:color="auto" w:fill="auto"/>
            <w:vAlign w:val="center"/>
          </w:tcPr>
          <w:p>
            <w:pPr>
              <w:jc w:val="center"/>
              <w:rPr>
                <w:rFonts w:eastAsia="宋体"/>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2"/>
                <w14:textFill>
                  <w14:solidFill>
                    <w14:schemeClr w14:val="tx1">
                      <w14:lumMod w14:val="95000"/>
                      <w14:lumOff w14:val="5000"/>
                    </w14:schemeClr>
                  </w14:solidFill>
                </w14:textFill>
              </w:rPr>
              <w:t>水域</w:t>
            </w:r>
          </w:p>
        </w:tc>
        <w:tc>
          <w:tcPr>
            <w:tcW w:w="2694" w:type="dxa"/>
            <w:vAlign w:val="center"/>
          </w:tcPr>
          <w:p>
            <w:pPr>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3.26</w:t>
            </w:r>
          </w:p>
        </w:tc>
        <w:tc>
          <w:tcPr>
            <w:tcW w:w="2453" w:type="dxa"/>
            <w:vAlign w:val="center"/>
          </w:tcPr>
          <w:p>
            <w:pPr>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503" w:type="dxa"/>
            <w:shd w:val="clear" w:color="auto" w:fill="auto"/>
            <w:vAlign w:val="center"/>
          </w:tcPr>
          <w:p>
            <w:pPr>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2"/>
                <w14:textFill>
                  <w14:solidFill>
                    <w14:schemeClr w14:val="tx1">
                      <w14:lumMod w14:val="95000"/>
                      <w14:lumOff w14:val="5000"/>
                    </w14:schemeClr>
                  </w14:solidFill>
                </w14:textFill>
              </w:rPr>
              <w:t>建设用地</w:t>
            </w:r>
          </w:p>
        </w:tc>
        <w:tc>
          <w:tcPr>
            <w:tcW w:w="2694" w:type="dxa"/>
            <w:vAlign w:val="center"/>
          </w:tcPr>
          <w:p>
            <w:pPr>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0.23</w:t>
            </w:r>
          </w:p>
        </w:tc>
        <w:tc>
          <w:tcPr>
            <w:tcW w:w="2453" w:type="dxa"/>
            <w:vAlign w:val="center"/>
          </w:tcPr>
          <w:p>
            <w:pPr>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503" w:type="dxa"/>
            <w:shd w:val="clear" w:color="auto" w:fill="auto"/>
            <w:vAlign w:val="center"/>
          </w:tcPr>
          <w:p>
            <w:pPr>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合计</w:t>
            </w:r>
          </w:p>
        </w:tc>
        <w:tc>
          <w:tcPr>
            <w:tcW w:w="2694" w:type="dxa"/>
            <w:vAlign w:val="center"/>
          </w:tcPr>
          <w:p>
            <w:pPr>
              <w:widowControl/>
              <w:jc w:val="cente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72.79</w:t>
            </w:r>
          </w:p>
        </w:tc>
        <w:tc>
          <w:tcPr>
            <w:tcW w:w="2453" w:type="dxa"/>
            <w:vAlign w:val="center"/>
          </w:tcPr>
          <w:p>
            <w:pPr>
              <w:widowControl/>
              <w:jc w:val="cente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100.00</w:t>
            </w:r>
          </w:p>
        </w:tc>
      </w:tr>
    </w:tbl>
    <w:p>
      <w:pPr>
        <w:adjustRightInd w:val="0"/>
        <w:snapToGrid w:val="0"/>
        <w:spacing w:line="360" w:lineRule="auto"/>
        <w:jc w:val="center"/>
        <w:rPr>
          <w:rFonts w:ascii="Times New Roman" w:hAnsi="Times New Roman" w:eastAsia="仿宋" w:cs="Times New Roman"/>
          <w:b/>
          <w:color w:val="0D0D0D" w:themeColor="text1" w:themeTint="F2"/>
          <w:sz w:val="28"/>
          <w:szCs w:val="24"/>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drawing>
          <wp:inline distT="0" distB="0" distL="0" distR="0">
            <wp:extent cx="4514850" cy="28860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514850" cy="2886075"/>
                    </a:xfrm>
                    <a:prstGeom prst="rect">
                      <a:avLst/>
                    </a:prstGeom>
                    <a:noFill/>
                    <a:ln>
                      <a:noFill/>
                    </a:ln>
                  </pic:spPr>
                </pic:pic>
              </a:graphicData>
            </a:graphic>
          </wp:inline>
        </w:drawing>
      </w:r>
    </w:p>
    <w:p>
      <w:pPr>
        <w:spacing w:line="360" w:lineRule="auto"/>
        <w:jc w:val="cente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图</w:t>
      </w:r>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2.</w:t>
      </w: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3</w:t>
      </w:r>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1  亦佐水库保护区内土地利用状况</w:t>
      </w:r>
    </w:p>
    <w:p>
      <w:pPr>
        <w:pStyle w:val="3"/>
        <w:rPr>
          <w:color w:val="0D0D0D" w:themeColor="text1" w:themeTint="F2"/>
          <w14:textFill>
            <w14:solidFill>
              <w14:schemeClr w14:val="tx1">
                <w14:lumMod w14:val="95000"/>
                <w14:lumOff w14:val="5000"/>
              </w14:schemeClr>
            </w14:solidFill>
          </w14:textFill>
        </w:rPr>
      </w:pPr>
      <w:bookmarkStart w:id="48" w:name="_Toc12456059"/>
      <w:bookmarkStart w:id="49" w:name="_Toc27522188"/>
      <w:r>
        <w:rPr>
          <w:color w:val="0D0D0D" w:themeColor="text1" w:themeTint="F2"/>
          <w14:textFill>
            <w14:solidFill>
              <w14:schemeClr w14:val="tx1">
                <w14:lumMod w14:val="95000"/>
                <w14:lumOff w14:val="5000"/>
              </w14:schemeClr>
            </w14:solidFill>
          </w14:textFill>
        </w:rPr>
        <w:t>2.</w:t>
      </w:r>
      <w:r>
        <w:rPr>
          <w:rFonts w:hint="eastAsia"/>
          <w:color w:val="0D0D0D" w:themeColor="text1" w:themeTint="F2"/>
          <w14:textFill>
            <w14:solidFill>
              <w14:schemeClr w14:val="tx1">
                <w14:lumMod w14:val="95000"/>
                <w14:lumOff w14:val="5000"/>
              </w14:schemeClr>
            </w14:solidFill>
          </w14:textFill>
        </w:rPr>
        <w:t>4</w:t>
      </w:r>
      <w:r>
        <w:rPr>
          <w:color w:val="0D0D0D" w:themeColor="text1" w:themeTint="F2"/>
          <w14:textFill>
            <w14:solidFill>
              <w14:schemeClr w14:val="tx1">
                <w14:lumMod w14:val="95000"/>
                <w14:lumOff w14:val="5000"/>
              </w14:schemeClr>
            </w14:solidFill>
          </w14:textFill>
        </w:rPr>
        <w:t xml:space="preserve"> 饮用水水源地</w:t>
      </w:r>
      <w:r>
        <w:rPr>
          <w:rFonts w:hint="eastAsia"/>
          <w:color w:val="0D0D0D" w:themeColor="text1" w:themeTint="F2"/>
          <w14:textFill>
            <w14:solidFill>
              <w14:schemeClr w14:val="tx1">
                <w14:lumMod w14:val="95000"/>
                <w14:lumOff w14:val="5000"/>
              </w14:schemeClr>
            </w14:solidFill>
          </w14:textFill>
        </w:rPr>
        <w:t>规划、水功能区划、重要生态功能区等情况</w:t>
      </w:r>
      <w:bookmarkEnd w:id="48"/>
      <w:bookmarkEnd w:id="49"/>
    </w:p>
    <w:p>
      <w:pPr>
        <w:adjustRightInd w:val="0"/>
        <w:snapToGrid w:val="0"/>
        <w:spacing w:line="360" w:lineRule="auto"/>
        <w:ind w:firstLine="562" w:firstLineChars="200"/>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（1）水源地规划</w:t>
      </w:r>
    </w:p>
    <w:p>
      <w:pPr>
        <w:adjustRightInd w:val="0"/>
        <w:snapToGrid w:val="0"/>
        <w:spacing w:line="360" w:lineRule="auto"/>
        <w:ind w:firstLine="560"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亦佐水库作为在用的“千吨万人”水源地，本次区划按新划区划开展相关工作。</w:t>
      </w:r>
    </w:p>
    <w:p>
      <w:pPr>
        <w:adjustRightInd w:val="0"/>
        <w:snapToGrid w:val="0"/>
        <w:spacing w:line="360" w:lineRule="auto"/>
        <w:ind w:firstLine="562" w:firstLineChars="200"/>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（2）水功能区划</w:t>
      </w:r>
    </w:p>
    <w:p>
      <w:pPr>
        <w:adjustRightInd w:val="0"/>
        <w:snapToGrid w:val="0"/>
        <w:spacing w:line="360" w:lineRule="auto"/>
        <w:ind w:firstLine="560"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亦佐水库属于珠江流域南盘江水系，根据《云南省地表水环境功能区划（2010-2020年）》，亦佐水库所在水环境功能区划为：黄泥河富源境内段，为工业用水、农业用水、饮用二级，水质类别为III类。</w:t>
      </w:r>
    </w:p>
    <w:p>
      <w:pPr>
        <w:adjustRightInd w:val="0"/>
        <w:snapToGrid w:val="0"/>
        <w:spacing w:line="360" w:lineRule="auto"/>
        <w:ind w:firstLine="560"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亦佐水库属于地表水水，现状功能为饮用水，水质功能类别为III类。</w:t>
      </w:r>
    </w:p>
    <w:p>
      <w:pPr>
        <w:adjustRightInd w:val="0"/>
        <w:snapToGrid w:val="0"/>
        <w:spacing w:line="360" w:lineRule="auto"/>
        <w:ind w:firstLine="562" w:firstLineChars="200"/>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（3）重要生态功能区</w:t>
      </w:r>
    </w:p>
    <w:p>
      <w:pPr>
        <w:adjustRightInd w:val="0"/>
        <w:snapToGrid w:val="0"/>
        <w:spacing w:line="360" w:lineRule="auto"/>
        <w:ind w:firstLine="560"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亦佐水库饮用水水源地位于曲靖市富源县富村镇，根据《云南省主体功能区规划》，富源县属于省级重点开发区域。</w:t>
      </w:r>
    </w:p>
    <w:p>
      <w:pPr>
        <w:adjustRightInd w:val="0"/>
        <w:snapToGrid w:val="0"/>
        <w:spacing w:line="360" w:lineRule="auto"/>
        <w:ind w:firstLine="560"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根据《云南省生态功能区划》，亦佐水库水源地位于富源县富村镇，所在生态功能分区为：</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instrText xml:space="preserve"> </w:instrTex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instrText xml:space="preserve">= 3 \* ROMAN</w:instrTex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instrText xml:space="preserve"> </w:instrTex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III</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fldChar w:fldCharType="end"/>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高原亚热带北部常绿阔叶林生态区—</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instrText xml:space="preserve"> </w:instrTex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instrText xml:space="preserve">= 3 \* ROMAN</w:instrTex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instrText xml:space="preserve"> </w:instrTex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III</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fldChar w:fldCharType="end"/>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 xml:space="preserve"> </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1</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滇中高原谷盆半湿润常绿阔叶林、暖性针叶林生态亚区—</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instrText xml:space="preserve"> </w:instrTex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instrText xml:space="preserve">= 3 \* ROMAN</w:instrTex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instrText xml:space="preserve"> </w:instrTex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III</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fldChar w:fldCharType="end"/>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 xml:space="preserve"> </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1-14</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富源、罗平岩溶中山水源涵养生态功能区。该区以岩溶中山地貌为主。大部分地区年降雨量1500-2000 毫米，主要植被类型是云南松林，土壤以黄壤和黄棕壤为主。区内森林数量少、质量低，矿业开发带来的污染，区内石漠化中度敏感。区内需严格执行封山育林、人工造林和退耕还林；做好煤矿开采的生态恢复，提高区域的水源涵养效益。</w:t>
      </w:r>
    </w:p>
    <w:p>
      <w:pPr>
        <w:pStyle w:val="3"/>
        <w:rPr>
          <w:color w:val="0D0D0D" w:themeColor="text1" w:themeTint="F2"/>
          <w14:textFill>
            <w14:solidFill>
              <w14:schemeClr w14:val="tx1">
                <w14:lumMod w14:val="95000"/>
                <w14:lumOff w14:val="5000"/>
              </w14:schemeClr>
            </w14:solidFill>
          </w14:textFill>
        </w:rPr>
      </w:pPr>
      <w:bookmarkStart w:id="50" w:name="_Toc10729973"/>
      <w:bookmarkStart w:id="51" w:name="_Toc27522189"/>
      <w:bookmarkStart w:id="52" w:name="_Toc12456060"/>
      <w:r>
        <w:rPr>
          <w:color w:val="0D0D0D" w:themeColor="text1" w:themeTint="F2"/>
          <w14:textFill>
            <w14:solidFill>
              <w14:schemeClr w14:val="tx1">
                <w14:lumMod w14:val="95000"/>
                <w14:lumOff w14:val="5000"/>
              </w14:schemeClr>
            </w14:solidFill>
          </w14:textFill>
        </w:rPr>
        <w:t>2.</w:t>
      </w:r>
      <w:r>
        <w:rPr>
          <w:rFonts w:hint="eastAsia"/>
          <w:color w:val="0D0D0D" w:themeColor="text1" w:themeTint="F2"/>
          <w14:textFill>
            <w14:solidFill>
              <w14:schemeClr w14:val="tx1">
                <w14:lumMod w14:val="95000"/>
                <w14:lumOff w14:val="5000"/>
              </w14:schemeClr>
            </w14:solidFill>
          </w14:textFill>
        </w:rPr>
        <w:t>5</w:t>
      </w:r>
      <w:r>
        <w:rPr>
          <w:color w:val="0D0D0D" w:themeColor="text1" w:themeTint="F2"/>
          <w14:textFill>
            <w14:solidFill>
              <w14:schemeClr w14:val="tx1">
                <w14:lumMod w14:val="95000"/>
                <w14:lumOff w14:val="5000"/>
              </w14:schemeClr>
            </w14:solidFill>
          </w14:textFill>
        </w:rPr>
        <w:t xml:space="preserve"> 饮用水水源地</w:t>
      </w:r>
      <w:r>
        <w:rPr>
          <w:rFonts w:hint="eastAsia"/>
          <w:color w:val="0D0D0D" w:themeColor="text1" w:themeTint="F2"/>
          <w14:textFill>
            <w14:solidFill>
              <w14:schemeClr w14:val="tx1">
                <w14:lumMod w14:val="95000"/>
                <w14:lumOff w14:val="5000"/>
              </w14:schemeClr>
            </w14:solidFill>
          </w14:textFill>
        </w:rPr>
        <w:t>基本</w:t>
      </w:r>
      <w:bookmarkEnd w:id="50"/>
      <w:r>
        <w:rPr>
          <w:rFonts w:hint="eastAsia"/>
          <w:color w:val="0D0D0D" w:themeColor="text1" w:themeTint="F2"/>
          <w14:textFill>
            <w14:solidFill>
              <w14:schemeClr w14:val="tx1">
                <w14:lumMod w14:val="95000"/>
                <w14:lumOff w14:val="5000"/>
              </w14:schemeClr>
            </w14:solidFill>
          </w14:textFill>
        </w:rPr>
        <w:t>状况</w:t>
      </w:r>
      <w:bookmarkEnd w:id="51"/>
      <w:bookmarkEnd w:id="52"/>
    </w:p>
    <w:p>
      <w:pPr>
        <w:adjustRightInd w:val="0"/>
        <w:snapToGrid w:val="0"/>
        <w:spacing w:line="360" w:lineRule="auto"/>
        <w:ind w:firstLine="560"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富村镇亦佐水库为地表水型饮用水源地，为在用水源地。</w:t>
      </w:r>
    </w:p>
    <w:p>
      <w:pPr>
        <w:spacing w:line="400" w:lineRule="exact"/>
        <w:jc w:val="cente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表</w:t>
      </w:r>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2.</w:t>
      </w: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5-1  富村镇亦佐水库水源地基本信息表</w:t>
      </w:r>
    </w:p>
    <w:tbl>
      <w:tblPr>
        <w:tblStyle w:val="44"/>
        <w:tblW w:w="9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5"/>
        <w:gridCol w:w="1700"/>
        <w:gridCol w:w="2324"/>
        <w:gridCol w:w="2326"/>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45" w:type="dxa"/>
            <w:vMerge w:val="restart"/>
            <w:shd w:val="clear" w:color="auto" w:fill="D8D8D8" w:themeFill="background1" w:themeFillShade="D9"/>
            <w:vAlign w:val="center"/>
          </w:tcPr>
          <w:p>
            <w:pPr>
              <w:spacing w:line="300" w:lineRule="exact"/>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水源地名称</w:t>
            </w:r>
          </w:p>
        </w:tc>
        <w:tc>
          <w:tcPr>
            <w:tcW w:w="1700" w:type="dxa"/>
            <w:vMerge w:val="restart"/>
            <w:shd w:val="clear" w:color="auto" w:fill="D8D8D8" w:themeFill="background1" w:themeFillShade="D9"/>
            <w:vAlign w:val="center"/>
          </w:tcPr>
          <w:p>
            <w:pPr>
              <w:spacing w:line="300" w:lineRule="exact"/>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水源地类型</w:t>
            </w:r>
          </w:p>
        </w:tc>
        <w:tc>
          <w:tcPr>
            <w:tcW w:w="4650" w:type="dxa"/>
            <w:gridSpan w:val="2"/>
            <w:shd w:val="clear" w:color="auto" w:fill="D8D8D8" w:themeFill="background1" w:themeFillShade="D9"/>
            <w:vAlign w:val="center"/>
          </w:tcPr>
          <w:p>
            <w:pPr>
              <w:spacing w:line="300" w:lineRule="exact"/>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取水口地理坐标</w:t>
            </w:r>
          </w:p>
        </w:tc>
        <w:tc>
          <w:tcPr>
            <w:tcW w:w="1455" w:type="dxa"/>
            <w:vMerge w:val="restart"/>
            <w:shd w:val="clear" w:color="auto" w:fill="D8D8D8" w:themeFill="background1" w:themeFillShade="D9"/>
            <w:vAlign w:val="center"/>
          </w:tcPr>
          <w:p>
            <w:pPr>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45" w:type="dxa"/>
            <w:vMerge w:val="continue"/>
            <w:shd w:val="clear" w:color="auto" w:fill="D8D8D8" w:themeFill="background1" w:themeFillShade="D9"/>
            <w:vAlign w:val="center"/>
          </w:tcPr>
          <w:p>
            <w:pPr>
              <w:spacing w:line="300" w:lineRule="exact"/>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p>
        </w:tc>
        <w:tc>
          <w:tcPr>
            <w:tcW w:w="1700" w:type="dxa"/>
            <w:vMerge w:val="continue"/>
            <w:shd w:val="clear" w:color="auto" w:fill="D8D8D8" w:themeFill="background1" w:themeFillShade="D9"/>
            <w:vAlign w:val="center"/>
          </w:tcPr>
          <w:p>
            <w:pPr>
              <w:spacing w:line="300" w:lineRule="exact"/>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p>
        </w:tc>
        <w:tc>
          <w:tcPr>
            <w:tcW w:w="2324" w:type="dxa"/>
            <w:shd w:val="clear" w:color="auto" w:fill="D8D8D8" w:themeFill="background1" w:themeFillShade="D9"/>
            <w:vAlign w:val="center"/>
          </w:tcPr>
          <w:p>
            <w:pPr>
              <w:spacing w:line="300" w:lineRule="exact"/>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东经</w:t>
            </w:r>
          </w:p>
        </w:tc>
        <w:tc>
          <w:tcPr>
            <w:tcW w:w="2326" w:type="dxa"/>
            <w:shd w:val="clear" w:color="auto" w:fill="D8D8D8" w:themeFill="background1" w:themeFillShade="D9"/>
            <w:vAlign w:val="center"/>
          </w:tcPr>
          <w:p>
            <w:pPr>
              <w:spacing w:line="300" w:lineRule="exact"/>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北纬</w:t>
            </w:r>
          </w:p>
        </w:tc>
        <w:tc>
          <w:tcPr>
            <w:tcW w:w="1455" w:type="dxa"/>
            <w:vMerge w:val="continue"/>
            <w:shd w:val="clear" w:color="auto" w:fill="D8D8D8" w:themeFill="background1" w:themeFillShade="D9"/>
            <w:vAlign w:val="center"/>
          </w:tcPr>
          <w:p>
            <w:pPr>
              <w:spacing w:line="300" w:lineRule="exact"/>
              <w:jc w:val="center"/>
              <w:rPr>
                <w:rFonts w:ascii="宋体" w:hAnsi="宋体" w:eastAsia="宋体" w:cs="宋体"/>
                <w:color w:val="0D0D0D" w:themeColor="text1" w:themeTint="F2"/>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45" w:type="dxa"/>
            <w:shd w:val="clear" w:color="auto" w:fill="auto"/>
            <w:vAlign w:val="center"/>
          </w:tcPr>
          <w:p>
            <w:pPr>
              <w:spacing w:line="300" w:lineRule="exact"/>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亦佐水库</w:t>
            </w:r>
          </w:p>
        </w:tc>
        <w:tc>
          <w:tcPr>
            <w:tcW w:w="1700" w:type="dxa"/>
            <w:shd w:val="clear" w:color="auto" w:fill="auto"/>
            <w:vAlign w:val="center"/>
          </w:tcPr>
          <w:p>
            <w:pPr>
              <w:spacing w:line="300" w:lineRule="exact"/>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地表水型</w:t>
            </w:r>
          </w:p>
        </w:tc>
        <w:tc>
          <w:tcPr>
            <w:tcW w:w="2324" w:type="dxa"/>
            <w:shd w:val="clear" w:color="auto" w:fill="auto"/>
            <w:vAlign w:val="center"/>
          </w:tcPr>
          <w:p>
            <w:pPr>
              <w:spacing w:line="300" w:lineRule="exact"/>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104°26'52"</w:t>
            </w:r>
          </w:p>
        </w:tc>
        <w:tc>
          <w:tcPr>
            <w:tcW w:w="2326" w:type="dxa"/>
            <w:shd w:val="clear" w:color="auto" w:fill="auto"/>
            <w:vAlign w:val="center"/>
          </w:tcPr>
          <w:p>
            <w:pPr>
              <w:spacing w:line="300" w:lineRule="exact"/>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25°20'20"</w:t>
            </w:r>
          </w:p>
        </w:tc>
        <w:tc>
          <w:tcPr>
            <w:tcW w:w="1455" w:type="dxa"/>
            <w:shd w:val="clear" w:color="auto" w:fill="auto"/>
            <w:vAlign w:val="center"/>
          </w:tcPr>
          <w:p>
            <w:pPr>
              <w:spacing w:line="300" w:lineRule="exact"/>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在用</w:t>
            </w:r>
          </w:p>
        </w:tc>
      </w:tr>
    </w:tbl>
    <w:p>
      <w:pPr>
        <w:jc w:val="center"/>
        <w:rPr>
          <w:color w:val="0D0D0D" w:themeColor="text1" w:themeTint="F2"/>
          <w14:textFill>
            <w14:solidFill>
              <w14:schemeClr w14:val="tx1">
                <w14:lumMod w14:val="95000"/>
                <w14:lumOff w14:val="5000"/>
              </w14:schemeClr>
            </w14:solidFill>
          </w14:textFill>
        </w:rPr>
      </w:pPr>
      <w:bookmarkStart w:id="53" w:name="_Toc12456061"/>
      <w:bookmarkStart w:id="54" w:name="_Toc10729974"/>
      <w:r>
        <w:rPr>
          <w:color w:val="0D0D0D" w:themeColor="text1" w:themeTint="F2"/>
          <w14:textFill>
            <w14:solidFill>
              <w14:schemeClr w14:val="tx1">
                <w14:lumMod w14:val="95000"/>
                <w14:lumOff w14:val="5000"/>
              </w14:schemeClr>
            </w14:solidFill>
          </w14:textFill>
        </w:rPr>
        <w:drawing>
          <wp:inline distT="0" distB="0" distL="0" distR="0">
            <wp:extent cx="4323715" cy="3242310"/>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23882" cy="3242911"/>
                    </a:xfrm>
                    <a:prstGeom prst="rect">
                      <a:avLst/>
                    </a:prstGeom>
                    <a:noFill/>
                  </pic:spPr>
                </pic:pic>
              </a:graphicData>
            </a:graphic>
          </wp:inline>
        </w:drawing>
      </w:r>
    </w:p>
    <w:p>
      <w:pPr>
        <w:adjustRightInd w:val="0"/>
        <w:snapToGrid w:val="0"/>
        <w:spacing w:line="360" w:lineRule="auto"/>
        <w:jc w:val="center"/>
        <w:rPr>
          <w:rFonts w:ascii="Times New Roman" w:hAnsi="Times New Roman" w:eastAsia="仿宋_GB2312" w:cs="Times New Roman"/>
          <w:b/>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_GB2312" w:cs="Times New Roman"/>
          <w:b/>
          <w:color w:val="0D0D0D" w:themeColor="text1" w:themeTint="F2"/>
          <w:sz w:val="28"/>
          <w:szCs w:val="28"/>
          <w14:textFill>
            <w14:solidFill>
              <w14:schemeClr w14:val="tx1">
                <w14:lumMod w14:val="95000"/>
                <w14:lumOff w14:val="5000"/>
              </w14:schemeClr>
            </w14:solidFill>
          </w14:textFill>
        </w:rPr>
        <w:t>图</w:t>
      </w:r>
      <w:r>
        <w:rPr>
          <w:rFonts w:ascii="Times New Roman" w:hAnsi="Times New Roman" w:eastAsia="仿宋_GB2312" w:cs="Times New Roman"/>
          <w:b/>
          <w:color w:val="0D0D0D" w:themeColor="text1" w:themeTint="F2"/>
          <w:sz w:val="28"/>
          <w:szCs w:val="28"/>
          <w14:textFill>
            <w14:solidFill>
              <w14:schemeClr w14:val="tx1">
                <w14:lumMod w14:val="95000"/>
                <w14:lumOff w14:val="5000"/>
              </w14:schemeClr>
            </w14:solidFill>
          </w14:textFill>
        </w:rPr>
        <w:t>2.5</w:t>
      </w:r>
      <w:r>
        <w:rPr>
          <w:rFonts w:hint="eastAsia" w:ascii="Times New Roman" w:hAnsi="Times New Roman" w:eastAsia="仿宋_GB2312" w:cs="Times New Roman"/>
          <w:b/>
          <w:color w:val="0D0D0D" w:themeColor="text1" w:themeTint="F2"/>
          <w:sz w:val="28"/>
          <w:szCs w:val="28"/>
          <w14:textFill>
            <w14:solidFill>
              <w14:schemeClr w14:val="tx1">
                <w14:lumMod w14:val="95000"/>
                <w14:lumOff w14:val="5000"/>
              </w14:schemeClr>
            </w14:solidFill>
          </w14:textFill>
        </w:rPr>
        <w:t>-1  亦佐水库</w:t>
      </w:r>
    </w:p>
    <w:p>
      <w:pPr>
        <w:pStyle w:val="4"/>
        <w:spacing w:before="120" w:after="120" w:line="415" w:lineRule="auto"/>
        <w:rPr>
          <w:color w:val="0D0D0D" w:themeColor="text1" w:themeTint="F2"/>
          <w:sz w:val="28"/>
          <w:szCs w:val="28"/>
          <w14:textFill>
            <w14:solidFill>
              <w14:schemeClr w14:val="tx1">
                <w14:lumMod w14:val="95000"/>
                <w14:lumOff w14:val="5000"/>
              </w14:schemeClr>
            </w14:solidFill>
          </w14:textFill>
        </w:rPr>
      </w:pPr>
      <w:bookmarkStart w:id="55" w:name="_Toc27522190"/>
      <w:r>
        <w:rPr>
          <w:color w:val="0D0D0D" w:themeColor="text1" w:themeTint="F2"/>
          <w:sz w:val="28"/>
          <w:szCs w:val="28"/>
          <w14:textFill>
            <w14:solidFill>
              <w14:schemeClr w14:val="tx1">
                <w14:lumMod w14:val="95000"/>
                <w14:lumOff w14:val="5000"/>
              </w14:schemeClr>
            </w14:solidFill>
          </w14:textFill>
        </w:rPr>
        <w:t>2.</w:t>
      </w:r>
      <w:r>
        <w:rPr>
          <w:rFonts w:hint="eastAsia"/>
          <w:color w:val="0D0D0D" w:themeColor="text1" w:themeTint="F2"/>
          <w:sz w:val="28"/>
          <w:szCs w:val="28"/>
          <w14:textFill>
            <w14:solidFill>
              <w14:schemeClr w14:val="tx1">
                <w14:lumMod w14:val="95000"/>
                <w14:lumOff w14:val="5000"/>
              </w14:schemeClr>
            </w14:solidFill>
          </w14:textFill>
        </w:rPr>
        <w:t>5</w:t>
      </w:r>
      <w:r>
        <w:rPr>
          <w:color w:val="0D0D0D" w:themeColor="text1" w:themeTint="F2"/>
          <w:sz w:val="28"/>
          <w:szCs w:val="28"/>
          <w14:textFill>
            <w14:solidFill>
              <w14:schemeClr w14:val="tx1">
                <w14:lumMod w14:val="95000"/>
                <w14:lumOff w14:val="5000"/>
              </w14:schemeClr>
            </w14:solidFill>
          </w14:textFill>
        </w:rPr>
        <w:t>.1</w:t>
      </w:r>
      <w:r>
        <w:rPr>
          <w:rFonts w:hint="eastAsia"/>
          <w:color w:val="0D0D0D" w:themeColor="text1" w:themeTint="F2"/>
          <w:sz w:val="28"/>
          <w:szCs w:val="28"/>
          <w14:textFill>
            <w14:solidFill>
              <w14:schemeClr w14:val="tx1">
                <w14:lumMod w14:val="95000"/>
                <w14:lumOff w14:val="5000"/>
              </w14:schemeClr>
            </w14:solidFill>
          </w14:textFill>
        </w:rPr>
        <w:t xml:space="preserve"> </w:t>
      </w:r>
      <w:bookmarkEnd w:id="53"/>
      <w:bookmarkEnd w:id="54"/>
      <w:r>
        <w:rPr>
          <w:rFonts w:hint="eastAsia"/>
          <w:color w:val="0D0D0D" w:themeColor="text1" w:themeTint="F2"/>
          <w:sz w:val="28"/>
          <w:szCs w:val="28"/>
          <w14:textFill>
            <w14:solidFill>
              <w14:schemeClr w14:val="tx1">
                <w14:lumMod w14:val="95000"/>
                <w14:lumOff w14:val="5000"/>
              </w14:schemeClr>
            </w14:solidFill>
          </w14:textFill>
        </w:rPr>
        <w:t>水库概况</w:t>
      </w:r>
      <w:bookmarkEnd w:id="55"/>
    </w:p>
    <w:p>
      <w:pPr>
        <w:adjustRightInd w:val="0"/>
        <w:snapToGrid w:val="0"/>
        <w:spacing w:line="360" w:lineRule="auto"/>
        <w:ind w:firstLine="560" w:firstLineChars="200"/>
        <w:rPr>
          <w:rFonts w:ascii="Times New Roman" w:hAnsi="Times New Roman" w:eastAsia="仿宋" w:cs="Times New Roman"/>
          <w:color w:val="0D0D0D" w:themeColor="text1" w:themeTint="F2"/>
          <w:sz w:val="28"/>
          <w:szCs w:val="28"/>
          <w:lang w:val="en-IE"/>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8"/>
          <w:szCs w:val="28"/>
          <w:lang w:val="en-IE"/>
          <w14:textFill>
            <w14:solidFill>
              <w14:schemeClr w14:val="tx1">
                <w14:lumMod w14:val="95000"/>
                <w14:lumOff w14:val="5000"/>
              </w14:schemeClr>
            </w14:solidFill>
          </w14:textFill>
        </w:rPr>
        <w:t>亦佐水库是一座以人畜饮水为主，兼顾农业灌溉的小（二）型水库，水库始建于水库新建于1958年，续修至1960年基本达到设计规模。水库控制径流面积0.82km</w:t>
      </w:r>
      <w:r>
        <w:rPr>
          <w:rFonts w:ascii="Times New Roman" w:hAnsi="Times New Roman" w:eastAsia="仿宋" w:cs="Times New Roman"/>
          <w:color w:val="0D0D0D" w:themeColor="text1" w:themeTint="F2"/>
          <w:sz w:val="28"/>
          <w:szCs w:val="28"/>
          <w:vertAlign w:val="superscript"/>
          <w:lang w:val="en-IE"/>
          <w14:textFill>
            <w14:solidFill>
              <w14:schemeClr w14:val="tx1">
                <w14:lumMod w14:val="95000"/>
                <w14:lumOff w14:val="5000"/>
              </w14:schemeClr>
            </w14:solidFill>
          </w14:textFill>
        </w:rPr>
        <w:t>2</w:t>
      </w:r>
      <w:r>
        <w:rPr>
          <w:rFonts w:ascii="Times New Roman" w:hAnsi="Times New Roman" w:eastAsia="仿宋" w:cs="Times New Roman"/>
          <w:color w:val="0D0D0D" w:themeColor="text1" w:themeTint="F2"/>
          <w:sz w:val="28"/>
          <w:szCs w:val="28"/>
          <w:lang w:val="en-IE"/>
          <w14:textFill>
            <w14:solidFill>
              <w14:schemeClr w14:val="tx1">
                <w14:lumMod w14:val="95000"/>
                <w14:lumOff w14:val="5000"/>
              </w14:schemeClr>
            </w14:solidFill>
          </w14:textFill>
        </w:rPr>
        <w:t>，防洪保护人口为180人、耕地1400亩、县镇公路0.5km。根据国家《防洪标准》（GB50201</w:t>
      </w:r>
      <w:r>
        <w:rPr>
          <w:rFonts w:hint="eastAsia" w:ascii="Times New Roman" w:hAnsi="Times New Roman" w:eastAsia="仿宋" w:cs="Times New Roman"/>
          <w:color w:val="0D0D0D" w:themeColor="text1" w:themeTint="F2"/>
          <w:sz w:val="28"/>
          <w:szCs w:val="28"/>
          <w:lang w:val="en-IE"/>
          <w14:textFill>
            <w14:solidFill>
              <w14:schemeClr w14:val="tx1">
                <w14:lumMod w14:val="95000"/>
                <w14:lumOff w14:val="5000"/>
              </w14:schemeClr>
            </w14:solidFill>
          </w14:textFill>
        </w:rPr>
        <w:t>-</w:t>
      </w:r>
      <w:r>
        <w:rPr>
          <w:rFonts w:ascii="Times New Roman" w:hAnsi="Times New Roman" w:eastAsia="仿宋" w:cs="Times New Roman"/>
          <w:color w:val="0D0D0D" w:themeColor="text1" w:themeTint="F2"/>
          <w:sz w:val="28"/>
          <w:szCs w:val="28"/>
          <w:lang w:val="en-IE"/>
          <w14:textFill>
            <w14:solidFill>
              <w14:schemeClr w14:val="tx1">
                <w14:lumMod w14:val="95000"/>
                <w14:lumOff w14:val="5000"/>
              </w14:schemeClr>
            </w14:solidFill>
          </w14:textFill>
        </w:rPr>
        <w:t>94），水规（1989）21号水利部印发《水利枢纽工程险加固近期应用洪水标准意见》的通知，亦佐水库总库容46.06万</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m</w:t>
      </w:r>
      <w:r>
        <w:rPr>
          <w:rFonts w:ascii="Times New Roman" w:hAnsi="Times New Roman" w:eastAsia="仿宋" w:cs="Times New Roman"/>
          <w:color w:val="0D0D0D" w:themeColor="text1" w:themeTint="F2"/>
          <w:sz w:val="28"/>
          <w:szCs w:val="28"/>
          <w:vertAlign w:val="superscript"/>
          <w14:textFill>
            <w14:solidFill>
              <w14:schemeClr w14:val="tx1">
                <w14:lumMod w14:val="95000"/>
                <w14:lumOff w14:val="5000"/>
              </w14:schemeClr>
            </w14:solidFill>
          </w14:textFill>
        </w:rPr>
        <w:t>3</w:t>
      </w:r>
      <w:r>
        <w:rPr>
          <w:rFonts w:ascii="Times New Roman" w:hAnsi="Times New Roman" w:eastAsia="仿宋" w:cs="Times New Roman"/>
          <w:color w:val="0D0D0D" w:themeColor="text1" w:themeTint="F2"/>
          <w:sz w:val="28"/>
          <w:szCs w:val="28"/>
          <w:lang w:val="en-IE"/>
          <w14:textFill>
            <w14:solidFill>
              <w14:schemeClr w14:val="tx1">
                <w14:lumMod w14:val="95000"/>
                <w14:lumOff w14:val="5000"/>
              </w14:schemeClr>
            </w14:solidFill>
          </w14:textFill>
        </w:rPr>
        <w:t>，属小（二）型工程，工程级别是V等，大坝级别为5级，正常运用洪水标准为20年一遇，非常运用洪水标准为200年一遇。水库枢纽工程由大坝、溢洪道、输水隧洞组成。大坝为均质土坝，坝高20m，坝顶高程为2090m，坝顶长120m，坝顶宽4.7m。原设计溢洪道位于大坝右岸，为河岸式溢洪道，堰顶高程2088，长107m，已支砌70m、宽4.0m、深2.0m，过洪能6.84m</w:t>
      </w:r>
      <w:r>
        <w:rPr>
          <w:rFonts w:ascii="Times New Roman" w:hAnsi="Times New Roman" w:eastAsia="仿宋" w:cs="Times New Roman"/>
          <w:color w:val="0D0D0D" w:themeColor="text1" w:themeTint="F2"/>
          <w:sz w:val="28"/>
          <w:szCs w:val="28"/>
          <w:vertAlign w:val="superscript"/>
          <w:lang w:val="en-IE"/>
          <w14:textFill>
            <w14:solidFill>
              <w14:schemeClr w14:val="tx1">
                <w14:lumMod w14:val="95000"/>
                <w14:lumOff w14:val="5000"/>
              </w14:schemeClr>
            </w14:solidFill>
          </w14:textFill>
        </w:rPr>
        <w:t>3</w:t>
      </w:r>
      <w:r>
        <w:rPr>
          <w:rFonts w:ascii="Times New Roman" w:hAnsi="Times New Roman" w:eastAsia="仿宋" w:cs="Times New Roman"/>
          <w:color w:val="0D0D0D" w:themeColor="text1" w:themeTint="F2"/>
          <w:sz w:val="28"/>
          <w:szCs w:val="28"/>
          <w:lang w:val="en-IE"/>
          <w14:textFill>
            <w14:solidFill>
              <w14:schemeClr w14:val="tx1">
                <w14:lumMod w14:val="95000"/>
                <w14:lumOff w14:val="5000"/>
              </w14:schemeClr>
            </w14:solidFill>
          </w14:textFill>
        </w:rPr>
        <w:t>/s，经过洪水调节计算现状溢洪道断面尺寸能满足泄洪要求。输水涵洞建在大坝右部，为圬工箱涵，进口高程2074m，出口高程2073 m，涵洞长88m，宽0.6 m，高0.8m，进口安有400mm×500mm潜没式铸铁闸门1道，用LG—15T的手动启门机启闭。</w:t>
      </w:r>
    </w:p>
    <w:p>
      <w:pPr>
        <w:adjustRightInd w:val="0"/>
        <w:snapToGrid w:val="0"/>
        <w:spacing w:line="360" w:lineRule="auto"/>
        <w:ind w:firstLine="560"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亦佐水库总库容46.06万m</w:t>
      </w:r>
      <w:r>
        <w:rPr>
          <w:rFonts w:ascii="Times New Roman" w:hAnsi="Times New Roman" w:eastAsia="仿宋" w:cs="Times New Roman"/>
          <w:color w:val="0D0D0D" w:themeColor="text1" w:themeTint="F2"/>
          <w:sz w:val="28"/>
          <w:szCs w:val="28"/>
          <w:vertAlign w:val="superscript"/>
          <w14:textFill>
            <w14:solidFill>
              <w14:schemeClr w14:val="tx1">
                <w14:lumMod w14:val="95000"/>
                <w14:lumOff w14:val="5000"/>
              </w14:schemeClr>
            </w14:solidFill>
          </w14:textFill>
        </w:rPr>
        <w:t>3</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，调节库容38.41万m</w:t>
      </w:r>
      <w:r>
        <w:rPr>
          <w:rFonts w:ascii="Times New Roman" w:hAnsi="Times New Roman" w:eastAsia="仿宋" w:cs="Times New Roman"/>
          <w:color w:val="0D0D0D" w:themeColor="text1" w:themeTint="F2"/>
          <w:sz w:val="28"/>
          <w:szCs w:val="28"/>
          <w:vertAlign w:val="superscript"/>
          <w14:textFill>
            <w14:solidFill>
              <w14:schemeClr w14:val="tx1">
                <w14:lumMod w14:val="95000"/>
                <w14:lumOff w14:val="5000"/>
              </w14:schemeClr>
            </w14:solidFill>
          </w14:textFill>
        </w:rPr>
        <w:t>3</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，正常蓄水位2088m，死水位2076m，设计洪水位为2088.88m，校核洪水位为2089.11m。</w:t>
      </w:r>
    </w:p>
    <w:p>
      <w:pPr>
        <w:spacing w:line="400" w:lineRule="exact"/>
        <w:jc w:val="cente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表</w:t>
      </w: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2.5-2</w:t>
      </w:r>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 xml:space="preserve">  </w:t>
      </w: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亦佐水库</w:t>
      </w:r>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设计基本参数</w:t>
      </w:r>
    </w:p>
    <w:tbl>
      <w:tblPr>
        <w:tblStyle w:val="44"/>
        <w:tblW w:w="96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6"/>
        <w:gridCol w:w="2891"/>
        <w:gridCol w:w="2086"/>
        <w:gridCol w:w="3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66" w:type="dxa"/>
            <w:shd w:val="clear" w:color="auto" w:fill="D8D8D8" w:themeFill="background1" w:themeFillShade="D9"/>
            <w:vAlign w:val="center"/>
          </w:tcPr>
          <w:p>
            <w:pPr>
              <w:widowControl/>
              <w:jc w:val="center"/>
              <w:rPr>
                <w:rFonts w:eastAsia="仿宋"/>
                <w:b/>
                <w:color w:val="0D0D0D" w:themeColor="text1" w:themeTint="F2"/>
                <w:sz w:val="24"/>
                <w:szCs w:val="24"/>
                <w14:textFill>
                  <w14:solidFill>
                    <w14:schemeClr w14:val="tx1">
                      <w14:lumMod w14:val="95000"/>
                      <w14:lumOff w14:val="5000"/>
                    </w14:schemeClr>
                  </w14:solidFill>
                </w14:textFill>
              </w:rPr>
            </w:pPr>
            <w:r>
              <w:rPr>
                <w:rFonts w:eastAsia="仿宋"/>
                <w:b/>
                <w:color w:val="0D0D0D" w:themeColor="text1" w:themeTint="F2"/>
                <w:sz w:val="24"/>
                <w:szCs w:val="24"/>
                <w14:textFill>
                  <w14:solidFill>
                    <w14:schemeClr w14:val="tx1">
                      <w14:lumMod w14:val="95000"/>
                      <w14:lumOff w14:val="5000"/>
                    </w14:schemeClr>
                  </w14:solidFill>
                </w14:textFill>
              </w:rPr>
              <w:t>序号</w:t>
            </w:r>
          </w:p>
        </w:tc>
        <w:tc>
          <w:tcPr>
            <w:tcW w:w="2891" w:type="dxa"/>
            <w:shd w:val="clear" w:color="auto" w:fill="D8D8D8" w:themeFill="background1" w:themeFillShade="D9"/>
            <w:vAlign w:val="center"/>
          </w:tcPr>
          <w:p>
            <w:pPr>
              <w:widowControl/>
              <w:jc w:val="center"/>
              <w:rPr>
                <w:rFonts w:eastAsia="仿宋"/>
                <w:b/>
                <w:color w:val="0D0D0D" w:themeColor="text1" w:themeTint="F2"/>
                <w:sz w:val="24"/>
                <w:szCs w:val="24"/>
                <w14:textFill>
                  <w14:solidFill>
                    <w14:schemeClr w14:val="tx1">
                      <w14:lumMod w14:val="95000"/>
                      <w14:lumOff w14:val="5000"/>
                    </w14:schemeClr>
                  </w14:solidFill>
                </w14:textFill>
              </w:rPr>
            </w:pPr>
            <w:r>
              <w:rPr>
                <w:rFonts w:eastAsia="仿宋"/>
                <w:b/>
                <w:color w:val="0D0D0D" w:themeColor="text1" w:themeTint="F2"/>
                <w:sz w:val="24"/>
                <w:szCs w:val="24"/>
                <w14:textFill>
                  <w14:solidFill>
                    <w14:schemeClr w14:val="tx1">
                      <w14:lumMod w14:val="95000"/>
                      <w14:lumOff w14:val="5000"/>
                    </w14:schemeClr>
                  </w14:solidFill>
                </w14:textFill>
              </w:rPr>
              <w:t>参数</w:t>
            </w:r>
          </w:p>
        </w:tc>
        <w:tc>
          <w:tcPr>
            <w:tcW w:w="2086" w:type="dxa"/>
            <w:shd w:val="clear" w:color="auto" w:fill="D8D8D8" w:themeFill="background1" w:themeFillShade="D9"/>
            <w:vAlign w:val="center"/>
          </w:tcPr>
          <w:p>
            <w:pPr>
              <w:widowControl/>
              <w:jc w:val="center"/>
              <w:rPr>
                <w:rFonts w:eastAsia="仿宋"/>
                <w:b/>
                <w:color w:val="0D0D0D" w:themeColor="text1" w:themeTint="F2"/>
                <w:sz w:val="24"/>
                <w:szCs w:val="24"/>
                <w14:textFill>
                  <w14:solidFill>
                    <w14:schemeClr w14:val="tx1">
                      <w14:lumMod w14:val="95000"/>
                      <w14:lumOff w14:val="5000"/>
                    </w14:schemeClr>
                  </w14:solidFill>
                </w14:textFill>
              </w:rPr>
            </w:pPr>
            <w:r>
              <w:rPr>
                <w:rFonts w:eastAsia="仿宋"/>
                <w:b/>
                <w:color w:val="0D0D0D" w:themeColor="text1" w:themeTint="F2"/>
                <w:sz w:val="24"/>
                <w:szCs w:val="24"/>
                <w14:textFill>
                  <w14:solidFill>
                    <w14:schemeClr w14:val="tx1">
                      <w14:lumMod w14:val="95000"/>
                      <w14:lumOff w14:val="5000"/>
                    </w14:schemeClr>
                  </w14:solidFill>
                </w14:textFill>
              </w:rPr>
              <w:t>单位</w:t>
            </w:r>
          </w:p>
        </w:tc>
        <w:tc>
          <w:tcPr>
            <w:tcW w:w="3107" w:type="dxa"/>
            <w:shd w:val="clear" w:color="auto" w:fill="D8D8D8" w:themeFill="background1" w:themeFillShade="D9"/>
            <w:vAlign w:val="center"/>
          </w:tcPr>
          <w:p>
            <w:pPr>
              <w:widowControl/>
              <w:jc w:val="center"/>
              <w:rPr>
                <w:rFonts w:eastAsia="仿宋"/>
                <w:b/>
                <w:color w:val="0D0D0D" w:themeColor="text1" w:themeTint="F2"/>
                <w:sz w:val="24"/>
                <w:szCs w:val="24"/>
                <w14:textFill>
                  <w14:solidFill>
                    <w14:schemeClr w14:val="tx1">
                      <w14:lumMod w14:val="95000"/>
                      <w14:lumOff w14:val="5000"/>
                    </w14:schemeClr>
                  </w14:solidFill>
                </w14:textFill>
              </w:rPr>
            </w:pPr>
            <w:r>
              <w:rPr>
                <w:rFonts w:hint="eastAsia" w:eastAsia="仿宋"/>
                <w:b/>
                <w:color w:val="0D0D0D" w:themeColor="text1" w:themeTint="F2"/>
                <w:sz w:val="24"/>
                <w:szCs w:val="24"/>
                <w14:textFill>
                  <w14:solidFill>
                    <w14:schemeClr w14:val="tx1">
                      <w14:lumMod w14:val="95000"/>
                      <w14:lumOff w14:val="5000"/>
                    </w14:schemeClr>
                  </w14:solidFill>
                </w14:textFill>
              </w:rPr>
              <w:t>亦佐水库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66" w:type="dxa"/>
            <w:shd w:val="clear" w:color="auto" w:fill="auto"/>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1</w:t>
            </w:r>
          </w:p>
        </w:tc>
        <w:tc>
          <w:tcPr>
            <w:tcW w:w="2891" w:type="dxa"/>
            <w:shd w:val="clear" w:color="auto" w:fill="auto"/>
            <w:vAlign w:val="center"/>
          </w:tcPr>
          <w:p>
            <w:pPr>
              <w:widowControl/>
              <w:jc w:val="center"/>
              <w:rPr>
                <w:rFonts w:eastAsia="仿宋"/>
                <w:color w:val="0D0D0D" w:themeColor="text1" w:themeTint="F2"/>
                <w:sz w:val="24"/>
                <w:szCs w:val="24"/>
                <w14:textFill>
                  <w14:solidFill>
                    <w14:schemeClr w14:val="tx1">
                      <w14:lumMod w14:val="95000"/>
                      <w14:lumOff w14:val="5000"/>
                    </w14:schemeClr>
                  </w14:solidFill>
                </w14:textFill>
              </w:rPr>
            </w:pPr>
            <w:r>
              <w:rPr>
                <w:rFonts w:eastAsia="仿宋"/>
                <w:color w:val="0D0D0D" w:themeColor="text1" w:themeTint="F2"/>
                <w:sz w:val="24"/>
                <w:szCs w:val="24"/>
                <w14:textFill>
                  <w14:solidFill>
                    <w14:schemeClr w14:val="tx1">
                      <w14:lumMod w14:val="95000"/>
                      <w14:lumOff w14:val="5000"/>
                    </w14:schemeClr>
                  </w14:solidFill>
                </w14:textFill>
              </w:rPr>
              <w:t>正常蓄水位</w:t>
            </w:r>
          </w:p>
        </w:tc>
        <w:tc>
          <w:tcPr>
            <w:tcW w:w="2086" w:type="dxa"/>
            <w:shd w:val="clear" w:color="auto" w:fill="auto"/>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m</w:t>
            </w:r>
          </w:p>
        </w:tc>
        <w:tc>
          <w:tcPr>
            <w:tcW w:w="3107" w:type="dxa"/>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2088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66" w:type="dxa"/>
            <w:shd w:val="clear" w:color="auto" w:fill="auto"/>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3</w:t>
            </w:r>
          </w:p>
        </w:tc>
        <w:tc>
          <w:tcPr>
            <w:tcW w:w="2891" w:type="dxa"/>
            <w:shd w:val="clear" w:color="auto" w:fill="auto"/>
            <w:vAlign w:val="center"/>
          </w:tcPr>
          <w:p>
            <w:pPr>
              <w:widowControl/>
              <w:jc w:val="center"/>
              <w:rPr>
                <w:rFonts w:eastAsia="仿宋"/>
                <w:color w:val="0D0D0D" w:themeColor="text1" w:themeTint="F2"/>
                <w:sz w:val="24"/>
                <w:szCs w:val="24"/>
                <w14:textFill>
                  <w14:solidFill>
                    <w14:schemeClr w14:val="tx1">
                      <w14:lumMod w14:val="95000"/>
                      <w14:lumOff w14:val="5000"/>
                    </w14:schemeClr>
                  </w14:solidFill>
                </w14:textFill>
              </w:rPr>
            </w:pPr>
            <w:r>
              <w:rPr>
                <w:rFonts w:eastAsia="仿宋"/>
                <w:color w:val="0D0D0D" w:themeColor="text1" w:themeTint="F2"/>
                <w:sz w:val="24"/>
                <w:szCs w:val="24"/>
                <w14:textFill>
                  <w14:solidFill>
                    <w14:schemeClr w14:val="tx1">
                      <w14:lumMod w14:val="95000"/>
                      <w14:lumOff w14:val="5000"/>
                    </w14:schemeClr>
                  </w14:solidFill>
                </w14:textFill>
              </w:rPr>
              <w:t>死水位</w:t>
            </w:r>
          </w:p>
        </w:tc>
        <w:tc>
          <w:tcPr>
            <w:tcW w:w="2086" w:type="dxa"/>
            <w:shd w:val="clear" w:color="auto" w:fill="auto"/>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m</w:t>
            </w:r>
          </w:p>
        </w:tc>
        <w:tc>
          <w:tcPr>
            <w:tcW w:w="3107" w:type="dxa"/>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46.06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66" w:type="dxa"/>
            <w:shd w:val="clear" w:color="auto" w:fill="auto"/>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4</w:t>
            </w:r>
          </w:p>
        </w:tc>
        <w:tc>
          <w:tcPr>
            <w:tcW w:w="2891" w:type="dxa"/>
            <w:shd w:val="clear" w:color="auto" w:fill="auto"/>
            <w:vAlign w:val="center"/>
          </w:tcPr>
          <w:p>
            <w:pPr>
              <w:widowControl/>
              <w:jc w:val="center"/>
              <w:rPr>
                <w:rFonts w:eastAsia="仿宋"/>
                <w:color w:val="0D0D0D" w:themeColor="text1" w:themeTint="F2"/>
                <w:sz w:val="24"/>
                <w:szCs w:val="24"/>
                <w14:textFill>
                  <w14:solidFill>
                    <w14:schemeClr w14:val="tx1">
                      <w14:lumMod w14:val="95000"/>
                      <w14:lumOff w14:val="5000"/>
                    </w14:schemeClr>
                  </w14:solidFill>
                </w14:textFill>
              </w:rPr>
            </w:pPr>
            <w:r>
              <w:rPr>
                <w:rFonts w:hint="eastAsia" w:eastAsia="仿宋"/>
                <w:color w:val="0D0D0D" w:themeColor="text1" w:themeTint="F2"/>
                <w:sz w:val="24"/>
                <w:szCs w:val="24"/>
                <w14:textFill>
                  <w14:solidFill>
                    <w14:schemeClr w14:val="tx1">
                      <w14:lumMod w14:val="95000"/>
                      <w14:lumOff w14:val="5000"/>
                    </w14:schemeClr>
                  </w14:solidFill>
                </w14:textFill>
              </w:rPr>
              <w:t>设计洪水位</w:t>
            </w:r>
          </w:p>
        </w:tc>
        <w:tc>
          <w:tcPr>
            <w:tcW w:w="2086" w:type="dxa"/>
            <w:shd w:val="clear" w:color="auto" w:fill="auto"/>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m</w:t>
            </w:r>
          </w:p>
        </w:tc>
        <w:tc>
          <w:tcPr>
            <w:tcW w:w="3107" w:type="dxa"/>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2088.88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66" w:type="dxa"/>
            <w:shd w:val="clear" w:color="auto" w:fill="auto"/>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5</w:t>
            </w:r>
          </w:p>
        </w:tc>
        <w:tc>
          <w:tcPr>
            <w:tcW w:w="2891" w:type="dxa"/>
            <w:shd w:val="clear" w:color="auto" w:fill="auto"/>
            <w:vAlign w:val="center"/>
          </w:tcPr>
          <w:p>
            <w:pPr>
              <w:widowControl/>
              <w:jc w:val="center"/>
              <w:rPr>
                <w:rFonts w:eastAsia="仿宋"/>
                <w:color w:val="0D0D0D" w:themeColor="text1" w:themeTint="F2"/>
                <w:sz w:val="24"/>
                <w:szCs w:val="24"/>
                <w14:textFill>
                  <w14:solidFill>
                    <w14:schemeClr w14:val="tx1">
                      <w14:lumMod w14:val="95000"/>
                      <w14:lumOff w14:val="5000"/>
                    </w14:schemeClr>
                  </w14:solidFill>
                </w14:textFill>
              </w:rPr>
            </w:pPr>
            <w:r>
              <w:rPr>
                <w:rFonts w:hint="eastAsia" w:eastAsia="仿宋"/>
                <w:color w:val="0D0D0D" w:themeColor="text1" w:themeTint="F2"/>
                <w:sz w:val="24"/>
                <w:szCs w:val="24"/>
                <w14:textFill>
                  <w14:solidFill>
                    <w14:schemeClr w14:val="tx1">
                      <w14:lumMod w14:val="95000"/>
                      <w14:lumOff w14:val="5000"/>
                    </w14:schemeClr>
                  </w14:solidFill>
                </w14:textFill>
              </w:rPr>
              <w:t>校核洪水位</w:t>
            </w:r>
          </w:p>
        </w:tc>
        <w:tc>
          <w:tcPr>
            <w:tcW w:w="2086" w:type="dxa"/>
            <w:shd w:val="clear" w:color="auto" w:fill="auto"/>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m</w:t>
            </w:r>
          </w:p>
        </w:tc>
        <w:tc>
          <w:tcPr>
            <w:tcW w:w="3107" w:type="dxa"/>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2089.11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66" w:type="dxa"/>
            <w:shd w:val="clear" w:color="auto" w:fill="auto"/>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6</w:t>
            </w:r>
          </w:p>
        </w:tc>
        <w:tc>
          <w:tcPr>
            <w:tcW w:w="2891" w:type="dxa"/>
            <w:shd w:val="clear" w:color="auto" w:fill="auto"/>
            <w:vAlign w:val="center"/>
          </w:tcPr>
          <w:p>
            <w:pPr>
              <w:widowControl/>
              <w:jc w:val="center"/>
              <w:rPr>
                <w:rFonts w:eastAsia="仿宋"/>
                <w:color w:val="0D0D0D" w:themeColor="text1" w:themeTint="F2"/>
                <w:sz w:val="24"/>
                <w:szCs w:val="24"/>
                <w14:textFill>
                  <w14:solidFill>
                    <w14:schemeClr w14:val="tx1">
                      <w14:lumMod w14:val="95000"/>
                      <w14:lumOff w14:val="5000"/>
                    </w14:schemeClr>
                  </w14:solidFill>
                </w14:textFill>
              </w:rPr>
            </w:pPr>
            <w:r>
              <w:rPr>
                <w:rFonts w:hint="eastAsia" w:eastAsia="仿宋"/>
                <w:color w:val="0D0D0D" w:themeColor="text1" w:themeTint="F2"/>
                <w:sz w:val="24"/>
                <w:szCs w:val="24"/>
                <w14:textFill>
                  <w14:solidFill>
                    <w14:schemeClr w14:val="tx1">
                      <w14:lumMod w14:val="95000"/>
                      <w14:lumOff w14:val="5000"/>
                    </w14:schemeClr>
                  </w14:solidFill>
                </w14:textFill>
              </w:rPr>
              <w:t>调节库容</w:t>
            </w:r>
          </w:p>
        </w:tc>
        <w:tc>
          <w:tcPr>
            <w:tcW w:w="2086" w:type="dxa"/>
            <w:shd w:val="clear" w:color="auto" w:fill="auto"/>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万m</w:t>
            </w:r>
            <w:r>
              <w:rPr>
                <w:rFonts w:ascii="Times New Roman" w:hAnsi="Times New Roman" w:eastAsia="仿宋" w:cs="Times New Roman"/>
                <w:color w:val="0D0D0D" w:themeColor="text1" w:themeTint="F2"/>
                <w:sz w:val="24"/>
                <w:szCs w:val="24"/>
                <w:vertAlign w:val="superscript"/>
                <w14:textFill>
                  <w14:solidFill>
                    <w14:schemeClr w14:val="tx1">
                      <w14:lumMod w14:val="95000"/>
                      <w14:lumOff w14:val="5000"/>
                    </w14:schemeClr>
                  </w14:solidFill>
                </w14:textFill>
              </w:rPr>
              <w:t>3</w:t>
            </w:r>
          </w:p>
        </w:tc>
        <w:tc>
          <w:tcPr>
            <w:tcW w:w="3107" w:type="dxa"/>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38.41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66" w:type="dxa"/>
            <w:shd w:val="clear" w:color="auto" w:fill="auto"/>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7</w:t>
            </w:r>
          </w:p>
        </w:tc>
        <w:tc>
          <w:tcPr>
            <w:tcW w:w="2891" w:type="dxa"/>
            <w:shd w:val="clear" w:color="auto" w:fill="auto"/>
            <w:vAlign w:val="center"/>
          </w:tcPr>
          <w:p>
            <w:pPr>
              <w:widowControl/>
              <w:jc w:val="center"/>
              <w:rPr>
                <w:rFonts w:eastAsia="仿宋"/>
                <w:color w:val="0D0D0D" w:themeColor="text1" w:themeTint="F2"/>
                <w:sz w:val="24"/>
                <w:szCs w:val="24"/>
                <w14:textFill>
                  <w14:solidFill>
                    <w14:schemeClr w14:val="tx1">
                      <w14:lumMod w14:val="95000"/>
                      <w14:lumOff w14:val="5000"/>
                    </w14:schemeClr>
                  </w14:solidFill>
                </w14:textFill>
              </w:rPr>
            </w:pPr>
            <w:r>
              <w:rPr>
                <w:rFonts w:eastAsia="仿宋"/>
                <w:color w:val="0D0D0D" w:themeColor="text1" w:themeTint="F2"/>
                <w:sz w:val="24"/>
                <w:szCs w:val="24"/>
                <w14:textFill>
                  <w14:solidFill>
                    <w14:schemeClr w14:val="tx1">
                      <w14:lumMod w14:val="95000"/>
                      <w14:lumOff w14:val="5000"/>
                    </w14:schemeClr>
                  </w14:solidFill>
                </w14:textFill>
              </w:rPr>
              <w:t>总库容</w:t>
            </w:r>
          </w:p>
        </w:tc>
        <w:tc>
          <w:tcPr>
            <w:tcW w:w="2086" w:type="dxa"/>
            <w:shd w:val="clear" w:color="auto" w:fill="auto"/>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万m</w:t>
            </w:r>
            <w:r>
              <w:rPr>
                <w:rFonts w:ascii="Times New Roman" w:hAnsi="Times New Roman" w:eastAsia="仿宋" w:cs="Times New Roman"/>
                <w:color w:val="0D0D0D" w:themeColor="text1" w:themeTint="F2"/>
                <w:sz w:val="24"/>
                <w:szCs w:val="24"/>
                <w:vertAlign w:val="superscript"/>
                <w14:textFill>
                  <w14:solidFill>
                    <w14:schemeClr w14:val="tx1">
                      <w14:lumMod w14:val="95000"/>
                      <w14:lumOff w14:val="5000"/>
                    </w14:schemeClr>
                  </w14:solidFill>
                </w14:textFill>
              </w:rPr>
              <w:t>3</w:t>
            </w:r>
          </w:p>
        </w:tc>
        <w:tc>
          <w:tcPr>
            <w:tcW w:w="3107" w:type="dxa"/>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46</w:t>
            </w: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w:t>
            </w: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06</w:t>
            </w:r>
          </w:p>
        </w:tc>
      </w:tr>
    </w:tbl>
    <w:p>
      <w:pPr>
        <w:pStyle w:val="4"/>
        <w:spacing w:before="120" w:after="120" w:line="415" w:lineRule="auto"/>
        <w:rPr>
          <w:color w:val="0D0D0D" w:themeColor="text1" w:themeTint="F2"/>
          <w:sz w:val="28"/>
          <w:szCs w:val="28"/>
          <w14:textFill>
            <w14:solidFill>
              <w14:schemeClr w14:val="tx1">
                <w14:lumMod w14:val="95000"/>
                <w14:lumOff w14:val="5000"/>
              </w14:schemeClr>
            </w14:solidFill>
          </w14:textFill>
        </w:rPr>
      </w:pPr>
      <w:bookmarkStart w:id="56" w:name="_Toc12456062"/>
      <w:bookmarkStart w:id="57" w:name="_Toc10729975"/>
      <w:bookmarkStart w:id="58" w:name="_Toc27522191"/>
      <w:bookmarkStart w:id="59" w:name="_Toc524596427"/>
      <w:bookmarkStart w:id="60" w:name="_Toc478742807"/>
      <w:r>
        <w:rPr>
          <w:color w:val="0D0D0D" w:themeColor="text1" w:themeTint="F2"/>
          <w:sz w:val="28"/>
          <w:szCs w:val="28"/>
          <w14:textFill>
            <w14:solidFill>
              <w14:schemeClr w14:val="tx1">
                <w14:lumMod w14:val="95000"/>
                <w14:lumOff w14:val="5000"/>
              </w14:schemeClr>
            </w14:solidFill>
          </w14:textFill>
        </w:rPr>
        <w:t>2.</w:t>
      </w:r>
      <w:r>
        <w:rPr>
          <w:rFonts w:hint="eastAsia"/>
          <w:color w:val="0D0D0D" w:themeColor="text1" w:themeTint="F2"/>
          <w:sz w:val="28"/>
          <w:szCs w:val="28"/>
          <w14:textFill>
            <w14:solidFill>
              <w14:schemeClr w14:val="tx1">
                <w14:lumMod w14:val="95000"/>
                <w14:lumOff w14:val="5000"/>
              </w14:schemeClr>
            </w14:solidFill>
          </w14:textFill>
        </w:rPr>
        <w:t>5</w:t>
      </w:r>
      <w:r>
        <w:rPr>
          <w:color w:val="0D0D0D" w:themeColor="text1" w:themeTint="F2"/>
          <w:sz w:val="28"/>
          <w:szCs w:val="28"/>
          <w14:textFill>
            <w14:solidFill>
              <w14:schemeClr w14:val="tx1">
                <w14:lumMod w14:val="95000"/>
                <w14:lumOff w14:val="5000"/>
              </w14:schemeClr>
            </w14:solidFill>
          </w14:textFill>
        </w:rPr>
        <w:t>.2</w:t>
      </w:r>
      <w:r>
        <w:rPr>
          <w:rFonts w:hint="eastAsia"/>
          <w:color w:val="0D0D0D" w:themeColor="text1" w:themeTint="F2"/>
          <w:sz w:val="28"/>
          <w:szCs w:val="28"/>
          <w14:textFill>
            <w14:solidFill>
              <w14:schemeClr w14:val="tx1">
                <w14:lumMod w14:val="95000"/>
                <w14:lumOff w14:val="5000"/>
              </w14:schemeClr>
            </w14:solidFill>
          </w14:textFill>
        </w:rPr>
        <w:t xml:space="preserve"> 供</w:t>
      </w:r>
      <w:r>
        <w:rPr>
          <w:color w:val="0D0D0D" w:themeColor="text1" w:themeTint="F2"/>
          <w:sz w:val="28"/>
          <w:szCs w:val="28"/>
          <w14:textFill>
            <w14:solidFill>
              <w14:schemeClr w14:val="tx1">
                <w14:lumMod w14:val="95000"/>
                <w14:lumOff w14:val="5000"/>
              </w14:schemeClr>
            </w14:solidFill>
          </w14:textFill>
        </w:rPr>
        <w:t>水情况</w:t>
      </w:r>
      <w:bookmarkEnd w:id="56"/>
      <w:bookmarkEnd w:id="57"/>
      <w:bookmarkEnd w:id="58"/>
      <w:bookmarkEnd w:id="59"/>
      <w:bookmarkEnd w:id="60"/>
    </w:p>
    <w:p>
      <w:pPr>
        <w:adjustRightInd w:val="0"/>
        <w:snapToGrid w:val="0"/>
        <w:spacing w:line="360" w:lineRule="auto"/>
        <w:ind w:firstLine="560"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亦佐水库为富源县富村镇自来水厂水源点，年供水量</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36.5</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万</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m</w:t>
      </w:r>
      <w:r>
        <w:rPr>
          <w:rFonts w:ascii="Times New Roman" w:hAnsi="Times New Roman" w:eastAsia="仿宋" w:cs="Times New Roman"/>
          <w:color w:val="0D0D0D" w:themeColor="text1" w:themeTint="F2"/>
          <w:sz w:val="28"/>
          <w:szCs w:val="28"/>
          <w:vertAlign w:val="superscript"/>
          <w14:textFill>
            <w14:solidFill>
              <w14:schemeClr w14:val="tx1">
                <w14:lumMod w14:val="95000"/>
                <w14:lumOff w14:val="5000"/>
              </w14:schemeClr>
            </w14:solidFill>
          </w14:textFill>
        </w:rPr>
        <w:t>3</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年，供水人口约</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1.5</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万人。</w:t>
      </w:r>
    </w:p>
    <w:p>
      <w:pPr>
        <w:spacing w:line="480" w:lineRule="exact"/>
        <w:jc w:val="center"/>
        <w:rPr>
          <w:rFonts w:ascii="Times New Roman" w:hAnsi="Times New Roman" w:eastAsia="仿宋" w:cs="Times New Roman"/>
          <w:b/>
          <w:bCs/>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28"/>
          <w:szCs w:val="24"/>
          <w14:textFill>
            <w14:solidFill>
              <w14:schemeClr w14:val="tx1">
                <w14:lumMod w14:val="95000"/>
                <w14:lumOff w14:val="5000"/>
              </w14:schemeClr>
            </w14:solidFill>
          </w14:textFill>
        </w:rPr>
        <w:t>表2.</w:t>
      </w:r>
      <w:r>
        <w:rPr>
          <w:rFonts w:hint="eastAsia" w:ascii="Times New Roman" w:hAnsi="Times New Roman" w:eastAsia="仿宋" w:cs="Times New Roman"/>
          <w:b/>
          <w:color w:val="0D0D0D" w:themeColor="text1" w:themeTint="F2"/>
          <w:sz w:val="28"/>
          <w:szCs w:val="24"/>
          <w14:textFill>
            <w14:solidFill>
              <w14:schemeClr w14:val="tx1">
                <w14:lumMod w14:val="95000"/>
                <w14:lumOff w14:val="5000"/>
              </w14:schemeClr>
            </w14:solidFill>
          </w14:textFill>
        </w:rPr>
        <w:t>5</w:t>
      </w:r>
      <w:r>
        <w:rPr>
          <w:rFonts w:ascii="Times New Roman" w:hAnsi="Times New Roman" w:eastAsia="仿宋" w:cs="Times New Roman"/>
          <w:b/>
          <w:color w:val="0D0D0D" w:themeColor="text1" w:themeTint="F2"/>
          <w:sz w:val="28"/>
          <w:szCs w:val="24"/>
          <w14:textFill>
            <w14:solidFill>
              <w14:schemeClr w14:val="tx1">
                <w14:lumMod w14:val="95000"/>
                <w14:lumOff w14:val="5000"/>
              </w14:schemeClr>
            </w14:solidFill>
          </w14:textFill>
        </w:rPr>
        <w:t xml:space="preserve">-3  </w:t>
      </w:r>
      <w:r>
        <w:rPr>
          <w:rFonts w:hint="eastAsia" w:ascii="Times New Roman" w:hAnsi="Times New Roman" w:eastAsia="仿宋" w:cs="Times New Roman"/>
          <w:b/>
          <w:bCs/>
          <w:color w:val="0D0D0D" w:themeColor="text1" w:themeTint="F2"/>
          <w:sz w:val="28"/>
          <w:szCs w:val="28"/>
          <w14:textFill>
            <w14:solidFill>
              <w14:schemeClr w14:val="tx1">
                <w14:lumMod w14:val="95000"/>
                <w14:lumOff w14:val="5000"/>
              </w14:schemeClr>
            </w14:solidFill>
          </w14:textFill>
        </w:rPr>
        <w:t>亦佐水库供水情况统计表</w:t>
      </w:r>
    </w:p>
    <w:tbl>
      <w:tblPr>
        <w:tblStyle w:val="45"/>
        <w:tblW w:w="9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6"/>
        <w:gridCol w:w="3754"/>
        <w:gridCol w:w="3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526" w:type="dxa"/>
            <w:shd w:val="clear" w:color="auto" w:fill="D8D8D8" w:themeFill="background1" w:themeFillShade="D9"/>
            <w:vAlign w:val="center"/>
          </w:tcPr>
          <w:p>
            <w:pPr>
              <w:spacing w:line="300" w:lineRule="exact"/>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水源地名称</w:t>
            </w:r>
          </w:p>
        </w:tc>
        <w:tc>
          <w:tcPr>
            <w:tcW w:w="3754" w:type="dxa"/>
            <w:shd w:val="clear" w:color="auto" w:fill="D8D8D8" w:themeFill="background1" w:themeFillShade="D9"/>
            <w:vAlign w:val="center"/>
          </w:tcPr>
          <w:p>
            <w:pPr>
              <w:spacing w:line="300" w:lineRule="exact"/>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供</w:t>
            </w:r>
            <w: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水量（万</w:t>
            </w:r>
            <w:r>
              <w:rPr>
                <w:rFonts w:hint="eastAsia"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m</w:t>
            </w:r>
            <w:r>
              <w:rPr>
                <w:rFonts w:hint="eastAsia" w:ascii="Times New Roman" w:hAnsi="Times New Roman" w:eastAsia="仿宋" w:cs="Times New Roman"/>
                <w:b/>
                <w:color w:val="0D0D0D" w:themeColor="text1" w:themeTint="F2"/>
                <w:sz w:val="24"/>
                <w:szCs w:val="24"/>
                <w:vertAlign w:val="superscript"/>
                <w14:textFill>
                  <w14:solidFill>
                    <w14:schemeClr w14:val="tx1">
                      <w14:lumMod w14:val="95000"/>
                      <w14:lumOff w14:val="5000"/>
                    </w14:schemeClr>
                  </w14:solidFill>
                </w14:textFill>
              </w:rPr>
              <w:t>3</w:t>
            </w:r>
            <w: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/年）</w:t>
            </w:r>
          </w:p>
        </w:tc>
        <w:tc>
          <w:tcPr>
            <w:tcW w:w="3370" w:type="dxa"/>
            <w:shd w:val="clear" w:color="auto" w:fill="D8D8D8" w:themeFill="background1" w:themeFillShade="D9"/>
            <w:vAlign w:val="center"/>
          </w:tcPr>
          <w:p>
            <w:pPr>
              <w:spacing w:line="300" w:lineRule="exact"/>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供水</w:t>
            </w:r>
            <w: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人口（万人）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 w:hRule="atLeast"/>
        </w:trPr>
        <w:tc>
          <w:tcPr>
            <w:tcW w:w="2526" w:type="dxa"/>
            <w:shd w:val="clear" w:color="auto" w:fill="auto"/>
            <w:vAlign w:val="center"/>
          </w:tcPr>
          <w:p>
            <w:pPr>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亦佐水库</w:t>
            </w:r>
          </w:p>
        </w:tc>
        <w:tc>
          <w:tcPr>
            <w:tcW w:w="3754" w:type="dxa"/>
            <w:shd w:val="clear" w:color="auto" w:fill="auto"/>
            <w:vAlign w:val="center"/>
          </w:tcPr>
          <w:p>
            <w:pPr>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36.5</w:t>
            </w:r>
          </w:p>
        </w:tc>
        <w:tc>
          <w:tcPr>
            <w:tcW w:w="3370" w:type="dxa"/>
            <w:shd w:val="clear" w:color="auto" w:fill="auto"/>
            <w:vAlign w:val="center"/>
          </w:tcPr>
          <w:p>
            <w:pPr>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1.5</w:t>
            </w:r>
          </w:p>
        </w:tc>
      </w:tr>
    </w:tbl>
    <w:p>
      <w:pPr>
        <w:pStyle w:val="3"/>
        <w:rPr>
          <w:color w:val="0D0D0D" w:themeColor="text1" w:themeTint="F2"/>
          <w14:textFill>
            <w14:solidFill>
              <w14:schemeClr w14:val="tx1">
                <w14:lumMod w14:val="95000"/>
                <w14:lumOff w14:val="5000"/>
              </w14:schemeClr>
            </w14:solidFill>
          </w14:textFill>
        </w:rPr>
      </w:pPr>
      <w:bookmarkStart w:id="61" w:name="_Toc10729976"/>
      <w:bookmarkStart w:id="62" w:name="_Toc27522192"/>
      <w:bookmarkStart w:id="63" w:name="_Toc12456063"/>
      <w:r>
        <w:rPr>
          <w:color w:val="0D0D0D" w:themeColor="text1" w:themeTint="F2"/>
          <w14:textFill>
            <w14:solidFill>
              <w14:schemeClr w14:val="tx1">
                <w14:lumMod w14:val="95000"/>
                <w14:lumOff w14:val="5000"/>
              </w14:schemeClr>
            </w14:solidFill>
          </w14:textFill>
        </w:rPr>
        <w:t>2.</w:t>
      </w:r>
      <w:r>
        <w:rPr>
          <w:rFonts w:hint="eastAsia"/>
          <w:color w:val="0D0D0D" w:themeColor="text1" w:themeTint="F2"/>
          <w14:textFill>
            <w14:solidFill>
              <w14:schemeClr w14:val="tx1">
                <w14:lumMod w14:val="95000"/>
                <w14:lumOff w14:val="5000"/>
              </w14:schemeClr>
            </w14:solidFill>
          </w14:textFill>
        </w:rPr>
        <w:t>6 饮用水</w:t>
      </w:r>
      <w:r>
        <w:rPr>
          <w:color w:val="0D0D0D" w:themeColor="text1" w:themeTint="F2"/>
          <w14:textFill>
            <w14:solidFill>
              <w14:schemeClr w14:val="tx1">
                <w14:lumMod w14:val="95000"/>
                <w14:lumOff w14:val="5000"/>
              </w14:schemeClr>
            </w14:solidFill>
          </w14:textFill>
        </w:rPr>
        <w:t>水源地</w:t>
      </w:r>
      <w:r>
        <w:rPr>
          <w:rFonts w:hint="eastAsia"/>
          <w:color w:val="0D0D0D" w:themeColor="text1" w:themeTint="F2"/>
          <w14:textFill>
            <w14:solidFill>
              <w14:schemeClr w14:val="tx1">
                <w14:lumMod w14:val="95000"/>
                <w14:lumOff w14:val="5000"/>
              </w14:schemeClr>
            </w14:solidFill>
          </w14:textFill>
        </w:rPr>
        <w:t>的</w:t>
      </w:r>
      <w:r>
        <w:rPr>
          <w:color w:val="0D0D0D" w:themeColor="text1" w:themeTint="F2"/>
          <w14:textFill>
            <w14:solidFill>
              <w14:schemeClr w14:val="tx1">
                <w14:lumMod w14:val="95000"/>
                <w14:lumOff w14:val="5000"/>
              </w14:schemeClr>
            </w14:solidFill>
          </w14:textFill>
        </w:rPr>
        <w:t>水质状况</w:t>
      </w:r>
      <w:bookmarkEnd w:id="61"/>
      <w:r>
        <w:rPr>
          <w:rFonts w:hint="eastAsia"/>
          <w:color w:val="0D0D0D" w:themeColor="text1" w:themeTint="F2"/>
          <w14:textFill>
            <w14:solidFill>
              <w14:schemeClr w14:val="tx1">
                <w14:lumMod w14:val="95000"/>
                <w14:lumOff w14:val="5000"/>
              </w14:schemeClr>
            </w14:solidFill>
          </w14:textFill>
        </w:rPr>
        <w:t>调查评价</w:t>
      </w:r>
      <w:bookmarkEnd w:id="62"/>
      <w:bookmarkEnd w:id="63"/>
    </w:p>
    <w:p>
      <w:pPr>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富村镇亦佐水库2019年11月由曲靖市生态环境局</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富源分局</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委托</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云南</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蓝</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硕</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环境</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信息咨询</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有限</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公司</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对其水质开展1次监测，本区划引用</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201</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9年11月</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的</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监测数据对富村镇亦佐水库水环境质量进行评估。</w:t>
      </w:r>
    </w:p>
    <w:p>
      <w:pPr>
        <w:pStyle w:val="4"/>
        <w:spacing w:before="120" w:after="120" w:line="415" w:lineRule="auto"/>
        <w:rPr>
          <w:color w:val="0D0D0D" w:themeColor="text1" w:themeTint="F2"/>
          <w:sz w:val="28"/>
          <w:szCs w:val="28"/>
          <w14:textFill>
            <w14:solidFill>
              <w14:schemeClr w14:val="tx1">
                <w14:lumMod w14:val="95000"/>
                <w14:lumOff w14:val="5000"/>
              </w14:schemeClr>
            </w14:solidFill>
          </w14:textFill>
        </w:rPr>
      </w:pPr>
      <w:bookmarkStart w:id="64" w:name="_Toc27063964"/>
      <w:bookmarkStart w:id="65" w:name="_Toc27522193"/>
      <w:r>
        <w:rPr>
          <w:color w:val="0D0D0D" w:themeColor="text1" w:themeTint="F2"/>
          <w:sz w:val="28"/>
          <w:szCs w:val="28"/>
          <w14:textFill>
            <w14:solidFill>
              <w14:schemeClr w14:val="tx1">
                <w14:lumMod w14:val="95000"/>
                <w14:lumOff w14:val="5000"/>
              </w14:schemeClr>
            </w14:solidFill>
          </w14:textFill>
        </w:rPr>
        <w:t>2.</w:t>
      </w:r>
      <w:r>
        <w:rPr>
          <w:rFonts w:hint="eastAsia"/>
          <w:color w:val="0D0D0D" w:themeColor="text1" w:themeTint="F2"/>
          <w:sz w:val="28"/>
          <w:szCs w:val="28"/>
          <w14:textFill>
            <w14:solidFill>
              <w14:schemeClr w14:val="tx1">
                <w14:lumMod w14:val="95000"/>
                <w14:lumOff w14:val="5000"/>
              </w14:schemeClr>
            </w14:solidFill>
          </w14:textFill>
        </w:rPr>
        <w:t>6</w:t>
      </w:r>
      <w:r>
        <w:rPr>
          <w:color w:val="0D0D0D" w:themeColor="text1" w:themeTint="F2"/>
          <w:sz w:val="28"/>
          <w:szCs w:val="28"/>
          <w14:textFill>
            <w14:solidFill>
              <w14:schemeClr w14:val="tx1">
                <w14:lumMod w14:val="95000"/>
                <w14:lumOff w14:val="5000"/>
              </w14:schemeClr>
            </w14:solidFill>
          </w14:textFill>
        </w:rPr>
        <w:t>.1 评价指标、时段、监测布点</w:t>
      </w:r>
      <w:bookmarkEnd w:id="64"/>
      <w:bookmarkEnd w:id="65"/>
    </w:p>
    <w:p>
      <w:pPr>
        <w:pStyle w:val="5"/>
        <w:spacing w:line="377" w:lineRule="auto"/>
        <w:ind w:firstLine="281" w:firstLineChars="100"/>
        <w:rPr>
          <w:color w:val="0D0D0D" w:themeColor="text1" w:themeTint="F2"/>
          <w:sz w:val="28"/>
          <w14:textFill>
            <w14:solidFill>
              <w14:schemeClr w14:val="tx1">
                <w14:lumMod w14:val="95000"/>
                <w14:lumOff w14:val="5000"/>
              </w14:schemeClr>
            </w14:solidFill>
          </w14:textFill>
        </w:rPr>
      </w:pPr>
      <w:r>
        <w:rPr>
          <w:color w:val="0D0D0D" w:themeColor="text1" w:themeTint="F2"/>
          <w:sz w:val="28"/>
          <w14:textFill>
            <w14:solidFill>
              <w14:schemeClr w14:val="tx1">
                <w14:lumMod w14:val="95000"/>
                <w14:lumOff w14:val="5000"/>
              </w14:schemeClr>
            </w14:solidFill>
          </w14:textFill>
        </w:rPr>
        <w:t>2.</w:t>
      </w:r>
      <w:r>
        <w:rPr>
          <w:rFonts w:hint="eastAsia"/>
          <w:color w:val="0D0D0D" w:themeColor="text1" w:themeTint="F2"/>
          <w:sz w:val="28"/>
          <w14:textFill>
            <w14:solidFill>
              <w14:schemeClr w14:val="tx1">
                <w14:lumMod w14:val="95000"/>
                <w14:lumOff w14:val="5000"/>
              </w14:schemeClr>
            </w14:solidFill>
          </w14:textFill>
        </w:rPr>
        <w:t>6</w:t>
      </w:r>
      <w:r>
        <w:rPr>
          <w:color w:val="0D0D0D" w:themeColor="text1" w:themeTint="F2"/>
          <w:sz w:val="28"/>
          <w14:textFill>
            <w14:solidFill>
              <w14:schemeClr w14:val="tx1">
                <w14:lumMod w14:val="95000"/>
                <w14:lumOff w14:val="5000"/>
              </w14:schemeClr>
            </w14:solidFill>
          </w14:textFill>
        </w:rPr>
        <w:t xml:space="preserve">.1.1 </w:t>
      </w:r>
      <w:r>
        <w:rPr>
          <w:rFonts w:hint="eastAsia"/>
          <w:color w:val="0D0D0D" w:themeColor="text1" w:themeTint="F2"/>
          <w:sz w:val="28"/>
          <w14:textFill>
            <w14:solidFill>
              <w14:schemeClr w14:val="tx1">
                <w14:lumMod w14:val="95000"/>
                <w14:lumOff w14:val="5000"/>
              </w14:schemeClr>
            </w14:solidFill>
          </w14:textFill>
        </w:rPr>
        <w:t>评价指标</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201</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9年11月</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由</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曲靖市生态环境局富源分局委托云南蓝硕环境信息咨询有限公司对其水质开展1次监测，主要对</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《地表水环境质量标准》</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GB3838-2002</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）表1的24项指标包括</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水温、pH、</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溶解氧、</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高锰酸盐指数、化学需氧量（COD</w:t>
      </w:r>
      <w:r>
        <w:rPr>
          <w:rFonts w:hint="eastAsia" w:ascii="Times New Roman" w:hAnsi="Times New Roman" w:eastAsia="仿宋"/>
          <w:color w:val="0D0D0D" w:themeColor="text1" w:themeTint="F2"/>
          <w:sz w:val="28"/>
          <w:szCs w:val="28"/>
          <w:vertAlign w:val="subscript"/>
          <w14:textFill>
            <w14:solidFill>
              <w14:schemeClr w14:val="tx1">
                <w14:lumMod w14:val="95000"/>
                <w14:lumOff w14:val="5000"/>
              </w14:schemeClr>
            </w14:solidFill>
          </w14:textFill>
        </w:rPr>
        <w:t>C</w:t>
      </w:r>
      <w:r>
        <w:rPr>
          <w:rFonts w:ascii="Times New Roman" w:hAnsi="Times New Roman" w:eastAsia="仿宋"/>
          <w:color w:val="0D0D0D" w:themeColor="text1" w:themeTint="F2"/>
          <w:sz w:val="28"/>
          <w:szCs w:val="28"/>
          <w:vertAlign w:val="subscript"/>
          <w14:textFill>
            <w14:solidFill>
              <w14:schemeClr w14:val="tx1">
                <w14:lumMod w14:val="95000"/>
                <w14:lumOff w14:val="5000"/>
              </w14:schemeClr>
            </w14:solidFill>
          </w14:textFill>
        </w:rPr>
        <w:t>r</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）、五日生化需氧量（BOD</w:t>
      </w:r>
      <w:r>
        <w:rPr>
          <w:rFonts w:ascii="Times New Roman" w:hAnsi="Times New Roman" w:eastAsia="仿宋"/>
          <w:color w:val="0D0D0D" w:themeColor="text1" w:themeTint="F2"/>
          <w:sz w:val="28"/>
          <w:szCs w:val="28"/>
          <w:vertAlign w:val="subscript"/>
          <w14:textFill>
            <w14:solidFill>
              <w14:schemeClr w14:val="tx1">
                <w14:lumMod w14:val="95000"/>
                <w14:lumOff w14:val="5000"/>
              </w14:schemeClr>
            </w14:solidFill>
          </w14:textFill>
        </w:rPr>
        <w:t>5</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）、氨氮、</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总磷</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总氮</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铜</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锌</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氟化物</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、硒、</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砷</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汞</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镉</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六价铬</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铅</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氰化物</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、挥发酚、石油类、</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阴离子表面活性剂（</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LAS</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）、硫化物</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、粪大肠菌群</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，表2的5项指标包括</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硫酸盐、氯化物、硝酸盐</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氮</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、铁、锰</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，及气温、</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气压</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、电导率、叶绿素</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和透明度5</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项指标，共3</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4</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项指标进行监测。</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富村镇亦佐水库水质目标按</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《地表水环境质量标准》</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GB3838-2002</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fldChar w:fldCharType="begin"/>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instrText xml:space="preserve"> </w:instrTex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instrText xml:space="preserve">= 3 \* ROMAN</w:instrTex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instrText xml:space="preserve"> </w:instrTex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fldChar w:fldCharType="separate"/>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III</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fldChar w:fldCharType="end"/>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类</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水质标准。本区划根据常规监测评价结果，结合流域现状主要污染源，对所有已开展的监测因子进行水质类别评价，选取pH、溶解氧、高锰酸盐指数、化学需氧量（COD</w:t>
      </w:r>
      <w:r>
        <w:rPr>
          <w:rFonts w:hint="eastAsia" w:ascii="Times New Roman" w:hAnsi="Times New Roman" w:eastAsia="仿宋"/>
          <w:color w:val="0D0D0D" w:themeColor="text1" w:themeTint="F2"/>
          <w:sz w:val="28"/>
          <w:szCs w:val="28"/>
          <w:vertAlign w:val="subscript"/>
          <w14:textFill>
            <w14:solidFill>
              <w14:schemeClr w14:val="tx1">
                <w14:lumMod w14:val="95000"/>
                <w14:lumOff w14:val="5000"/>
              </w14:schemeClr>
            </w14:solidFill>
          </w14:textFill>
        </w:rPr>
        <w:t>C</w:t>
      </w:r>
      <w:r>
        <w:rPr>
          <w:rFonts w:ascii="Times New Roman" w:hAnsi="Times New Roman" w:eastAsia="仿宋"/>
          <w:color w:val="0D0D0D" w:themeColor="text1" w:themeTint="F2"/>
          <w:sz w:val="28"/>
          <w:szCs w:val="28"/>
          <w:vertAlign w:val="subscript"/>
          <w14:textFill>
            <w14:solidFill>
              <w14:schemeClr w14:val="tx1">
                <w14:lumMod w14:val="95000"/>
                <w14:lumOff w14:val="5000"/>
              </w14:schemeClr>
            </w14:solidFill>
          </w14:textFill>
        </w:rPr>
        <w:t>r</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）、五日生化需氧量（BOD</w:t>
      </w:r>
      <w:r>
        <w:rPr>
          <w:rFonts w:hint="eastAsia" w:ascii="Times New Roman" w:hAnsi="Times New Roman" w:eastAsia="仿宋"/>
          <w:color w:val="0D0D0D" w:themeColor="text1" w:themeTint="F2"/>
          <w:sz w:val="28"/>
          <w:szCs w:val="28"/>
          <w:vertAlign w:val="subscript"/>
          <w14:textFill>
            <w14:solidFill>
              <w14:schemeClr w14:val="tx1">
                <w14:lumMod w14:val="95000"/>
                <w14:lumOff w14:val="5000"/>
              </w14:schemeClr>
            </w14:solidFill>
          </w14:textFill>
        </w:rPr>
        <w:t>5</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）、氨氮、总磷、总氮、铜、锌、氟化物、硒、砷、汞、镉、六价铬、铅、氰化物、挥发酚、石油类、阴离子表面活性剂（LAS）、硫化物等</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22</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项指标采用单因子指数法进行水质评价。</w:t>
      </w:r>
    </w:p>
    <w:p>
      <w:pPr>
        <w:spacing w:line="480" w:lineRule="exact"/>
        <w:jc w:val="center"/>
        <w:rPr>
          <w:rFonts w:ascii="Times New Roman" w:hAnsi="Times New Roman" w:eastAsia="仿宋" w:cs="Times New Roman"/>
          <w:b/>
          <w:color w:val="0D0D0D" w:themeColor="text1" w:themeTint="F2"/>
          <w:sz w:val="28"/>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28"/>
          <w:szCs w:val="24"/>
          <w14:textFill>
            <w14:solidFill>
              <w14:schemeClr w14:val="tx1">
                <w14:lumMod w14:val="95000"/>
                <w14:lumOff w14:val="5000"/>
              </w14:schemeClr>
            </w14:solidFill>
          </w14:textFill>
        </w:rPr>
        <w:t>表2.</w:t>
      </w:r>
      <w:r>
        <w:rPr>
          <w:rFonts w:hint="eastAsia" w:ascii="Times New Roman" w:hAnsi="Times New Roman" w:eastAsia="仿宋" w:cs="Times New Roman"/>
          <w:b/>
          <w:color w:val="0D0D0D" w:themeColor="text1" w:themeTint="F2"/>
          <w:sz w:val="28"/>
          <w:szCs w:val="24"/>
          <w14:textFill>
            <w14:solidFill>
              <w14:schemeClr w14:val="tx1">
                <w14:lumMod w14:val="95000"/>
                <w14:lumOff w14:val="5000"/>
              </w14:schemeClr>
            </w14:solidFill>
          </w14:textFill>
        </w:rPr>
        <w:t>6</w:t>
      </w:r>
      <w:r>
        <w:rPr>
          <w:rFonts w:ascii="Times New Roman" w:hAnsi="Times New Roman" w:eastAsia="仿宋" w:cs="Times New Roman"/>
          <w:b/>
          <w:color w:val="0D0D0D" w:themeColor="text1" w:themeTint="F2"/>
          <w:sz w:val="28"/>
          <w:szCs w:val="24"/>
          <w14:textFill>
            <w14:solidFill>
              <w14:schemeClr w14:val="tx1">
                <w14:lumMod w14:val="95000"/>
                <w14:lumOff w14:val="5000"/>
              </w14:schemeClr>
            </w14:solidFill>
          </w14:textFill>
        </w:rPr>
        <w:t xml:space="preserve">-1  </w:t>
      </w:r>
      <w:r>
        <w:rPr>
          <w:rFonts w:hint="eastAsia" w:ascii="Times New Roman" w:hAnsi="Times New Roman" w:eastAsia="仿宋" w:cs="Times New Roman"/>
          <w:b/>
          <w:color w:val="0D0D0D" w:themeColor="text1" w:themeTint="F2"/>
          <w:sz w:val="28"/>
          <w:szCs w:val="24"/>
          <w14:textFill>
            <w14:solidFill>
              <w14:schemeClr w14:val="tx1">
                <w14:lumMod w14:val="95000"/>
                <w14:lumOff w14:val="5000"/>
              </w14:schemeClr>
            </w14:solidFill>
          </w14:textFill>
        </w:rPr>
        <w:t>主要指标</w:t>
      </w:r>
      <w:r>
        <w:rPr>
          <w:rFonts w:ascii="Times New Roman" w:hAnsi="Times New Roman" w:eastAsia="仿宋" w:cs="Times New Roman"/>
          <w:b/>
          <w:color w:val="0D0D0D" w:themeColor="text1" w:themeTint="F2"/>
          <w:sz w:val="28"/>
          <w:szCs w:val="24"/>
          <w14:textFill>
            <w14:solidFill>
              <w14:schemeClr w14:val="tx1">
                <w14:lumMod w14:val="95000"/>
                <w14:lumOff w14:val="5000"/>
              </w14:schemeClr>
            </w14:solidFill>
          </w14:textFill>
        </w:rPr>
        <w:t>地表水环境质量标准限值</w:t>
      </w:r>
    </w:p>
    <w:p>
      <w:pPr>
        <w:spacing w:line="480" w:lineRule="exact"/>
        <w:jc w:val="right"/>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单位：mg/L（除pH</w:t>
      </w:r>
      <w:r>
        <w:rPr>
          <w:rFonts w:hint="eastAsia"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、粪大肠菌群</w:t>
      </w:r>
      <w: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w:t>
      </w:r>
    </w:p>
    <w:tbl>
      <w:tblPr>
        <w:tblStyle w:val="44"/>
        <w:tblW w:w="965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78"/>
        <w:gridCol w:w="3194"/>
        <w:gridCol w:w="2374"/>
        <w:gridCol w:w="996"/>
        <w:gridCol w:w="876"/>
        <w:gridCol w:w="816"/>
        <w:gridCol w:w="8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blHeader/>
          <w:jc w:val="center"/>
        </w:trPr>
        <w:tc>
          <w:tcPr>
            <w:tcW w:w="578"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widowControl/>
              <w:spacing w:line="300" w:lineRule="exact"/>
              <w:ind w:right="-130" w:rightChars="-62"/>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t>序号</w:t>
            </w:r>
          </w:p>
        </w:tc>
        <w:tc>
          <w:tcPr>
            <w:tcW w:w="3194"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widowControl/>
              <w:spacing w:line="300" w:lineRule="exact"/>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t>参数</w:t>
            </w:r>
          </w:p>
        </w:tc>
        <w:tc>
          <w:tcPr>
            <w:tcW w:w="2374"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widowControl/>
              <w:spacing w:line="300" w:lineRule="exact"/>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宋体" w:cs="宋体"/>
                <w:b/>
                <w:color w:val="0D0D0D" w:themeColor="text1" w:themeTint="F2"/>
                <w:sz w:val="24"/>
                <w:szCs w:val="24"/>
                <w14:textFill>
                  <w14:solidFill>
                    <w14:schemeClr w14:val="tx1">
                      <w14:lumMod w14:val="95000"/>
                      <w14:lumOff w14:val="5000"/>
                    </w14:schemeClr>
                  </w14:solidFill>
                </w14:textFill>
              </w:rPr>
              <w:t>I</w:t>
            </w:r>
          </w:p>
        </w:tc>
        <w:tc>
          <w:tcPr>
            <w:tcW w:w="996"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widowControl/>
              <w:spacing w:line="300" w:lineRule="exact"/>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宋体" w:cs="宋体"/>
                <w:b/>
                <w:color w:val="0D0D0D" w:themeColor="text1" w:themeTint="F2"/>
                <w:sz w:val="24"/>
                <w:szCs w:val="24"/>
                <w14:textFill>
                  <w14:solidFill>
                    <w14:schemeClr w14:val="tx1">
                      <w14:lumMod w14:val="95000"/>
                      <w14:lumOff w14:val="5000"/>
                    </w14:schemeClr>
                  </w14:solidFill>
                </w14:textFill>
              </w:rPr>
              <w:fldChar w:fldCharType="begin"/>
            </w:r>
            <w:r>
              <w:rPr>
                <w:rFonts w:ascii="Times New Roman" w:hAnsi="Times New Roman" w:eastAsia="宋体" w:cs="宋体"/>
                <w:b/>
                <w:color w:val="0D0D0D" w:themeColor="text1" w:themeTint="F2"/>
                <w:sz w:val="24"/>
                <w:szCs w:val="24"/>
                <w14:textFill>
                  <w14:solidFill>
                    <w14:schemeClr w14:val="tx1">
                      <w14:lumMod w14:val="95000"/>
                      <w14:lumOff w14:val="5000"/>
                    </w14:schemeClr>
                  </w14:solidFill>
                </w14:textFill>
              </w:rPr>
              <w:instrText xml:space="preserve"> </w:instrText>
            </w:r>
            <w:r>
              <w:rPr>
                <w:rFonts w:hint="eastAsia" w:ascii="Times New Roman" w:hAnsi="Times New Roman" w:eastAsia="宋体" w:cs="宋体"/>
                <w:b/>
                <w:color w:val="0D0D0D" w:themeColor="text1" w:themeTint="F2"/>
                <w:sz w:val="24"/>
                <w:szCs w:val="24"/>
                <w14:textFill>
                  <w14:solidFill>
                    <w14:schemeClr w14:val="tx1">
                      <w14:lumMod w14:val="95000"/>
                      <w14:lumOff w14:val="5000"/>
                    </w14:schemeClr>
                  </w14:solidFill>
                </w14:textFill>
              </w:rPr>
              <w:instrText xml:space="preserve">= 2 \* ROMAN</w:instrText>
            </w:r>
            <w:r>
              <w:rPr>
                <w:rFonts w:ascii="Times New Roman" w:hAnsi="Times New Roman" w:eastAsia="宋体" w:cs="宋体"/>
                <w:b/>
                <w:color w:val="0D0D0D" w:themeColor="text1" w:themeTint="F2"/>
                <w:sz w:val="24"/>
                <w:szCs w:val="24"/>
                <w14:textFill>
                  <w14:solidFill>
                    <w14:schemeClr w14:val="tx1">
                      <w14:lumMod w14:val="95000"/>
                      <w14:lumOff w14:val="5000"/>
                    </w14:schemeClr>
                  </w14:solidFill>
                </w14:textFill>
              </w:rPr>
              <w:instrText xml:space="preserve"> </w:instrText>
            </w:r>
            <w:r>
              <w:rPr>
                <w:rFonts w:ascii="Times New Roman" w:hAnsi="Times New Roman" w:eastAsia="宋体" w:cs="宋体"/>
                <w:b/>
                <w:color w:val="0D0D0D" w:themeColor="text1" w:themeTint="F2"/>
                <w:sz w:val="24"/>
                <w:szCs w:val="24"/>
                <w14:textFill>
                  <w14:solidFill>
                    <w14:schemeClr w14:val="tx1">
                      <w14:lumMod w14:val="95000"/>
                      <w14:lumOff w14:val="5000"/>
                    </w14:schemeClr>
                  </w14:solidFill>
                </w14:textFill>
              </w:rPr>
              <w:fldChar w:fldCharType="separate"/>
            </w:r>
            <w:r>
              <w:rPr>
                <w:rFonts w:ascii="Times New Roman" w:hAnsi="Times New Roman" w:eastAsia="宋体" w:cs="宋体"/>
                <w:b/>
                <w:color w:val="0D0D0D" w:themeColor="text1" w:themeTint="F2"/>
                <w:sz w:val="24"/>
                <w:szCs w:val="24"/>
                <w14:textFill>
                  <w14:solidFill>
                    <w14:schemeClr w14:val="tx1">
                      <w14:lumMod w14:val="95000"/>
                      <w14:lumOff w14:val="5000"/>
                    </w14:schemeClr>
                  </w14:solidFill>
                </w14:textFill>
              </w:rPr>
              <w:t>II</w:t>
            </w:r>
            <w:r>
              <w:rPr>
                <w:rFonts w:ascii="Times New Roman" w:hAnsi="Times New Roman" w:eastAsia="宋体" w:cs="宋体"/>
                <w:b/>
                <w:color w:val="0D0D0D" w:themeColor="text1" w:themeTint="F2"/>
                <w:sz w:val="24"/>
                <w:szCs w:val="24"/>
                <w14:textFill>
                  <w14:solidFill>
                    <w14:schemeClr w14:val="tx1">
                      <w14:lumMod w14:val="95000"/>
                      <w14:lumOff w14:val="5000"/>
                    </w14:schemeClr>
                  </w14:solidFill>
                </w14:textFill>
              </w:rPr>
              <w:fldChar w:fldCharType="end"/>
            </w:r>
          </w:p>
        </w:tc>
        <w:tc>
          <w:tcPr>
            <w:tcW w:w="876"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widowControl/>
              <w:spacing w:line="300" w:lineRule="exact"/>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宋体" w:cs="宋体"/>
                <w:b/>
                <w:color w:val="0D0D0D" w:themeColor="text1" w:themeTint="F2"/>
                <w:sz w:val="24"/>
                <w:szCs w:val="24"/>
                <w14:textFill>
                  <w14:solidFill>
                    <w14:schemeClr w14:val="tx1">
                      <w14:lumMod w14:val="95000"/>
                      <w14:lumOff w14:val="5000"/>
                    </w14:schemeClr>
                  </w14:solidFill>
                </w14:textFill>
              </w:rPr>
              <w:fldChar w:fldCharType="begin"/>
            </w:r>
            <w:r>
              <w:rPr>
                <w:rFonts w:ascii="Times New Roman" w:hAnsi="Times New Roman" w:eastAsia="宋体" w:cs="宋体"/>
                <w:b/>
                <w:color w:val="0D0D0D" w:themeColor="text1" w:themeTint="F2"/>
                <w:sz w:val="24"/>
                <w:szCs w:val="24"/>
                <w14:textFill>
                  <w14:solidFill>
                    <w14:schemeClr w14:val="tx1">
                      <w14:lumMod w14:val="95000"/>
                      <w14:lumOff w14:val="5000"/>
                    </w14:schemeClr>
                  </w14:solidFill>
                </w14:textFill>
              </w:rPr>
              <w:instrText xml:space="preserve"> </w:instrText>
            </w:r>
            <w:r>
              <w:rPr>
                <w:rFonts w:hint="eastAsia" w:ascii="Times New Roman" w:hAnsi="Times New Roman" w:eastAsia="宋体" w:cs="宋体"/>
                <w:b/>
                <w:color w:val="0D0D0D" w:themeColor="text1" w:themeTint="F2"/>
                <w:sz w:val="24"/>
                <w:szCs w:val="24"/>
                <w14:textFill>
                  <w14:solidFill>
                    <w14:schemeClr w14:val="tx1">
                      <w14:lumMod w14:val="95000"/>
                      <w14:lumOff w14:val="5000"/>
                    </w14:schemeClr>
                  </w14:solidFill>
                </w14:textFill>
              </w:rPr>
              <w:instrText xml:space="preserve">= 3 \* ROMAN</w:instrText>
            </w:r>
            <w:r>
              <w:rPr>
                <w:rFonts w:ascii="Times New Roman" w:hAnsi="Times New Roman" w:eastAsia="宋体" w:cs="宋体"/>
                <w:b/>
                <w:color w:val="0D0D0D" w:themeColor="text1" w:themeTint="F2"/>
                <w:sz w:val="24"/>
                <w:szCs w:val="24"/>
                <w14:textFill>
                  <w14:solidFill>
                    <w14:schemeClr w14:val="tx1">
                      <w14:lumMod w14:val="95000"/>
                      <w14:lumOff w14:val="5000"/>
                    </w14:schemeClr>
                  </w14:solidFill>
                </w14:textFill>
              </w:rPr>
              <w:instrText xml:space="preserve"> </w:instrText>
            </w:r>
            <w:r>
              <w:rPr>
                <w:rFonts w:ascii="Times New Roman" w:hAnsi="Times New Roman" w:eastAsia="宋体" w:cs="宋体"/>
                <w:b/>
                <w:color w:val="0D0D0D" w:themeColor="text1" w:themeTint="F2"/>
                <w:sz w:val="24"/>
                <w:szCs w:val="24"/>
                <w14:textFill>
                  <w14:solidFill>
                    <w14:schemeClr w14:val="tx1">
                      <w14:lumMod w14:val="95000"/>
                      <w14:lumOff w14:val="5000"/>
                    </w14:schemeClr>
                  </w14:solidFill>
                </w14:textFill>
              </w:rPr>
              <w:fldChar w:fldCharType="separate"/>
            </w:r>
            <w:r>
              <w:rPr>
                <w:rFonts w:ascii="Times New Roman" w:hAnsi="Times New Roman" w:eastAsia="宋体" w:cs="宋体"/>
                <w:b/>
                <w:color w:val="0D0D0D" w:themeColor="text1" w:themeTint="F2"/>
                <w:sz w:val="24"/>
                <w:szCs w:val="24"/>
                <w14:textFill>
                  <w14:solidFill>
                    <w14:schemeClr w14:val="tx1">
                      <w14:lumMod w14:val="95000"/>
                      <w14:lumOff w14:val="5000"/>
                    </w14:schemeClr>
                  </w14:solidFill>
                </w14:textFill>
              </w:rPr>
              <w:t>III</w:t>
            </w:r>
            <w:r>
              <w:rPr>
                <w:rFonts w:ascii="Times New Roman" w:hAnsi="Times New Roman" w:eastAsia="宋体" w:cs="宋体"/>
                <w:b/>
                <w:color w:val="0D0D0D" w:themeColor="text1" w:themeTint="F2"/>
                <w:sz w:val="24"/>
                <w:szCs w:val="24"/>
                <w14:textFill>
                  <w14:solidFill>
                    <w14:schemeClr w14:val="tx1">
                      <w14:lumMod w14:val="95000"/>
                      <w14:lumOff w14:val="5000"/>
                    </w14:schemeClr>
                  </w14:solidFill>
                </w14:textFill>
              </w:rPr>
              <w:fldChar w:fldCharType="end"/>
            </w:r>
          </w:p>
        </w:tc>
        <w:tc>
          <w:tcPr>
            <w:tcW w:w="816"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widowControl/>
              <w:spacing w:line="300" w:lineRule="exact"/>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宋体" w:cs="宋体"/>
                <w:b/>
                <w:color w:val="0D0D0D" w:themeColor="text1" w:themeTint="F2"/>
                <w:sz w:val="24"/>
                <w:szCs w:val="24"/>
                <w14:textFill>
                  <w14:solidFill>
                    <w14:schemeClr w14:val="tx1">
                      <w14:lumMod w14:val="95000"/>
                      <w14:lumOff w14:val="5000"/>
                    </w14:schemeClr>
                  </w14:solidFill>
                </w14:textFill>
              </w:rPr>
              <w:fldChar w:fldCharType="begin"/>
            </w:r>
            <w:r>
              <w:rPr>
                <w:rFonts w:ascii="Times New Roman" w:hAnsi="Times New Roman" w:eastAsia="宋体" w:cs="宋体"/>
                <w:b/>
                <w:color w:val="0D0D0D" w:themeColor="text1" w:themeTint="F2"/>
                <w:sz w:val="24"/>
                <w:szCs w:val="24"/>
                <w14:textFill>
                  <w14:solidFill>
                    <w14:schemeClr w14:val="tx1">
                      <w14:lumMod w14:val="95000"/>
                      <w14:lumOff w14:val="5000"/>
                    </w14:schemeClr>
                  </w14:solidFill>
                </w14:textFill>
              </w:rPr>
              <w:instrText xml:space="preserve"> </w:instrText>
            </w:r>
            <w:r>
              <w:rPr>
                <w:rFonts w:hint="eastAsia" w:ascii="Times New Roman" w:hAnsi="Times New Roman" w:eastAsia="宋体" w:cs="宋体"/>
                <w:b/>
                <w:color w:val="0D0D0D" w:themeColor="text1" w:themeTint="F2"/>
                <w:sz w:val="24"/>
                <w:szCs w:val="24"/>
                <w14:textFill>
                  <w14:solidFill>
                    <w14:schemeClr w14:val="tx1">
                      <w14:lumMod w14:val="95000"/>
                      <w14:lumOff w14:val="5000"/>
                    </w14:schemeClr>
                  </w14:solidFill>
                </w14:textFill>
              </w:rPr>
              <w:instrText xml:space="preserve">= 4 \* ROMAN</w:instrText>
            </w:r>
            <w:r>
              <w:rPr>
                <w:rFonts w:ascii="Times New Roman" w:hAnsi="Times New Roman" w:eastAsia="宋体" w:cs="宋体"/>
                <w:b/>
                <w:color w:val="0D0D0D" w:themeColor="text1" w:themeTint="F2"/>
                <w:sz w:val="24"/>
                <w:szCs w:val="24"/>
                <w14:textFill>
                  <w14:solidFill>
                    <w14:schemeClr w14:val="tx1">
                      <w14:lumMod w14:val="95000"/>
                      <w14:lumOff w14:val="5000"/>
                    </w14:schemeClr>
                  </w14:solidFill>
                </w14:textFill>
              </w:rPr>
              <w:instrText xml:space="preserve"> </w:instrText>
            </w:r>
            <w:r>
              <w:rPr>
                <w:rFonts w:ascii="Times New Roman" w:hAnsi="Times New Roman" w:eastAsia="宋体" w:cs="宋体"/>
                <w:b/>
                <w:color w:val="0D0D0D" w:themeColor="text1" w:themeTint="F2"/>
                <w:sz w:val="24"/>
                <w:szCs w:val="24"/>
                <w14:textFill>
                  <w14:solidFill>
                    <w14:schemeClr w14:val="tx1">
                      <w14:lumMod w14:val="95000"/>
                      <w14:lumOff w14:val="5000"/>
                    </w14:schemeClr>
                  </w14:solidFill>
                </w14:textFill>
              </w:rPr>
              <w:fldChar w:fldCharType="separate"/>
            </w:r>
            <w:r>
              <w:rPr>
                <w:rFonts w:ascii="Times New Roman" w:hAnsi="Times New Roman" w:eastAsia="宋体" w:cs="宋体"/>
                <w:b/>
                <w:color w:val="0D0D0D" w:themeColor="text1" w:themeTint="F2"/>
                <w:sz w:val="24"/>
                <w:szCs w:val="24"/>
                <w14:textFill>
                  <w14:solidFill>
                    <w14:schemeClr w14:val="tx1">
                      <w14:lumMod w14:val="95000"/>
                      <w14:lumOff w14:val="5000"/>
                    </w14:schemeClr>
                  </w14:solidFill>
                </w14:textFill>
              </w:rPr>
              <w:t>IV</w:t>
            </w:r>
            <w:r>
              <w:rPr>
                <w:rFonts w:ascii="Times New Roman" w:hAnsi="Times New Roman" w:eastAsia="宋体" w:cs="宋体"/>
                <w:b/>
                <w:color w:val="0D0D0D" w:themeColor="text1" w:themeTint="F2"/>
                <w:sz w:val="24"/>
                <w:szCs w:val="24"/>
                <w14:textFill>
                  <w14:solidFill>
                    <w14:schemeClr w14:val="tx1">
                      <w14:lumMod w14:val="95000"/>
                      <w14:lumOff w14:val="5000"/>
                    </w14:schemeClr>
                  </w14:solidFill>
                </w14:textFill>
              </w:rPr>
              <w:fldChar w:fldCharType="end"/>
            </w:r>
          </w:p>
        </w:tc>
        <w:tc>
          <w:tcPr>
            <w:tcW w:w="816"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widowControl/>
              <w:spacing w:line="300" w:lineRule="exact"/>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宋体" w:cs="宋体"/>
                <w:b/>
                <w:color w:val="0D0D0D" w:themeColor="text1" w:themeTint="F2"/>
                <w:sz w:val="24"/>
                <w:szCs w:val="24"/>
                <w14:textFill>
                  <w14:solidFill>
                    <w14:schemeClr w14:val="tx1">
                      <w14:lumMod w14:val="95000"/>
                      <w14:lumOff w14:val="5000"/>
                    </w14:schemeClr>
                  </w14:solidFill>
                </w14:textFill>
              </w:rPr>
              <w:fldChar w:fldCharType="begin"/>
            </w:r>
            <w:r>
              <w:rPr>
                <w:rFonts w:ascii="Times New Roman" w:hAnsi="Times New Roman" w:eastAsia="宋体" w:cs="宋体"/>
                <w:b/>
                <w:color w:val="0D0D0D" w:themeColor="text1" w:themeTint="F2"/>
                <w:sz w:val="24"/>
                <w:szCs w:val="24"/>
                <w14:textFill>
                  <w14:solidFill>
                    <w14:schemeClr w14:val="tx1">
                      <w14:lumMod w14:val="95000"/>
                      <w14:lumOff w14:val="5000"/>
                    </w14:schemeClr>
                  </w14:solidFill>
                </w14:textFill>
              </w:rPr>
              <w:instrText xml:space="preserve"> </w:instrText>
            </w:r>
            <w:r>
              <w:rPr>
                <w:rFonts w:hint="eastAsia" w:ascii="Times New Roman" w:hAnsi="Times New Roman" w:eastAsia="宋体" w:cs="宋体"/>
                <w:b/>
                <w:color w:val="0D0D0D" w:themeColor="text1" w:themeTint="F2"/>
                <w:sz w:val="24"/>
                <w:szCs w:val="24"/>
                <w14:textFill>
                  <w14:solidFill>
                    <w14:schemeClr w14:val="tx1">
                      <w14:lumMod w14:val="95000"/>
                      <w14:lumOff w14:val="5000"/>
                    </w14:schemeClr>
                  </w14:solidFill>
                </w14:textFill>
              </w:rPr>
              <w:instrText xml:space="preserve">= 5 \* ROMAN</w:instrText>
            </w:r>
            <w:r>
              <w:rPr>
                <w:rFonts w:ascii="Times New Roman" w:hAnsi="Times New Roman" w:eastAsia="宋体" w:cs="宋体"/>
                <w:b/>
                <w:color w:val="0D0D0D" w:themeColor="text1" w:themeTint="F2"/>
                <w:sz w:val="24"/>
                <w:szCs w:val="24"/>
                <w14:textFill>
                  <w14:solidFill>
                    <w14:schemeClr w14:val="tx1">
                      <w14:lumMod w14:val="95000"/>
                      <w14:lumOff w14:val="5000"/>
                    </w14:schemeClr>
                  </w14:solidFill>
                </w14:textFill>
              </w:rPr>
              <w:instrText xml:space="preserve"> </w:instrText>
            </w:r>
            <w:r>
              <w:rPr>
                <w:rFonts w:ascii="Times New Roman" w:hAnsi="Times New Roman" w:eastAsia="宋体" w:cs="宋体"/>
                <w:b/>
                <w:color w:val="0D0D0D" w:themeColor="text1" w:themeTint="F2"/>
                <w:sz w:val="24"/>
                <w:szCs w:val="24"/>
                <w14:textFill>
                  <w14:solidFill>
                    <w14:schemeClr w14:val="tx1">
                      <w14:lumMod w14:val="95000"/>
                      <w14:lumOff w14:val="5000"/>
                    </w14:schemeClr>
                  </w14:solidFill>
                </w14:textFill>
              </w:rPr>
              <w:fldChar w:fldCharType="separate"/>
            </w:r>
            <w:r>
              <w:rPr>
                <w:rFonts w:ascii="Times New Roman" w:hAnsi="Times New Roman" w:eastAsia="宋体" w:cs="宋体"/>
                <w:b/>
                <w:color w:val="0D0D0D" w:themeColor="text1" w:themeTint="F2"/>
                <w:sz w:val="24"/>
                <w:szCs w:val="24"/>
                <w14:textFill>
                  <w14:solidFill>
                    <w14:schemeClr w14:val="tx1">
                      <w14:lumMod w14:val="95000"/>
                      <w14:lumOff w14:val="5000"/>
                    </w14:schemeClr>
                  </w14:solidFill>
                </w14:textFill>
              </w:rPr>
              <w:t>V</w:t>
            </w:r>
            <w:r>
              <w:rPr>
                <w:rFonts w:ascii="Times New Roman" w:hAnsi="Times New Roman" w:eastAsia="宋体" w:cs="宋体"/>
                <w:b/>
                <w:color w:val="0D0D0D" w:themeColor="text1" w:themeTint="F2"/>
                <w:sz w:val="24"/>
                <w:szCs w:val="24"/>
                <w14:textFill>
                  <w14:solidFill>
                    <w14:schemeClr w14:val="tx1">
                      <w14:lumMod w14:val="95000"/>
                      <w14:lumOff w14:val="5000"/>
                    </w14:schemeClr>
                  </w14:solidFill>
                </w14:textFill>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1</w:t>
            </w:r>
          </w:p>
        </w:tc>
        <w:tc>
          <w:tcPr>
            <w:tcW w:w="31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pH值(无量纲)</w:t>
            </w:r>
          </w:p>
        </w:tc>
        <w:tc>
          <w:tcPr>
            <w:tcW w:w="5878" w:type="dxa"/>
            <w:gridSpan w:val="5"/>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6-9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2</w:t>
            </w:r>
          </w:p>
        </w:tc>
        <w:tc>
          <w:tcPr>
            <w:tcW w:w="31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溶解氧≥</w:t>
            </w:r>
          </w:p>
        </w:tc>
        <w:tc>
          <w:tcPr>
            <w:tcW w:w="23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饱和率90%（或7.5）</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6</w:t>
            </w:r>
          </w:p>
        </w:tc>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5</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3</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3</w:t>
            </w:r>
          </w:p>
        </w:tc>
        <w:tc>
          <w:tcPr>
            <w:tcW w:w="31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高锰酸盐指数≤</w:t>
            </w:r>
          </w:p>
        </w:tc>
        <w:tc>
          <w:tcPr>
            <w:tcW w:w="23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2</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4</w:t>
            </w:r>
          </w:p>
        </w:tc>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6</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10</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4</w:t>
            </w:r>
          </w:p>
        </w:tc>
        <w:tc>
          <w:tcPr>
            <w:tcW w:w="31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化学需氧量（COD）≤</w:t>
            </w:r>
          </w:p>
        </w:tc>
        <w:tc>
          <w:tcPr>
            <w:tcW w:w="23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15</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15</w:t>
            </w:r>
          </w:p>
        </w:tc>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20</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30</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5</w:t>
            </w:r>
          </w:p>
        </w:tc>
        <w:tc>
          <w:tcPr>
            <w:tcW w:w="31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五日生化需氧量（BOD</w:t>
            </w:r>
            <w:r>
              <w:rPr>
                <w:rFonts w:ascii="Times New Roman" w:hAnsi="Times New Roman" w:eastAsia="仿宋"/>
                <w:color w:val="0D0D0D" w:themeColor="text1" w:themeTint="F2"/>
                <w:sz w:val="24"/>
                <w:szCs w:val="24"/>
                <w:vertAlign w:val="subscript"/>
                <w14:textFill>
                  <w14:solidFill>
                    <w14:schemeClr w14:val="tx1">
                      <w14:lumMod w14:val="95000"/>
                      <w14:lumOff w14:val="5000"/>
                    </w14:schemeClr>
                  </w14:solidFill>
                </w14:textFill>
              </w:rPr>
              <w:t>5</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w:t>
            </w:r>
          </w:p>
        </w:tc>
        <w:tc>
          <w:tcPr>
            <w:tcW w:w="23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3</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3</w:t>
            </w:r>
          </w:p>
        </w:tc>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4</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6</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6</w:t>
            </w:r>
          </w:p>
        </w:tc>
        <w:tc>
          <w:tcPr>
            <w:tcW w:w="31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氨氮（NH</w:t>
            </w:r>
            <w:r>
              <w:rPr>
                <w:rFonts w:ascii="Times New Roman" w:hAnsi="Times New Roman" w:eastAsia="仿宋"/>
                <w:color w:val="0D0D0D" w:themeColor="text1" w:themeTint="F2"/>
                <w:sz w:val="24"/>
                <w:szCs w:val="24"/>
                <w:vertAlign w:val="subscript"/>
                <w14:textFill>
                  <w14:solidFill>
                    <w14:schemeClr w14:val="tx1">
                      <w14:lumMod w14:val="95000"/>
                      <w14:lumOff w14:val="5000"/>
                    </w14:schemeClr>
                  </w14:solidFill>
                </w14:textFill>
              </w:rPr>
              <w:t>3</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-N ）≤</w:t>
            </w:r>
          </w:p>
        </w:tc>
        <w:tc>
          <w:tcPr>
            <w:tcW w:w="23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0.15</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0.5</w:t>
            </w:r>
          </w:p>
        </w:tc>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1.0</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1.5</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7</w:t>
            </w:r>
          </w:p>
        </w:tc>
        <w:tc>
          <w:tcPr>
            <w:tcW w:w="31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总磷（以P计）≤</w:t>
            </w:r>
          </w:p>
        </w:tc>
        <w:tc>
          <w:tcPr>
            <w:tcW w:w="23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0.01</w:t>
            </w:r>
          </w:p>
        </w:tc>
        <w:tc>
          <w:tcPr>
            <w:tcW w:w="99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0.025</w:t>
            </w:r>
          </w:p>
        </w:tc>
        <w:tc>
          <w:tcPr>
            <w:tcW w:w="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0.05</w:t>
            </w:r>
          </w:p>
        </w:tc>
        <w:tc>
          <w:tcPr>
            <w:tcW w:w="81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0.1</w:t>
            </w:r>
          </w:p>
        </w:tc>
        <w:tc>
          <w:tcPr>
            <w:tcW w:w="81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8</w:t>
            </w:r>
          </w:p>
        </w:tc>
        <w:tc>
          <w:tcPr>
            <w:tcW w:w="31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总氮（湖、库，以N计）≤</w:t>
            </w:r>
          </w:p>
        </w:tc>
        <w:tc>
          <w:tcPr>
            <w:tcW w:w="23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0.2</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0.5</w:t>
            </w:r>
          </w:p>
        </w:tc>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1.0</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1.5</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9</w:t>
            </w:r>
          </w:p>
        </w:tc>
        <w:tc>
          <w:tcPr>
            <w:tcW w:w="31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4"/>
                <w:szCs w:val="24"/>
                <w14:textFill>
                  <w14:solidFill>
                    <w14:schemeClr w14:val="tx1">
                      <w14:lumMod w14:val="95000"/>
                      <w14:lumOff w14:val="5000"/>
                    </w14:schemeClr>
                  </w14:solidFill>
                </w14:textFill>
              </w:rPr>
              <w:t>铜</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w:t>
            </w:r>
          </w:p>
        </w:tc>
        <w:tc>
          <w:tcPr>
            <w:tcW w:w="23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0.01</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1.0</w:t>
            </w:r>
          </w:p>
        </w:tc>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1.0</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1.0</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1</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0</w:t>
            </w:r>
          </w:p>
        </w:tc>
        <w:tc>
          <w:tcPr>
            <w:tcW w:w="31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4"/>
                <w:szCs w:val="24"/>
                <w14:textFill>
                  <w14:solidFill>
                    <w14:schemeClr w14:val="tx1">
                      <w14:lumMod w14:val="95000"/>
                      <w14:lumOff w14:val="5000"/>
                    </w14:schemeClr>
                  </w14:solidFill>
                </w14:textFill>
              </w:rPr>
              <w:t>锌</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w:t>
            </w:r>
          </w:p>
        </w:tc>
        <w:tc>
          <w:tcPr>
            <w:tcW w:w="23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0.05</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1.0</w:t>
            </w:r>
          </w:p>
        </w:tc>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1.0</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2.0</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11</w:t>
            </w:r>
          </w:p>
        </w:tc>
        <w:tc>
          <w:tcPr>
            <w:tcW w:w="31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4"/>
                <w:szCs w:val="24"/>
                <w14:textFill>
                  <w14:solidFill>
                    <w14:schemeClr w14:val="tx1">
                      <w14:lumMod w14:val="95000"/>
                      <w14:lumOff w14:val="5000"/>
                    </w14:schemeClr>
                  </w14:solidFill>
                </w14:textFill>
              </w:rPr>
              <w:t>氟化物</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w:t>
            </w:r>
          </w:p>
        </w:tc>
        <w:tc>
          <w:tcPr>
            <w:tcW w:w="23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1.0</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1.0</w:t>
            </w:r>
          </w:p>
        </w:tc>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1.0</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1.5</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12</w:t>
            </w:r>
          </w:p>
        </w:tc>
        <w:tc>
          <w:tcPr>
            <w:tcW w:w="31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4"/>
                <w:szCs w:val="24"/>
                <w14:textFill>
                  <w14:solidFill>
                    <w14:schemeClr w14:val="tx1">
                      <w14:lumMod w14:val="95000"/>
                      <w14:lumOff w14:val="5000"/>
                    </w14:schemeClr>
                  </w14:solidFill>
                </w14:textFill>
              </w:rPr>
              <w:t>硒</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w:t>
            </w:r>
          </w:p>
        </w:tc>
        <w:tc>
          <w:tcPr>
            <w:tcW w:w="23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0.01</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0.01</w:t>
            </w:r>
          </w:p>
        </w:tc>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0.01</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0.02</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13</w:t>
            </w:r>
          </w:p>
        </w:tc>
        <w:tc>
          <w:tcPr>
            <w:tcW w:w="31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4"/>
                <w:szCs w:val="24"/>
                <w14:textFill>
                  <w14:solidFill>
                    <w14:schemeClr w14:val="tx1">
                      <w14:lumMod w14:val="95000"/>
                      <w14:lumOff w14:val="5000"/>
                    </w14:schemeClr>
                  </w14:solidFill>
                </w14:textFill>
              </w:rPr>
              <w:t>砷</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w:t>
            </w:r>
          </w:p>
        </w:tc>
        <w:tc>
          <w:tcPr>
            <w:tcW w:w="23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0.05</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0.05</w:t>
            </w:r>
          </w:p>
        </w:tc>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0.05</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0.1</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14</w:t>
            </w:r>
          </w:p>
        </w:tc>
        <w:tc>
          <w:tcPr>
            <w:tcW w:w="31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4"/>
                <w:szCs w:val="24"/>
                <w14:textFill>
                  <w14:solidFill>
                    <w14:schemeClr w14:val="tx1">
                      <w14:lumMod w14:val="95000"/>
                      <w14:lumOff w14:val="5000"/>
                    </w14:schemeClr>
                  </w14:solidFill>
                </w14:textFill>
              </w:rPr>
              <w:t>汞</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w:t>
            </w:r>
          </w:p>
        </w:tc>
        <w:tc>
          <w:tcPr>
            <w:tcW w:w="23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0.00005</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0.00005</w:t>
            </w:r>
          </w:p>
        </w:tc>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0.0001</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0.001</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15</w:t>
            </w:r>
          </w:p>
        </w:tc>
        <w:tc>
          <w:tcPr>
            <w:tcW w:w="31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4"/>
                <w:szCs w:val="24"/>
                <w14:textFill>
                  <w14:solidFill>
                    <w14:schemeClr w14:val="tx1">
                      <w14:lumMod w14:val="95000"/>
                      <w14:lumOff w14:val="5000"/>
                    </w14:schemeClr>
                  </w14:solidFill>
                </w14:textFill>
              </w:rPr>
              <w:t>镉</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w:t>
            </w:r>
          </w:p>
        </w:tc>
        <w:tc>
          <w:tcPr>
            <w:tcW w:w="23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0.001</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0.005</w:t>
            </w:r>
          </w:p>
        </w:tc>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0.005</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0.005</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16</w:t>
            </w:r>
          </w:p>
        </w:tc>
        <w:tc>
          <w:tcPr>
            <w:tcW w:w="31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4"/>
                <w:szCs w:val="24"/>
                <w14:textFill>
                  <w14:solidFill>
                    <w14:schemeClr w14:val="tx1">
                      <w14:lumMod w14:val="95000"/>
                      <w14:lumOff w14:val="5000"/>
                    </w14:schemeClr>
                  </w14:solidFill>
                </w14:textFill>
              </w:rPr>
              <w:t>六价铬</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w:t>
            </w:r>
          </w:p>
        </w:tc>
        <w:tc>
          <w:tcPr>
            <w:tcW w:w="23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0.01</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0.05</w:t>
            </w:r>
          </w:p>
        </w:tc>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0.05</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0.05</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17</w:t>
            </w:r>
          </w:p>
        </w:tc>
        <w:tc>
          <w:tcPr>
            <w:tcW w:w="31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4"/>
                <w:szCs w:val="24"/>
                <w14:textFill>
                  <w14:solidFill>
                    <w14:schemeClr w14:val="tx1">
                      <w14:lumMod w14:val="95000"/>
                      <w14:lumOff w14:val="5000"/>
                    </w14:schemeClr>
                  </w14:solidFill>
                </w14:textFill>
              </w:rPr>
              <w:t>铅</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w:t>
            </w:r>
          </w:p>
        </w:tc>
        <w:tc>
          <w:tcPr>
            <w:tcW w:w="23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0.01</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0.01</w:t>
            </w:r>
          </w:p>
        </w:tc>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0.05</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0.05</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18</w:t>
            </w:r>
          </w:p>
        </w:tc>
        <w:tc>
          <w:tcPr>
            <w:tcW w:w="31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4"/>
                <w:szCs w:val="24"/>
                <w14:textFill>
                  <w14:solidFill>
                    <w14:schemeClr w14:val="tx1">
                      <w14:lumMod w14:val="95000"/>
                      <w14:lumOff w14:val="5000"/>
                    </w14:schemeClr>
                  </w14:solidFill>
                </w14:textFill>
              </w:rPr>
              <w:t>氰化物</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w:t>
            </w:r>
          </w:p>
        </w:tc>
        <w:tc>
          <w:tcPr>
            <w:tcW w:w="23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0.005</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0.05</w:t>
            </w:r>
          </w:p>
        </w:tc>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0.2</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0.2</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19</w:t>
            </w:r>
          </w:p>
        </w:tc>
        <w:tc>
          <w:tcPr>
            <w:tcW w:w="31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4"/>
                <w:szCs w:val="24"/>
                <w14:textFill>
                  <w14:solidFill>
                    <w14:schemeClr w14:val="tx1">
                      <w14:lumMod w14:val="95000"/>
                      <w14:lumOff w14:val="5000"/>
                    </w14:schemeClr>
                  </w14:solidFill>
                </w14:textFill>
              </w:rPr>
              <w:t>挥发酚</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w:t>
            </w:r>
          </w:p>
        </w:tc>
        <w:tc>
          <w:tcPr>
            <w:tcW w:w="23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0.002</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0.002</w:t>
            </w:r>
          </w:p>
        </w:tc>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0.005</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0.01</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20</w:t>
            </w:r>
          </w:p>
        </w:tc>
        <w:tc>
          <w:tcPr>
            <w:tcW w:w="31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4"/>
                <w:szCs w:val="24"/>
                <w14:textFill>
                  <w14:solidFill>
                    <w14:schemeClr w14:val="tx1">
                      <w14:lumMod w14:val="95000"/>
                      <w14:lumOff w14:val="5000"/>
                    </w14:schemeClr>
                  </w14:solidFill>
                </w14:textFill>
              </w:rPr>
              <w:t>石油类</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w:t>
            </w:r>
          </w:p>
        </w:tc>
        <w:tc>
          <w:tcPr>
            <w:tcW w:w="23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0.05</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0.05</w:t>
            </w:r>
          </w:p>
        </w:tc>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0.05</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0.5</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21</w:t>
            </w:r>
          </w:p>
        </w:tc>
        <w:tc>
          <w:tcPr>
            <w:tcW w:w="31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4"/>
                <w:szCs w:val="24"/>
                <w14:textFill>
                  <w14:solidFill>
                    <w14:schemeClr w14:val="tx1">
                      <w14:lumMod w14:val="95000"/>
                      <w14:lumOff w14:val="5000"/>
                    </w14:schemeClr>
                  </w14:solidFill>
                </w14:textFill>
              </w:rPr>
              <w:t>阴离子表面活性剂</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w:t>
            </w:r>
          </w:p>
        </w:tc>
        <w:tc>
          <w:tcPr>
            <w:tcW w:w="23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0.2</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0.2</w:t>
            </w:r>
          </w:p>
        </w:tc>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0.2</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0.3</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22</w:t>
            </w:r>
          </w:p>
        </w:tc>
        <w:tc>
          <w:tcPr>
            <w:tcW w:w="31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4"/>
                <w:szCs w:val="24"/>
                <w14:textFill>
                  <w14:solidFill>
                    <w14:schemeClr w14:val="tx1">
                      <w14:lumMod w14:val="95000"/>
                      <w14:lumOff w14:val="5000"/>
                    </w14:schemeClr>
                  </w14:solidFill>
                </w14:textFill>
              </w:rPr>
              <w:t>硫化物</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w:t>
            </w:r>
          </w:p>
        </w:tc>
        <w:tc>
          <w:tcPr>
            <w:tcW w:w="23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0.05</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0.1</w:t>
            </w:r>
          </w:p>
        </w:tc>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0.2</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0.5</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23</w:t>
            </w:r>
          </w:p>
        </w:tc>
        <w:tc>
          <w:tcPr>
            <w:tcW w:w="31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4"/>
                <w:szCs w:val="24"/>
                <w14:textFill>
                  <w14:solidFill>
                    <w14:schemeClr w14:val="tx1">
                      <w14:lumMod w14:val="95000"/>
                      <w14:lumOff w14:val="5000"/>
                    </w14:schemeClr>
                  </w14:solidFill>
                </w14:textFill>
              </w:rPr>
              <w:t>粪大肠菌群（个</w:t>
            </w: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/L</w:t>
            </w:r>
            <w:r>
              <w:rPr>
                <w:rFonts w:hint="eastAsia" w:ascii="仿宋" w:hAnsi="仿宋" w:eastAsia="仿宋"/>
                <w:color w:val="0D0D0D" w:themeColor="text1" w:themeTint="F2"/>
                <w:sz w:val="24"/>
                <w:szCs w:val="24"/>
                <w14:textFill>
                  <w14:solidFill>
                    <w14:schemeClr w14:val="tx1">
                      <w14:lumMod w14:val="95000"/>
                      <w14:lumOff w14:val="5000"/>
                    </w14:schemeClr>
                  </w14:solidFill>
                </w14:textFill>
              </w:rPr>
              <w:t>）</w:t>
            </w:r>
          </w:p>
        </w:tc>
        <w:tc>
          <w:tcPr>
            <w:tcW w:w="23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200</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2000</w:t>
            </w:r>
          </w:p>
        </w:tc>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10000</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20000</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40000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24</w:t>
            </w:r>
          </w:p>
        </w:tc>
        <w:tc>
          <w:tcPr>
            <w:tcW w:w="31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硫酸盐（以SO</w:t>
            </w:r>
            <w:r>
              <w:rPr>
                <w:rFonts w:hint="eastAsia" w:ascii="Times New Roman" w:hAnsi="Times New Roman" w:eastAsia="仿宋"/>
                <w:color w:val="0D0D0D" w:themeColor="text1" w:themeTint="F2"/>
                <w:sz w:val="24"/>
                <w:szCs w:val="24"/>
                <w:vertAlign w:val="subscript"/>
                <w14:textFill>
                  <w14:solidFill>
                    <w14:schemeClr w14:val="tx1">
                      <w14:lumMod w14:val="95000"/>
                      <w14:lumOff w14:val="5000"/>
                    </w14:schemeClr>
                  </w14:solidFill>
                </w14:textFill>
              </w:rPr>
              <w:t>4</w:t>
            </w:r>
            <w:r>
              <w:rPr>
                <w:rFonts w:hint="eastAsia" w:ascii="Times New Roman" w:hAnsi="Times New Roman" w:eastAsia="仿宋"/>
                <w:color w:val="0D0D0D" w:themeColor="text1" w:themeTint="F2"/>
                <w:sz w:val="24"/>
                <w:szCs w:val="24"/>
                <w:vertAlign w:val="superscript"/>
                <w14:textFill>
                  <w14:solidFill>
                    <w14:schemeClr w14:val="tx1">
                      <w14:lumMod w14:val="95000"/>
                      <w14:lumOff w14:val="5000"/>
                    </w14:schemeClr>
                  </w14:solidFill>
                </w14:textFill>
              </w:rPr>
              <w:t>2-</w:t>
            </w: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计）</w:t>
            </w:r>
          </w:p>
        </w:tc>
        <w:tc>
          <w:tcPr>
            <w:tcW w:w="5878" w:type="dxa"/>
            <w:gridSpan w:val="5"/>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集中式生活</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饮用水</w:t>
            </w: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标准限值</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w:t>
            </w: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250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25</w:t>
            </w:r>
          </w:p>
        </w:tc>
        <w:tc>
          <w:tcPr>
            <w:tcW w:w="31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氯化物（以Cl</w:t>
            </w:r>
            <w:r>
              <w:rPr>
                <w:rFonts w:hint="eastAsia" w:ascii="Times New Roman" w:hAnsi="Times New Roman" w:eastAsia="仿宋"/>
                <w:color w:val="0D0D0D" w:themeColor="text1" w:themeTint="F2"/>
                <w:sz w:val="24"/>
                <w:szCs w:val="24"/>
                <w:vertAlign w:val="superscript"/>
                <w14:textFill>
                  <w14:solidFill>
                    <w14:schemeClr w14:val="tx1">
                      <w14:lumMod w14:val="95000"/>
                      <w14:lumOff w14:val="5000"/>
                    </w14:schemeClr>
                  </w14:solidFill>
                </w14:textFill>
              </w:rPr>
              <w:t>-</w:t>
            </w: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计）</w:t>
            </w:r>
          </w:p>
        </w:tc>
        <w:tc>
          <w:tcPr>
            <w:tcW w:w="5878" w:type="dxa"/>
            <w:gridSpan w:val="5"/>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集中式生活</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饮用水</w:t>
            </w: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标准限值</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w:t>
            </w: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250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26</w:t>
            </w:r>
          </w:p>
        </w:tc>
        <w:tc>
          <w:tcPr>
            <w:tcW w:w="31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硝酸盐（以N计）</w:t>
            </w:r>
          </w:p>
        </w:tc>
        <w:tc>
          <w:tcPr>
            <w:tcW w:w="5878" w:type="dxa"/>
            <w:gridSpan w:val="5"/>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集中式生活饮用水标准限值≤10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27</w:t>
            </w:r>
          </w:p>
        </w:tc>
        <w:tc>
          <w:tcPr>
            <w:tcW w:w="31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铁</w:t>
            </w:r>
          </w:p>
        </w:tc>
        <w:tc>
          <w:tcPr>
            <w:tcW w:w="5878" w:type="dxa"/>
            <w:gridSpan w:val="5"/>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集中式生活饮用水标准限值≤0.3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28</w:t>
            </w:r>
          </w:p>
        </w:tc>
        <w:tc>
          <w:tcPr>
            <w:tcW w:w="31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锰</w:t>
            </w:r>
          </w:p>
        </w:tc>
        <w:tc>
          <w:tcPr>
            <w:tcW w:w="5878" w:type="dxa"/>
            <w:gridSpan w:val="5"/>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集中式生活饮用水标准限值≤0.1</w:t>
            </w:r>
          </w:p>
        </w:tc>
      </w:tr>
    </w:tbl>
    <w:p>
      <w:pPr>
        <w:pStyle w:val="5"/>
        <w:spacing w:line="377" w:lineRule="auto"/>
        <w:ind w:firstLine="281" w:firstLineChars="100"/>
        <w:rPr>
          <w:color w:val="0D0D0D" w:themeColor="text1" w:themeTint="F2"/>
          <w:sz w:val="28"/>
          <w14:textFill>
            <w14:solidFill>
              <w14:schemeClr w14:val="tx1">
                <w14:lumMod w14:val="95000"/>
                <w14:lumOff w14:val="5000"/>
              </w14:schemeClr>
            </w14:solidFill>
          </w14:textFill>
        </w:rPr>
      </w:pPr>
      <w:r>
        <w:rPr>
          <w:color w:val="0D0D0D" w:themeColor="text1" w:themeTint="F2"/>
          <w:sz w:val="28"/>
          <w14:textFill>
            <w14:solidFill>
              <w14:schemeClr w14:val="tx1">
                <w14:lumMod w14:val="95000"/>
                <w14:lumOff w14:val="5000"/>
              </w14:schemeClr>
            </w14:solidFill>
          </w14:textFill>
        </w:rPr>
        <w:t>2.</w:t>
      </w:r>
      <w:r>
        <w:rPr>
          <w:rFonts w:hint="eastAsia"/>
          <w:color w:val="0D0D0D" w:themeColor="text1" w:themeTint="F2"/>
          <w:sz w:val="28"/>
          <w14:textFill>
            <w14:solidFill>
              <w14:schemeClr w14:val="tx1">
                <w14:lumMod w14:val="95000"/>
                <w14:lumOff w14:val="5000"/>
              </w14:schemeClr>
            </w14:solidFill>
          </w14:textFill>
        </w:rPr>
        <w:t>6</w:t>
      </w:r>
      <w:r>
        <w:rPr>
          <w:color w:val="0D0D0D" w:themeColor="text1" w:themeTint="F2"/>
          <w:sz w:val="28"/>
          <w14:textFill>
            <w14:solidFill>
              <w14:schemeClr w14:val="tx1">
                <w14:lumMod w14:val="95000"/>
                <w14:lumOff w14:val="5000"/>
              </w14:schemeClr>
            </w14:solidFill>
          </w14:textFill>
        </w:rPr>
        <w:t>.1.2 评价时段</w:t>
      </w:r>
    </w:p>
    <w:p>
      <w:pPr>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富村镇亦佐水库采用</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201</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9年1</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1</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月</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1</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次监测结果进行评价。</w:t>
      </w:r>
    </w:p>
    <w:p>
      <w:pPr>
        <w:pStyle w:val="5"/>
        <w:spacing w:line="377" w:lineRule="auto"/>
        <w:ind w:firstLine="281" w:firstLineChars="100"/>
        <w:rPr>
          <w:color w:val="0D0D0D" w:themeColor="text1" w:themeTint="F2"/>
          <w:sz w:val="28"/>
          <w14:textFill>
            <w14:solidFill>
              <w14:schemeClr w14:val="tx1">
                <w14:lumMod w14:val="95000"/>
                <w14:lumOff w14:val="5000"/>
              </w14:schemeClr>
            </w14:solidFill>
          </w14:textFill>
        </w:rPr>
      </w:pPr>
      <w:r>
        <w:rPr>
          <w:color w:val="0D0D0D" w:themeColor="text1" w:themeTint="F2"/>
          <w:sz w:val="28"/>
          <w14:textFill>
            <w14:solidFill>
              <w14:schemeClr w14:val="tx1">
                <w14:lumMod w14:val="95000"/>
                <w14:lumOff w14:val="5000"/>
              </w14:schemeClr>
            </w14:solidFill>
          </w14:textFill>
        </w:rPr>
        <w:t>2.</w:t>
      </w:r>
      <w:r>
        <w:rPr>
          <w:rFonts w:hint="eastAsia"/>
          <w:color w:val="0D0D0D" w:themeColor="text1" w:themeTint="F2"/>
          <w:sz w:val="28"/>
          <w14:textFill>
            <w14:solidFill>
              <w14:schemeClr w14:val="tx1">
                <w14:lumMod w14:val="95000"/>
                <w14:lumOff w14:val="5000"/>
              </w14:schemeClr>
            </w14:solidFill>
          </w14:textFill>
        </w:rPr>
        <w:t>6</w:t>
      </w:r>
      <w:r>
        <w:rPr>
          <w:color w:val="0D0D0D" w:themeColor="text1" w:themeTint="F2"/>
          <w:sz w:val="28"/>
          <w14:textFill>
            <w14:solidFill>
              <w14:schemeClr w14:val="tx1">
                <w14:lumMod w14:val="95000"/>
                <w14:lumOff w14:val="5000"/>
              </w14:schemeClr>
            </w14:solidFill>
          </w14:textFill>
        </w:rPr>
        <w:t xml:space="preserve">.1.3 </w:t>
      </w:r>
      <w:r>
        <w:rPr>
          <w:rFonts w:hint="eastAsia"/>
          <w:color w:val="0D0D0D" w:themeColor="text1" w:themeTint="F2"/>
          <w:sz w:val="28"/>
          <w14:textFill>
            <w14:solidFill>
              <w14:schemeClr w14:val="tx1">
                <w14:lumMod w14:val="95000"/>
                <w14:lumOff w14:val="5000"/>
              </w14:schemeClr>
            </w14:solidFill>
          </w14:textFill>
        </w:rPr>
        <w:t>监测</w:t>
      </w:r>
      <w:r>
        <w:rPr>
          <w:color w:val="0D0D0D" w:themeColor="text1" w:themeTint="F2"/>
          <w:sz w:val="28"/>
          <w14:textFill>
            <w14:solidFill>
              <w14:schemeClr w14:val="tx1">
                <w14:lumMod w14:val="95000"/>
                <w14:lumOff w14:val="5000"/>
              </w14:schemeClr>
            </w14:solidFill>
          </w14:textFill>
        </w:rPr>
        <w:t>点</w:t>
      </w:r>
    </w:p>
    <w:p>
      <w:pPr>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水源地现状水质监测点为富村镇亦佐水库。</w:t>
      </w:r>
    </w:p>
    <w:p>
      <w:pPr>
        <w:pStyle w:val="4"/>
        <w:spacing w:before="120" w:after="120" w:line="415" w:lineRule="auto"/>
        <w:rPr>
          <w:color w:val="0D0D0D" w:themeColor="text1" w:themeTint="F2"/>
          <w:sz w:val="28"/>
          <w:szCs w:val="28"/>
          <w14:textFill>
            <w14:solidFill>
              <w14:schemeClr w14:val="tx1">
                <w14:lumMod w14:val="95000"/>
                <w14:lumOff w14:val="5000"/>
              </w14:schemeClr>
            </w14:solidFill>
          </w14:textFill>
        </w:rPr>
      </w:pPr>
      <w:bookmarkStart w:id="66" w:name="_Toc27522194"/>
      <w:bookmarkStart w:id="67" w:name="_Toc27063965"/>
      <w:r>
        <w:rPr>
          <w:color w:val="0D0D0D" w:themeColor="text1" w:themeTint="F2"/>
          <w:sz w:val="28"/>
          <w:szCs w:val="28"/>
          <w14:textFill>
            <w14:solidFill>
              <w14:schemeClr w14:val="tx1">
                <w14:lumMod w14:val="95000"/>
                <w14:lumOff w14:val="5000"/>
              </w14:schemeClr>
            </w14:solidFill>
          </w14:textFill>
        </w:rPr>
        <w:t>2.</w:t>
      </w:r>
      <w:r>
        <w:rPr>
          <w:rFonts w:hint="eastAsia"/>
          <w:color w:val="0D0D0D" w:themeColor="text1" w:themeTint="F2"/>
          <w:sz w:val="28"/>
          <w:szCs w:val="28"/>
          <w14:textFill>
            <w14:solidFill>
              <w14:schemeClr w14:val="tx1">
                <w14:lumMod w14:val="95000"/>
                <w14:lumOff w14:val="5000"/>
              </w14:schemeClr>
            </w14:solidFill>
          </w14:textFill>
        </w:rPr>
        <w:t>6</w:t>
      </w:r>
      <w:r>
        <w:rPr>
          <w:color w:val="0D0D0D" w:themeColor="text1" w:themeTint="F2"/>
          <w:sz w:val="28"/>
          <w:szCs w:val="28"/>
          <w14:textFill>
            <w14:solidFill>
              <w14:schemeClr w14:val="tx1">
                <w14:lumMod w14:val="95000"/>
                <w14:lumOff w14:val="5000"/>
              </w14:schemeClr>
            </w14:solidFill>
          </w14:textFill>
        </w:rPr>
        <w:t>.2 评价方法</w:t>
      </w:r>
      <w:bookmarkEnd w:id="66"/>
      <w:bookmarkEnd w:id="67"/>
    </w:p>
    <w:p>
      <w:pPr>
        <w:widowControl/>
        <w:adjustRightInd w:val="0"/>
        <w:snapToGrid w:val="0"/>
        <w:spacing w:line="360" w:lineRule="auto"/>
        <w:ind w:firstLine="560" w:firstLineChars="200"/>
        <w:rPr>
          <w:rFonts w:ascii="Times New Roman" w:hAnsi="Times New Roman" w:eastAsia="仿宋"/>
          <w:bCs/>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bCs/>
          <w:color w:val="0D0D0D" w:themeColor="text1" w:themeTint="F2"/>
          <w:sz w:val="28"/>
          <w:szCs w:val="28"/>
          <w14:textFill>
            <w14:solidFill>
              <w14:schemeClr w14:val="tx1">
                <w14:lumMod w14:val="95000"/>
                <w14:lumOff w14:val="5000"/>
              </w14:schemeClr>
            </w14:solidFill>
          </w14:textFill>
        </w:rPr>
        <w:t>本区划</w:t>
      </w:r>
      <w:r>
        <w:rPr>
          <w:rFonts w:ascii="Times New Roman" w:hAnsi="Times New Roman" w:eastAsia="仿宋"/>
          <w:bCs/>
          <w:color w:val="0D0D0D" w:themeColor="text1" w:themeTint="F2"/>
          <w:sz w:val="28"/>
          <w:szCs w:val="28"/>
          <w14:textFill>
            <w14:solidFill>
              <w14:schemeClr w14:val="tx1">
                <w14:lumMod w14:val="95000"/>
                <w14:lumOff w14:val="5000"/>
              </w14:schemeClr>
            </w14:solidFill>
          </w14:textFill>
        </w:rPr>
        <w:t>采用功能</w:t>
      </w:r>
      <w:r>
        <w:rPr>
          <w:rFonts w:hint="eastAsia" w:ascii="Times New Roman" w:hAnsi="Times New Roman" w:eastAsia="仿宋"/>
          <w:bCs/>
          <w:color w:val="0D0D0D" w:themeColor="text1" w:themeTint="F2"/>
          <w:sz w:val="28"/>
          <w:szCs w:val="28"/>
          <w14:textFill>
            <w14:solidFill>
              <w14:schemeClr w14:val="tx1">
                <w14:lumMod w14:val="95000"/>
                <w14:lumOff w14:val="5000"/>
              </w14:schemeClr>
            </w14:solidFill>
          </w14:textFill>
        </w:rPr>
        <w:t>类别</w:t>
      </w:r>
      <w:r>
        <w:rPr>
          <w:rFonts w:ascii="Times New Roman" w:hAnsi="Times New Roman" w:eastAsia="仿宋"/>
          <w:bCs/>
          <w:color w:val="0D0D0D" w:themeColor="text1" w:themeTint="F2"/>
          <w:sz w:val="28"/>
          <w:szCs w:val="28"/>
          <w14:textFill>
            <w14:solidFill>
              <w14:schemeClr w14:val="tx1">
                <w14:lumMod w14:val="95000"/>
                <w14:lumOff w14:val="5000"/>
              </w14:schemeClr>
            </w14:solidFill>
          </w14:textFill>
        </w:rPr>
        <w:t>评价法</w:t>
      </w:r>
      <w:r>
        <w:rPr>
          <w:rFonts w:hint="eastAsia" w:ascii="Times New Roman" w:hAnsi="Times New Roman" w:eastAsia="仿宋"/>
          <w:bCs/>
          <w:color w:val="0D0D0D" w:themeColor="text1" w:themeTint="F2"/>
          <w:sz w:val="28"/>
          <w:szCs w:val="28"/>
          <w14:textFill>
            <w14:solidFill>
              <w14:schemeClr w14:val="tx1">
                <w14:lumMod w14:val="95000"/>
                <w14:lumOff w14:val="5000"/>
              </w14:schemeClr>
            </w14:solidFill>
          </w14:textFill>
        </w:rPr>
        <w:t>和单因子指数法</w:t>
      </w:r>
      <w:r>
        <w:rPr>
          <w:rFonts w:ascii="Times New Roman" w:hAnsi="Times New Roman" w:eastAsia="仿宋"/>
          <w:bCs/>
          <w:color w:val="0D0D0D" w:themeColor="text1" w:themeTint="F2"/>
          <w:sz w:val="28"/>
          <w:szCs w:val="28"/>
          <w14:textFill>
            <w14:solidFill>
              <w14:schemeClr w14:val="tx1">
                <w14:lumMod w14:val="95000"/>
                <w14:lumOff w14:val="5000"/>
              </w14:schemeClr>
            </w14:solidFill>
          </w14:textFill>
        </w:rPr>
        <w:t>进行评价，并筛选出</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富村镇亦佐水库</w:t>
      </w:r>
      <w:r>
        <w:rPr>
          <w:rFonts w:ascii="Times New Roman" w:hAnsi="Times New Roman" w:eastAsia="仿宋"/>
          <w:bCs/>
          <w:color w:val="0D0D0D" w:themeColor="text1" w:themeTint="F2"/>
          <w:sz w:val="28"/>
          <w:szCs w:val="28"/>
          <w14:textFill>
            <w14:solidFill>
              <w14:schemeClr w14:val="tx1">
                <w14:lumMod w14:val="95000"/>
                <w14:lumOff w14:val="5000"/>
              </w14:schemeClr>
            </w14:solidFill>
          </w14:textFill>
        </w:rPr>
        <w:t>的主要污染物。</w:t>
      </w:r>
    </w:p>
    <w:p>
      <w:pPr>
        <w:widowControl/>
        <w:snapToGrid w:val="0"/>
        <w:spacing w:line="360" w:lineRule="auto"/>
        <w:ind w:firstLine="562" w:firstLineChars="200"/>
        <w:rPr>
          <w:rFonts w:ascii="Times New Roman" w:hAnsi="Times New Roman" w:eastAsia="仿宋"/>
          <w:b/>
          <w:bCs/>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b/>
          <w:bCs/>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b/>
          <w:bCs/>
          <w:color w:val="0D0D0D" w:themeColor="text1" w:themeTint="F2"/>
          <w:sz w:val="28"/>
          <w:szCs w:val="28"/>
          <w14:textFill>
            <w14:solidFill>
              <w14:schemeClr w14:val="tx1">
                <w14:lumMod w14:val="95000"/>
                <w14:lumOff w14:val="5000"/>
              </w14:schemeClr>
            </w14:solidFill>
          </w14:textFill>
        </w:rPr>
        <w:t>1</w:t>
      </w:r>
      <w:r>
        <w:rPr>
          <w:rFonts w:hint="eastAsia" w:ascii="Times New Roman" w:hAnsi="Times New Roman" w:eastAsia="仿宋"/>
          <w:b/>
          <w:bCs/>
          <w:color w:val="0D0D0D" w:themeColor="text1" w:themeTint="F2"/>
          <w:sz w:val="28"/>
          <w:szCs w:val="28"/>
          <w14:textFill>
            <w14:solidFill>
              <w14:schemeClr w14:val="tx1">
                <w14:lumMod w14:val="95000"/>
                <w14:lumOff w14:val="5000"/>
              </w14:schemeClr>
            </w14:solidFill>
          </w14:textFill>
        </w:rPr>
        <w:t>）功能类别评价</w:t>
      </w:r>
      <w:r>
        <w:rPr>
          <w:rFonts w:ascii="Times New Roman" w:hAnsi="Times New Roman" w:eastAsia="仿宋"/>
          <w:b/>
          <w:bCs/>
          <w:color w:val="0D0D0D" w:themeColor="text1" w:themeTint="F2"/>
          <w:sz w:val="28"/>
          <w:szCs w:val="28"/>
          <w14:textFill>
            <w14:solidFill>
              <w14:schemeClr w14:val="tx1">
                <w14:lumMod w14:val="95000"/>
                <w14:lumOff w14:val="5000"/>
              </w14:schemeClr>
            </w14:solidFill>
          </w14:textFill>
        </w:rPr>
        <w:t>法</w:t>
      </w:r>
    </w:p>
    <w:p>
      <w:pPr>
        <w:widowControl/>
        <w:adjustRightInd w:val="0"/>
        <w:snapToGrid w:val="0"/>
        <w:spacing w:line="360" w:lineRule="auto"/>
        <w:ind w:firstLine="560" w:firstLineChars="200"/>
        <w:rPr>
          <w:rFonts w:ascii="Times New Roman" w:hAnsi="Times New Roman" w:eastAsia="仿宋"/>
          <w:bCs/>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bCs/>
          <w:color w:val="0D0D0D" w:themeColor="text1" w:themeTint="F2"/>
          <w:sz w:val="28"/>
          <w:szCs w:val="28"/>
          <w14:textFill>
            <w14:solidFill>
              <w14:schemeClr w14:val="tx1">
                <w14:lumMod w14:val="95000"/>
                <w14:lumOff w14:val="5000"/>
              </w14:schemeClr>
            </w14:solidFill>
          </w14:textFill>
        </w:rPr>
        <w:t>以水质监测结果，对照</w:t>
      </w:r>
      <w:r>
        <w:rPr>
          <w:rFonts w:ascii="Times New Roman" w:hAnsi="Times New Roman" w:eastAsia="仿宋"/>
          <w:bCs/>
          <w:color w:val="0D0D0D" w:themeColor="text1" w:themeTint="F2"/>
          <w:sz w:val="28"/>
          <w:szCs w:val="28"/>
          <w14:textFill>
            <w14:solidFill>
              <w14:schemeClr w14:val="tx1">
                <w14:lumMod w14:val="95000"/>
                <w14:lumOff w14:val="5000"/>
              </w14:schemeClr>
            </w14:solidFill>
          </w14:textFill>
        </w:rPr>
        <w:t>《地表水环境质量标准》</w:t>
      </w:r>
      <w:r>
        <w:rPr>
          <w:rFonts w:hint="eastAsia" w:ascii="Times New Roman" w:hAnsi="Times New Roman" w:eastAsia="仿宋"/>
          <w:bCs/>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bCs/>
          <w:color w:val="0D0D0D" w:themeColor="text1" w:themeTint="F2"/>
          <w:sz w:val="28"/>
          <w:szCs w:val="28"/>
          <w14:textFill>
            <w14:solidFill>
              <w14:schemeClr w14:val="tx1">
                <w14:lumMod w14:val="95000"/>
                <w14:lumOff w14:val="5000"/>
              </w14:schemeClr>
            </w14:solidFill>
          </w14:textFill>
        </w:rPr>
        <w:t>GB3838-2002</w:t>
      </w:r>
      <w:r>
        <w:rPr>
          <w:rFonts w:hint="eastAsia" w:ascii="Times New Roman" w:hAnsi="Times New Roman" w:eastAsia="仿宋"/>
          <w:bCs/>
          <w:color w:val="0D0D0D" w:themeColor="text1" w:themeTint="F2"/>
          <w:sz w:val="28"/>
          <w:szCs w:val="28"/>
          <w14:textFill>
            <w14:solidFill>
              <w14:schemeClr w14:val="tx1">
                <w14:lumMod w14:val="95000"/>
                <w14:lumOff w14:val="5000"/>
              </w14:schemeClr>
            </w14:solidFill>
          </w14:textFill>
        </w:rPr>
        <w:t>）中表1、</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表2和表3，判断检测指标所达到水环境水质功能类别。</w:t>
      </w:r>
    </w:p>
    <w:p>
      <w:pPr>
        <w:widowControl/>
        <w:snapToGrid w:val="0"/>
        <w:spacing w:line="360" w:lineRule="auto"/>
        <w:ind w:firstLine="562" w:firstLineChars="200"/>
        <w:rPr>
          <w:rFonts w:ascii="Times New Roman" w:hAnsi="Times New Roman" w:eastAsia="仿宋"/>
          <w:b/>
          <w:bCs/>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b/>
          <w:bCs/>
          <w:color w:val="0D0D0D" w:themeColor="text1" w:themeTint="F2"/>
          <w:sz w:val="28"/>
          <w:szCs w:val="28"/>
          <w14:textFill>
            <w14:solidFill>
              <w14:schemeClr w14:val="tx1">
                <w14:lumMod w14:val="95000"/>
                <w14:lumOff w14:val="5000"/>
              </w14:schemeClr>
            </w14:solidFill>
          </w14:textFill>
        </w:rPr>
        <w:t>（2）</w:t>
      </w:r>
      <w:r>
        <w:rPr>
          <w:rFonts w:ascii="Times New Roman" w:hAnsi="Times New Roman" w:eastAsia="仿宋"/>
          <w:b/>
          <w:bCs/>
          <w:color w:val="0D0D0D" w:themeColor="text1" w:themeTint="F2"/>
          <w:sz w:val="28"/>
          <w:szCs w:val="28"/>
          <w14:textFill>
            <w14:solidFill>
              <w14:schemeClr w14:val="tx1">
                <w14:lumMod w14:val="95000"/>
                <w14:lumOff w14:val="5000"/>
              </w14:schemeClr>
            </w14:solidFill>
          </w14:textFill>
        </w:rPr>
        <w:t>单因子指数法</w:t>
      </w:r>
    </w:p>
    <w:p>
      <w:pPr>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pH因子：S</w:t>
      </w:r>
      <w:r>
        <w:rPr>
          <w:rFonts w:ascii="Times New Roman" w:hAnsi="Times New Roman" w:eastAsia="仿宋"/>
          <w:color w:val="0D0D0D" w:themeColor="text1" w:themeTint="F2"/>
          <w:sz w:val="28"/>
          <w:szCs w:val="28"/>
          <w:vertAlign w:val="subscript"/>
          <w14:textFill>
            <w14:solidFill>
              <w14:schemeClr w14:val="tx1">
                <w14:lumMod w14:val="95000"/>
                <w14:lumOff w14:val="5000"/>
              </w14:schemeClr>
            </w14:solidFill>
          </w14:textFill>
        </w:rPr>
        <w:t>pHj</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=（7-pH</w:t>
      </w:r>
      <w:r>
        <w:rPr>
          <w:rFonts w:ascii="Times New Roman" w:hAnsi="Times New Roman" w:eastAsia="仿宋"/>
          <w:color w:val="0D0D0D" w:themeColor="text1" w:themeTint="F2"/>
          <w:sz w:val="28"/>
          <w:szCs w:val="28"/>
          <w:vertAlign w:val="subscript"/>
          <w14:textFill>
            <w14:solidFill>
              <w14:schemeClr w14:val="tx1">
                <w14:lumMod w14:val="95000"/>
                <w14:lumOff w14:val="5000"/>
              </w14:schemeClr>
            </w14:solidFill>
          </w14:textFill>
        </w:rPr>
        <w:t>j</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）/（7-pH</w:t>
      </w:r>
      <w:r>
        <w:rPr>
          <w:rFonts w:ascii="Times New Roman" w:hAnsi="Times New Roman" w:eastAsia="仿宋"/>
          <w:color w:val="0D0D0D" w:themeColor="text1" w:themeTint="F2"/>
          <w:sz w:val="28"/>
          <w:szCs w:val="28"/>
          <w:vertAlign w:val="subscript"/>
          <w14:textFill>
            <w14:solidFill>
              <w14:schemeClr w14:val="tx1">
                <w14:lumMod w14:val="95000"/>
                <w14:lumOff w14:val="5000"/>
              </w14:schemeClr>
            </w14:solidFill>
          </w14:textFill>
        </w:rPr>
        <w:t>min</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 xml:space="preserve">）            </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pH</w:t>
      </w:r>
      <w:r>
        <w:rPr>
          <w:rFonts w:ascii="Times New Roman" w:hAnsi="Times New Roman" w:eastAsia="仿宋"/>
          <w:color w:val="0D0D0D" w:themeColor="text1" w:themeTint="F2"/>
          <w:sz w:val="28"/>
          <w:szCs w:val="28"/>
          <w:vertAlign w:val="subscript"/>
          <w14:textFill>
            <w14:solidFill>
              <w14:schemeClr w14:val="tx1">
                <w14:lumMod w14:val="95000"/>
                <w14:lumOff w14:val="5000"/>
              </w14:schemeClr>
            </w14:solidFill>
          </w14:textFill>
        </w:rPr>
        <w:t>j</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≤7</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 xml:space="preserve">         S</w:t>
      </w:r>
      <w:r>
        <w:rPr>
          <w:rFonts w:ascii="Times New Roman" w:hAnsi="Times New Roman" w:eastAsia="仿宋"/>
          <w:color w:val="0D0D0D" w:themeColor="text1" w:themeTint="F2"/>
          <w:sz w:val="28"/>
          <w:szCs w:val="28"/>
          <w:vertAlign w:val="subscript"/>
          <w14:textFill>
            <w14:solidFill>
              <w14:schemeClr w14:val="tx1">
                <w14:lumMod w14:val="95000"/>
                <w14:lumOff w14:val="5000"/>
              </w14:schemeClr>
            </w14:solidFill>
          </w14:textFill>
        </w:rPr>
        <w:t>pHj</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=（pH</w:t>
      </w:r>
      <w:r>
        <w:rPr>
          <w:rFonts w:ascii="Times New Roman" w:hAnsi="Times New Roman" w:eastAsia="仿宋"/>
          <w:color w:val="0D0D0D" w:themeColor="text1" w:themeTint="F2"/>
          <w:sz w:val="28"/>
          <w:szCs w:val="28"/>
          <w:vertAlign w:val="subscript"/>
          <w14:textFill>
            <w14:solidFill>
              <w14:schemeClr w14:val="tx1">
                <w14:lumMod w14:val="95000"/>
                <w14:lumOff w14:val="5000"/>
              </w14:schemeClr>
            </w14:solidFill>
          </w14:textFill>
        </w:rPr>
        <w:t>j</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-7）/（pH</w:t>
      </w:r>
      <w:r>
        <w:rPr>
          <w:rFonts w:ascii="Times New Roman" w:hAnsi="Times New Roman" w:eastAsia="仿宋"/>
          <w:color w:val="0D0D0D" w:themeColor="text1" w:themeTint="F2"/>
          <w:sz w:val="28"/>
          <w:szCs w:val="28"/>
          <w:vertAlign w:val="subscript"/>
          <w14:textFill>
            <w14:solidFill>
              <w14:schemeClr w14:val="tx1">
                <w14:lumMod w14:val="95000"/>
                <w14:lumOff w14:val="5000"/>
              </w14:schemeClr>
            </w14:solidFill>
          </w14:textFill>
        </w:rPr>
        <w:t>max</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 xml:space="preserve">-7）           </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pH</w:t>
      </w:r>
      <w:r>
        <w:rPr>
          <w:rFonts w:ascii="Times New Roman" w:hAnsi="Times New Roman" w:eastAsia="仿宋"/>
          <w:color w:val="0D0D0D" w:themeColor="text1" w:themeTint="F2"/>
          <w:sz w:val="28"/>
          <w:szCs w:val="28"/>
          <w:vertAlign w:val="subscript"/>
          <w14:textFill>
            <w14:solidFill>
              <w14:schemeClr w14:val="tx1">
                <w14:lumMod w14:val="95000"/>
                <w14:lumOff w14:val="5000"/>
              </w14:schemeClr>
            </w14:solidFill>
          </w14:textFill>
        </w:rPr>
        <w:t>j</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＞7</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式中：S</w:t>
      </w:r>
      <w:r>
        <w:rPr>
          <w:rFonts w:ascii="Times New Roman" w:hAnsi="Times New Roman" w:eastAsia="仿宋"/>
          <w:color w:val="0D0D0D" w:themeColor="text1" w:themeTint="F2"/>
          <w:sz w:val="28"/>
          <w:szCs w:val="28"/>
          <w:vertAlign w:val="subscript"/>
          <w14:textFill>
            <w14:solidFill>
              <w14:schemeClr w14:val="tx1">
                <w14:lumMod w14:val="95000"/>
                <w14:lumOff w14:val="5000"/>
              </w14:schemeClr>
            </w14:solidFill>
          </w14:textFill>
        </w:rPr>
        <w:t>pHj</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—监测点j的pH的标准指数；</w:t>
      </w:r>
    </w:p>
    <w:p>
      <w:pPr>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 xml:space="preserve">      pH</w:t>
      </w:r>
      <w:r>
        <w:rPr>
          <w:rFonts w:ascii="Times New Roman" w:hAnsi="Times New Roman" w:eastAsia="仿宋"/>
          <w:color w:val="0D0D0D" w:themeColor="text1" w:themeTint="F2"/>
          <w:sz w:val="28"/>
          <w:szCs w:val="28"/>
          <w:vertAlign w:val="subscript"/>
          <w14:textFill>
            <w14:solidFill>
              <w14:schemeClr w14:val="tx1">
                <w14:lumMod w14:val="95000"/>
                <w14:lumOff w14:val="5000"/>
              </w14:schemeClr>
            </w14:solidFill>
          </w14:textFill>
        </w:rPr>
        <w:t>j</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—监测断面j的pH实测值；</w:t>
      </w:r>
    </w:p>
    <w:p>
      <w:pPr>
        <w:adjustRightInd w:val="0"/>
        <w:snapToGrid w:val="0"/>
        <w:spacing w:line="360" w:lineRule="auto"/>
        <w:ind w:firstLine="1120" w:firstLineChars="4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 xml:space="preserve">  pH</w:t>
      </w:r>
      <w:r>
        <w:rPr>
          <w:rFonts w:ascii="Times New Roman" w:hAnsi="Times New Roman" w:eastAsia="仿宋"/>
          <w:color w:val="0D0D0D" w:themeColor="text1" w:themeTint="F2"/>
          <w:sz w:val="28"/>
          <w:szCs w:val="28"/>
          <w:vertAlign w:val="subscript"/>
          <w14:textFill>
            <w14:solidFill>
              <w14:schemeClr w14:val="tx1">
                <w14:lumMod w14:val="95000"/>
                <w14:lumOff w14:val="5000"/>
              </w14:schemeClr>
            </w14:solidFill>
          </w14:textFill>
        </w:rPr>
        <w:t>min</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、pH</w:t>
      </w:r>
      <w:r>
        <w:rPr>
          <w:rFonts w:ascii="Times New Roman" w:hAnsi="Times New Roman" w:eastAsia="仿宋"/>
          <w:color w:val="0D0D0D" w:themeColor="text1" w:themeTint="F2"/>
          <w:sz w:val="28"/>
          <w:szCs w:val="28"/>
          <w:vertAlign w:val="subscript"/>
          <w14:textFill>
            <w14:solidFill>
              <w14:schemeClr w14:val="tx1">
                <w14:lumMod w14:val="95000"/>
                <w14:lumOff w14:val="5000"/>
              </w14:schemeClr>
            </w14:solidFill>
          </w14:textFill>
        </w:rPr>
        <w:t>max</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—水质标准pH值的上下限值。</w:t>
      </w:r>
    </w:p>
    <w:p>
      <w:pPr>
        <w:tabs>
          <w:tab w:val="left" w:pos="5992"/>
        </w:tabs>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i/>
          <w:iCs/>
          <w:color w:val="0D0D0D" w:themeColor="text1" w:themeTint="F2"/>
          <w:sz w:val="28"/>
          <w:szCs w:val="28"/>
          <w14:textFill>
            <w14:solidFill>
              <w14:schemeClr w14:val="tx1">
                <w14:lumMod w14:val="95000"/>
                <w14:lumOff w14:val="5000"/>
              </w14:schemeClr>
            </w14:solidFill>
          </w14:textFill>
        </w:rPr>
        <w:t>DO</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因子：</w:t>
      </w:r>
      <w:r>
        <w:rPr>
          <w:rFonts w:ascii="Times New Roman" w:hAnsi="Times New Roman" w:eastAsia="仿宋"/>
          <w:i/>
          <w:iCs/>
          <w:color w:val="0D0D0D" w:themeColor="text1" w:themeTint="F2"/>
          <w:sz w:val="28"/>
          <w:szCs w:val="28"/>
          <w14:textFill>
            <w14:solidFill>
              <w14:schemeClr w14:val="tx1">
                <w14:lumMod w14:val="95000"/>
                <w14:lumOff w14:val="5000"/>
              </w14:schemeClr>
            </w14:solidFill>
          </w14:textFill>
        </w:rPr>
        <w:t>S</w:t>
      </w:r>
      <w:r>
        <w:rPr>
          <w:rFonts w:ascii="Times New Roman" w:hAnsi="Times New Roman" w:eastAsia="仿宋"/>
          <w:i/>
          <w:iCs/>
          <w:color w:val="0D0D0D" w:themeColor="text1" w:themeTint="F2"/>
          <w:sz w:val="28"/>
          <w:szCs w:val="28"/>
          <w:vertAlign w:val="subscript"/>
          <w14:textFill>
            <w14:solidFill>
              <w14:schemeClr w14:val="tx1">
                <w14:lumMod w14:val="95000"/>
                <w14:lumOff w14:val="5000"/>
              </w14:schemeClr>
            </w14:solidFill>
          </w14:textFill>
        </w:rPr>
        <w:t>DOj</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i/>
          <w:iCs/>
          <w:color w:val="0D0D0D" w:themeColor="text1" w:themeTint="F2"/>
          <w:sz w:val="28"/>
          <w:szCs w:val="28"/>
          <w14:textFill>
            <w14:solidFill>
              <w14:schemeClr w14:val="tx1">
                <w14:lumMod w14:val="95000"/>
                <w14:lumOff w14:val="5000"/>
              </w14:schemeClr>
            </w14:solidFill>
          </w14:textFill>
        </w:rPr>
        <w:t>DO</w:t>
      </w:r>
      <w:r>
        <w:rPr>
          <w:rFonts w:ascii="Times New Roman" w:hAnsi="Times New Roman" w:eastAsia="仿宋"/>
          <w:i/>
          <w:iCs/>
          <w:color w:val="0D0D0D" w:themeColor="text1" w:themeTint="F2"/>
          <w:sz w:val="28"/>
          <w:szCs w:val="28"/>
          <w:vertAlign w:val="subscript"/>
          <w14:textFill>
            <w14:solidFill>
              <w14:schemeClr w14:val="tx1">
                <w14:lumMod w14:val="95000"/>
                <w14:lumOff w14:val="5000"/>
              </w14:schemeClr>
            </w14:solidFill>
          </w14:textFill>
        </w:rPr>
        <w:t>f</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 xml:space="preserve"> -</w:t>
      </w:r>
      <w:r>
        <w:rPr>
          <w:rFonts w:ascii="Times New Roman" w:hAnsi="Times New Roman" w:eastAsia="仿宋"/>
          <w:i/>
          <w:iCs/>
          <w:color w:val="0D0D0D" w:themeColor="text1" w:themeTint="F2"/>
          <w:sz w:val="28"/>
          <w:szCs w:val="28"/>
          <w14:textFill>
            <w14:solidFill>
              <w14:schemeClr w14:val="tx1">
                <w14:lumMod w14:val="95000"/>
                <w14:lumOff w14:val="5000"/>
              </w14:schemeClr>
            </w14:solidFill>
          </w14:textFill>
        </w:rPr>
        <w:t>DO</w:t>
      </w:r>
      <w:r>
        <w:rPr>
          <w:rFonts w:ascii="Times New Roman" w:hAnsi="Times New Roman" w:eastAsia="仿宋"/>
          <w:i/>
          <w:iCs/>
          <w:color w:val="0D0D0D" w:themeColor="text1" w:themeTint="F2"/>
          <w:sz w:val="28"/>
          <w:szCs w:val="28"/>
          <w:vertAlign w:val="subscript"/>
          <w14:textFill>
            <w14:solidFill>
              <w14:schemeClr w14:val="tx1">
                <w14:lumMod w14:val="95000"/>
                <w14:lumOff w14:val="5000"/>
              </w14:schemeClr>
            </w14:solidFill>
          </w14:textFill>
        </w:rPr>
        <w:t>j</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i/>
          <w:iCs/>
          <w:color w:val="0D0D0D" w:themeColor="text1" w:themeTint="F2"/>
          <w:sz w:val="28"/>
          <w:szCs w:val="28"/>
          <w14:textFill>
            <w14:solidFill>
              <w14:schemeClr w14:val="tx1">
                <w14:lumMod w14:val="95000"/>
                <w14:lumOff w14:val="5000"/>
              </w14:schemeClr>
            </w14:solidFill>
          </w14:textFill>
        </w:rPr>
        <w:t>DO</w:t>
      </w:r>
      <w:r>
        <w:rPr>
          <w:rFonts w:ascii="Times New Roman" w:hAnsi="Times New Roman" w:eastAsia="仿宋"/>
          <w:i/>
          <w:iCs/>
          <w:color w:val="0D0D0D" w:themeColor="text1" w:themeTint="F2"/>
          <w:sz w:val="28"/>
          <w:szCs w:val="28"/>
          <w:vertAlign w:val="subscript"/>
          <w14:textFill>
            <w14:solidFill>
              <w14:schemeClr w14:val="tx1">
                <w14:lumMod w14:val="95000"/>
                <w14:lumOff w14:val="5000"/>
              </w14:schemeClr>
            </w14:solidFill>
          </w14:textFill>
        </w:rPr>
        <w:t>f</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 xml:space="preserve"> – </w:t>
      </w:r>
      <w:r>
        <w:rPr>
          <w:rFonts w:ascii="Times New Roman" w:hAnsi="Times New Roman" w:eastAsia="仿宋"/>
          <w:i/>
          <w:iCs/>
          <w:color w:val="0D0D0D" w:themeColor="text1" w:themeTint="F2"/>
          <w:sz w:val="28"/>
          <w:szCs w:val="28"/>
          <w14:textFill>
            <w14:solidFill>
              <w14:schemeClr w14:val="tx1">
                <w14:lumMod w14:val="95000"/>
                <w14:lumOff w14:val="5000"/>
              </w14:schemeClr>
            </w14:solidFill>
          </w14:textFill>
        </w:rPr>
        <w:t>DO</w:t>
      </w:r>
      <w:r>
        <w:rPr>
          <w:rFonts w:ascii="Times New Roman" w:hAnsi="Times New Roman" w:eastAsia="仿宋"/>
          <w:i/>
          <w:iCs/>
          <w:color w:val="0D0D0D" w:themeColor="text1" w:themeTint="F2"/>
          <w:sz w:val="28"/>
          <w:szCs w:val="28"/>
          <w:vertAlign w:val="subscript"/>
          <w14:textFill>
            <w14:solidFill>
              <w14:schemeClr w14:val="tx1">
                <w14:lumMod w14:val="95000"/>
                <w14:lumOff w14:val="5000"/>
              </w14:schemeClr>
            </w14:solidFill>
          </w14:textFill>
        </w:rPr>
        <w:t>s</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 xml:space="preserve">）        </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i/>
          <w:iCs/>
          <w:color w:val="0D0D0D" w:themeColor="text1" w:themeTint="F2"/>
          <w:sz w:val="28"/>
          <w:szCs w:val="28"/>
          <w14:textFill>
            <w14:solidFill>
              <w14:schemeClr w14:val="tx1">
                <w14:lumMod w14:val="95000"/>
                <w14:lumOff w14:val="5000"/>
              </w14:schemeClr>
            </w14:solidFill>
          </w14:textFill>
        </w:rPr>
        <w:t>DO</w:t>
      </w:r>
      <w:r>
        <w:rPr>
          <w:rFonts w:ascii="Times New Roman" w:hAnsi="Times New Roman" w:eastAsia="仿宋"/>
          <w:i/>
          <w:iCs/>
          <w:color w:val="0D0D0D" w:themeColor="text1" w:themeTint="F2"/>
          <w:sz w:val="28"/>
          <w:szCs w:val="28"/>
          <w:vertAlign w:val="subscript"/>
          <w14:textFill>
            <w14:solidFill>
              <w14:schemeClr w14:val="tx1">
                <w14:lumMod w14:val="95000"/>
                <w14:lumOff w14:val="5000"/>
              </w14:schemeClr>
            </w14:solidFill>
          </w14:textFill>
        </w:rPr>
        <w:t>j</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i/>
          <w:iCs/>
          <w:color w:val="0D0D0D" w:themeColor="text1" w:themeTint="F2"/>
          <w:sz w:val="28"/>
          <w:szCs w:val="28"/>
          <w14:textFill>
            <w14:solidFill>
              <w14:schemeClr w14:val="tx1">
                <w14:lumMod w14:val="95000"/>
                <w14:lumOff w14:val="5000"/>
              </w14:schemeClr>
            </w14:solidFill>
          </w14:textFill>
        </w:rPr>
        <w:t>DO</w:t>
      </w:r>
      <w:r>
        <w:rPr>
          <w:rFonts w:ascii="Times New Roman" w:hAnsi="Times New Roman" w:eastAsia="仿宋"/>
          <w:i/>
          <w:iCs/>
          <w:color w:val="0D0D0D" w:themeColor="text1" w:themeTint="F2"/>
          <w:sz w:val="28"/>
          <w:szCs w:val="28"/>
          <w:vertAlign w:val="subscript"/>
          <w14:textFill>
            <w14:solidFill>
              <w14:schemeClr w14:val="tx1">
                <w14:lumMod w14:val="95000"/>
                <w14:lumOff w14:val="5000"/>
              </w14:schemeClr>
            </w14:solidFill>
          </w14:textFill>
        </w:rPr>
        <w:t>s</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tabs>
          <w:tab w:val="left" w:pos="5992"/>
        </w:tabs>
        <w:adjustRightInd w:val="0"/>
        <w:snapToGrid w:val="0"/>
        <w:spacing w:line="360" w:lineRule="auto"/>
        <w:ind w:firstLine="560" w:firstLineChars="200"/>
        <w:rPr>
          <w:rFonts w:ascii="Times New Roman" w:hAnsi="Times New Roman" w:eastAsia="仿宋"/>
          <w:i/>
          <w:iCs/>
          <w:color w:val="0D0D0D" w:themeColor="text1" w:themeTint="F2"/>
          <w:sz w:val="28"/>
          <w:szCs w:val="28"/>
          <w:vertAlign w:val="subscript"/>
          <w:lang w:val="pt-BR"/>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 xml:space="preserve">         </w:t>
      </w:r>
      <w:r>
        <w:rPr>
          <w:rFonts w:ascii="Times New Roman" w:hAnsi="Times New Roman" w:eastAsia="仿宋"/>
          <w:i/>
          <w:iCs/>
          <w:color w:val="0D0D0D" w:themeColor="text1" w:themeTint="F2"/>
          <w:sz w:val="28"/>
          <w:szCs w:val="28"/>
          <w:lang w:val="pt-BR"/>
          <w14:textFill>
            <w14:solidFill>
              <w14:schemeClr w14:val="tx1">
                <w14:lumMod w14:val="95000"/>
                <w14:lumOff w14:val="5000"/>
              </w14:schemeClr>
            </w14:solidFill>
          </w14:textFill>
        </w:rPr>
        <w:t>S</w:t>
      </w:r>
      <w:r>
        <w:rPr>
          <w:rFonts w:ascii="Times New Roman" w:hAnsi="Times New Roman" w:eastAsia="仿宋"/>
          <w:i/>
          <w:iCs/>
          <w:color w:val="0D0D0D" w:themeColor="text1" w:themeTint="F2"/>
          <w:sz w:val="28"/>
          <w:szCs w:val="28"/>
          <w:vertAlign w:val="subscript"/>
          <w:lang w:val="pt-BR"/>
          <w14:textFill>
            <w14:solidFill>
              <w14:schemeClr w14:val="tx1">
                <w14:lumMod w14:val="95000"/>
                <w14:lumOff w14:val="5000"/>
              </w14:schemeClr>
            </w14:solidFill>
          </w14:textFill>
        </w:rPr>
        <w:t>DOj</w:t>
      </w:r>
      <w:r>
        <w:rPr>
          <w:rFonts w:ascii="Times New Roman" w:hAnsi="Times New Roman" w:eastAsia="仿宋"/>
          <w:color w:val="0D0D0D" w:themeColor="text1" w:themeTint="F2"/>
          <w:sz w:val="28"/>
          <w:szCs w:val="28"/>
          <w:lang w:val="pt-BR"/>
          <w14:textFill>
            <w14:solidFill>
              <w14:schemeClr w14:val="tx1">
                <w14:lumMod w14:val="95000"/>
                <w14:lumOff w14:val="5000"/>
              </w14:schemeClr>
            </w14:solidFill>
          </w14:textFill>
        </w:rPr>
        <w:t>=</w:t>
      </w:r>
      <w:r>
        <w:rPr>
          <w:rFonts w:ascii="Times New Roman" w:hAnsi="Times New Roman" w:eastAsia="仿宋"/>
          <w:i/>
          <w:iCs/>
          <w:color w:val="0D0D0D" w:themeColor="text1" w:themeTint="F2"/>
          <w:sz w:val="28"/>
          <w:szCs w:val="28"/>
          <w:lang w:val="pt-BR"/>
          <w14:textFill>
            <w14:solidFill>
              <w14:schemeClr w14:val="tx1">
                <w14:lumMod w14:val="95000"/>
                <w14:lumOff w14:val="5000"/>
              </w14:schemeClr>
            </w14:solidFill>
          </w14:textFill>
        </w:rPr>
        <w:t>10</w:t>
      </w:r>
      <w:r>
        <w:rPr>
          <w:rFonts w:ascii="Times New Roman" w:hAnsi="Times New Roman" w:eastAsia="仿宋"/>
          <w:color w:val="0D0D0D" w:themeColor="text1" w:themeTint="F2"/>
          <w:sz w:val="28"/>
          <w:szCs w:val="28"/>
          <w:lang w:val="pt-BR"/>
          <w14:textFill>
            <w14:solidFill>
              <w14:schemeClr w14:val="tx1">
                <w14:lumMod w14:val="95000"/>
                <w14:lumOff w14:val="5000"/>
              </w14:schemeClr>
            </w14:solidFill>
          </w14:textFill>
        </w:rPr>
        <w:t>-</w:t>
      </w:r>
      <w:r>
        <w:rPr>
          <w:rFonts w:ascii="Times New Roman" w:hAnsi="Times New Roman" w:eastAsia="仿宋"/>
          <w:i/>
          <w:iCs/>
          <w:color w:val="0D0D0D" w:themeColor="text1" w:themeTint="F2"/>
          <w:sz w:val="28"/>
          <w:szCs w:val="28"/>
          <w:lang w:val="pt-BR"/>
          <w14:textFill>
            <w14:solidFill>
              <w14:schemeClr w14:val="tx1">
                <w14:lumMod w14:val="95000"/>
                <w14:lumOff w14:val="5000"/>
              </w14:schemeClr>
            </w14:solidFill>
          </w14:textFill>
        </w:rPr>
        <w:t>9DO</w:t>
      </w:r>
      <w:r>
        <w:rPr>
          <w:rFonts w:ascii="Times New Roman" w:hAnsi="Times New Roman" w:eastAsia="仿宋"/>
          <w:i/>
          <w:iCs/>
          <w:color w:val="0D0D0D" w:themeColor="text1" w:themeTint="F2"/>
          <w:sz w:val="28"/>
          <w:szCs w:val="28"/>
          <w:vertAlign w:val="subscript"/>
          <w:lang w:val="pt-BR"/>
          <w14:textFill>
            <w14:solidFill>
              <w14:schemeClr w14:val="tx1">
                <w14:lumMod w14:val="95000"/>
                <w14:lumOff w14:val="5000"/>
              </w14:schemeClr>
            </w14:solidFill>
          </w14:textFill>
        </w:rPr>
        <w:t>j</w:t>
      </w:r>
      <w:r>
        <w:rPr>
          <w:rFonts w:ascii="Times New Roman" w:hAnsi="Times New Roman" w:eastAsia="仿宋"/>
          <w:color w:val="0D0D0D" w:themeColor="text1" w:themeTint="F2"/>
          <w:sz w:val="28"/>
          <w:szCs w:val="28"/>
          <w:lang w:val="pt-BR"/>
          <w14:textFill>
            <w14:solidFill>
              <w14:schemeClr w14:val="tx1">
                <w14:lumMod w14:val="95000"/>
                <w14:lumOff w14:val="5000"/>
              </w14:schemeClr>
            </w14:solidFill>
          </w14:textFill>
        </w:rPr>
        <w:t>/</w:t>
      </w:r>
      <w:r>
        <w:rPr>
          <w:rFonts w:ascii="Times New Roman" w:hAnsi="Times New Roman" w:eastAsia="仿宋"/>
          <w:i/>
          <w:iCs/>
          <w:color w:val="0D0D0D" w:themeColor="text1" w:themeTint="F2"/>
          <w:sz w:val="28"/>
          <w:szCs w:val="28"/>
          <w:lang w:val="pt-BR"/>
          <w14:textFill>
            <w14:solidFill>
              <w14:schemeClr w14:val="tx1">
                <w14:lumMod w14:val="95000"/>
                <w14:lumOff w14:val="5000"/>
              </w14:schemeClr>
            </w14:solidFill>
          </w14:textFill>
        </w:rPr>
        <w:t>DO</w:t>
      </w:r>
      <w:r>
        <w:rPr>
          <w:rFonts w:ascii="Times New Roman" w:hAnsi="Times New Roman" w:eastAsia="仿宋"/>
          <w:i/>
          <w:iCs/>
          <w:color w:val="0D0D0D" w:themeColor="text1" w:themeTint="F2"/>
          <w:sz w:val="28"/>
          <w:szCs w:val="28"/>
          <w:vertAlign w:val="subscript"/>
          <w:lang w:val="pt-BR"/>
          <w14:textFill>
            <w14:solidFill>
              <w14:schemeClr w14:val="tx1">
                <w14:lumMod w14:val="95000"/>
                <w14:lumOff w14:val="5000"/>
              </w14:schemeClr>
            </w14:solidFill>
          </w14:textFill>
        </w:rPr>
        <w:t>s</w:t>
      </w:r>
      <w:r>
        <w:rPr>
          <w:rFonts w:ascii="Times New Roman" w:hAnsi="Times New Roman" w:eastAsia="仿宋"/>
          <w:color w:val="0D0D0D" w:themeColor="text1" w:themeTint="F2"/>
          <w:sz w:val="28"/>
          <w:szCs w:val="28"/>
          <w:lang w:val="pt-BR"/>
          <w14:textFill>
            <w14:solidFill>
              <w14:schemeClr w14:val="tx1">
                <w14:lumMod w14:val="95000"/>
                <w14:lumOff w14:val="5000"/>
              </w14:schemeClr>
            </w14:solidFill>
          </w14:textFill>
        </w:rPr>
        <w:t xml:space="preserve">                    </w:t>
      </w:r>
      <w:r>
        <w:rPr>
          <w:rFonts w:hint="eastAsia" w:ascii="Times New Roman" w:hAnsi="Times New Roman" w:eastAsia="仿宋"/>
          <w:color w:val="0D0D0D" w:themeColor="text1" w:themeTint="F2"/>
          <w:sz w:val="28"/>
          <w:szCs w:val="28"/>
          <w:lang w:val="pt-BR"/>
          <w14:textFill>
            <w14:solidFill>
              <w14:schemeClr w14:val="tx1">
                <w14:lumMod w14:val="95000"/>
                <w14:lumOff w14:val="5000"/>
              </w14:schemeClr>
            </w14:solidFill>
          </w14:textFill>
        </w:rPr>
        <w:t>（</w:t>
      </w:r>
      <w:r>
        <w:rPr>
          <w:rFonts w:ascii="Times New Roman" w:hAnsi="Times New Roman" w:eastAsia="仿宋"/>
          <w:i/>
          <w:iCs/>
          <w:color w:val="0D0D0D" w:themeColor="text1" w:themeTint="F2"/>
          <w:sz w:val="28"/>
          <w:szCs w:val="28"/>
          <w:lang w:val="pt-BR"/>
          <w14:textFill>
            <w14:solidFill>
              <w14:schemeClr w14:val="tx1">
                <w14:lumMod w14:val="95000"/>
                <w14:lumOff w14:val="5000"/>
              </w14:schemeClr>
            </w14:solidFill>
          </w14:textFill>
        </w:rPr>
        <w:t>DO</w:t>
      </w:r>
      <w:r>
        <w:rPr>
          <w:rFonts w:ascii="Times New Roman" w:hAnsi="Times New Roman" w:eastAsia="仿宋"/>
          <w:i/>
          <w:iCs/>
          <w:color w:val="0D0D0D" w:themeColor="text1" w:themeTint="F2"/>
          <w:sz w:val="28"/>
          <w:szCs w:val="28"/>
          <w:vertAlign w:val="subscript"/>
          <w:lang w:val="pt-BR"/>
          <w14:textFill>
            <w14:solidFill>
              <w14:schemeClr w14:val="tx1">
                <w14:lumMod w14:val="95000"/>
                <w14:lumOff w14:val="5000"/>
              </w14:schemeClr>
            </w14:solidFill>
          </w14:textFill>
        </w:rPr>
        <w:t>j</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i/>
          <w:iCs/>
          <w:color w:val="0D0D0D" w:themeColor="text1" w:themeTint="F2"/>
          <w:sz w:val="28"/>
          <w:szCs w:val="28"/>
          <w:lang w:val="pt-BR"/>
          <w14:textFill>
            <w14:solidFill>
              <w14:schemeClr w14:val="tx1">
                <w14:lumMod w14:val="95000"/>
                <w14:lumOff w14:val="5000"/>
              </w14:schemeClr>
            </w14:solidFill>
          </w14:textFill>
        </w:rPr>
        <w:t>DO</w:t>
      </w:r>
      <w:r>
        <w:rPr>
          <w:rFonts w:ascii="Times New Roman" w:hAnsi="Times New Roman" w:eastAsia="仿宋"/>
          <w:i/>
          <w:iCs/>
          <w:color w:val="0D0D0D" w:themeColor="text1" w:themeTint="F2"/>
          <w:sz w:val="28"/>
          <w:szCs w:val="28"/>
          <w:vertAlign w:val="subscript"/>
          <w:lang w:val="pt-BR"/>
          <w14:textFill>
            <w14:solidFill>
              <w14:schemeClr w14:val="tx1">
                <w14:lumMod w14:val="95000"/>
                <w14:lumOff w14:val="5000"/>
              </w14:schemeClr>
            </w14:solidFill>
          </w14:textFill>
        </w:rPr>
        <w:t>s</w:t>
      </w:r>
      <w:r>
        <w:rPr>
          <w:rFonts w:hint="eastAsia" w:ascii="Times New Roman" w:hAnsi="Times New Roman" w:eastAsia="仿宋"/>
          <w:color w:val="0D0D0D" w:themeColor="text1" w:themeTint="F2"/>
          <w:sz w:val="28"/>
          <w:szCs w:val="28"/>
          <w:lang w:val="pt-BR"/>
          <w14:textFill>
            <w14:solidFill>
              <w14:schemeClr w14:val="tx1">
                <w14:lumMod w14:val="95000"/>
                <w14:lumOff w14:val="5000"/>
              </w14:schemeClr>
            </w14:solidFill>
          </w14:textFill>
        </w:rPr>
        <w:t>）</w:t>
      </w:r>
    </w:p>
    <w:p>
      <w:pPr>
        <w:tabs>
          <w:tab w:val="left" w:pos="5992"/>
        </w:tabs>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lang w:val="pt-BR"/>
          <w14:textFill>
            <w14:solidFill>
              <w14:schemeClr w14:val="tx1">
                <w14:lumMod w14:val="95000"/>
                <w14:lumOff w14:val="5000"/>
              </w14:schemeClr>
            </w14:solidFill>
          </w14:textFill>
        </w:rPr>
        <w:t xml:space="preserve">         </w:t>
      </w:r>
      <w:r>
        <w:rPr>
          <w:rFonts w:ascii="Times New Roman" w:hAnsi="Times New Roman" w:eastAsia="仿宋"/>
          <w:i/>
          <w:iCs/>
          <w:color w:val="0D0D0D" w:themeColor="text1" w:themeTint="F2"/>
          <w:sz w:val="28"/>
          <w:szCs w:val="28"/>
          <w14:textFill>
            <w14:solidFill>
              <w14:schemeClr w14:val="tx1">
                <w14:lumMod w14:val="95000"/>
                <w14:lumOff w14:val="5000"/>
              </w14:schemeClr>
            </w14:solidFill>
          </w14:textFill>
        </w:rPr>
        <w:t>DO</w:t>
      </w:r>
      <w:r>
        <w:rPr>
          <w:rFonts w:ascii="Times New Roman" w:hAnsi="Times New Roman" w:eastAsia="仿宋"/>
          <w:i/>
          <w:iCs/>
          <w:color w:val="0D0D0D" w:themeColor="text1" w:themeTint="F2"/>
          <w:sz w:val="28"/>
          <w:szCs w:val="28"/>
          <w:vertAlign w:val="subscript"/>
          <w14:textFill>
            <w14:solidFill>
              <w14:schemeClr w14:val="tx1">
                <w14:lumMod w14:val="95000"/>
                <w14:lumOff w14:val="5000"/>
              </w14:schemeClr>
            </w14:solidFill>
          </w14:textFill>
        </w:rPr>
        <w:t>f</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i/>
          <w:iCs/>
          <w:color w:val="0D0D0D" w:themeColor="text1" w:themeTint="F2"/>
          <w:sz w:val="28"/>
          <w:szCs w:val="28"/>
          <w14:textFill>
            <w14:solidFill>
              <w14:schemeClr w14:val="tx1">
                <w14:lumMod w14:val="95000"/>
                <w14:lumOff w14:val="5000"/>
              </w14:schemeClr>
            </w14:solidFill>
          </w14:textFill>
        </w:rPr>
        <w:t>468</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i/>
          <w:iCs/>
          <w:color w:val="0D0D0D" w:themeColor="text1" w:themeTint="F2"/>
          <w:sz w:val="28"/>
          <w:szCs w:val="28"/>
          <w14:textFill>
            <w14:solidFill>
              <w14:schemeClr w14:val="tx1">
                <w14:lumMod w14:val="95000"/>
                <w14:lumOff w14:val="5000"/>
              </w14:schemeClr>
            </w14:solidFill>
          </w14:textFill>
        </w:rPr>
        <w:t>31.6</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i/>
          <w:iCs/>
          <w:color w:val="0D0D0D" w:themeColor="text1" w:themeTint="F2"/>
          <w:sz w:val="28"/>
          <w:szCs w:val="28"/>
          <w14:textFill>
            <w14:solidFill>
              <w14:schemeClr w14:val="tx1">
                <w14:lumMod w14:val="95000"/>
                <w14:lumOff w14:val="5000"/>
              </w14:schemeClr>
            </w14:solidFill>
          </w14:textFill>
        </w:rPr>
        <w:t>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tabs>
          <w:tab w:val="left" w:pos="5992"/>
        </w:tabs>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式中：</w:t>
      </w:r>
      <w:r>
        <w:rPr>
          <w:rFonts w:ascii="Times New Roman" w:hAnsi="Times New Roman" w:eastAsia="仿宋"/>
          <w:i/>
          <w:iCs/>
          <w:color w:val="0D0D0D" w:themeColor="text1" w:themeTint="F2"/>
          <w:sz w:val="28"/>
          <w:szCs w:val="28"/>
          <w14:textFill>
            <w14:solidFill>
              <w14:schemeClr w14:val="tx1">
                <w14:lumMod w14:val="95000"/>
                <w14:lumOff w14:val="5000"/>
              </w14:schemeClr>
            </w14:solidFill>
          </w14:textFill>
        </w:rPr>
        <w:t>S</w:t>
      </w:r>
      <w:r>
        <w:rPr>
          <w:rFonts w:ascii="Times New Roman" w:hAnsi="Times New Roman" w:eastAsia="仿宋"/>
          <w:i/>
          <w:iCs/>
          <w:color w:val="0D0D0D" w:themeColor="text1" w:themeTint="F2"/>
          <w:sz w:val="28"/>
          <w:szCs w:val="28"/>
          <w:vertAlign w:val="subscript"/>
          <w14:textFill>
            <w14:solidFill>
              <w14:schemeClr w14:val="tx1">
                <w14:lumMod w14:val="95000"/>
                <w14:lumOff w14:val="5000"/>
              </w14:schemeClr>
            </w14:solidFill>
          </w14:textFill>
        </w:rPr>
        <w:t>DOj</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—监测断面</w:t>
      </w:r>
      <w:r>
        <w:rPr>
          <w:rFonts w:hint="eastAsia" w:ascii="Times New Roman" w:hAnsi="Times New Roman" w:eastAsia="仿宋"/>
          <w:i/>
          <w:iCs/>
          <w:color w:val="0D0D0D" w:themeColor="text1" w:themeTint="F2"/>
          <w:sz w:val="28"/>
          <w:szCs w:val="28"/>
          <w14:textFill>
            <w14:solidFill>
              <w14:schemeClr w14:val="tx1">
                <w14:lumMod w14:val="95000"/>
                <w14:lumOff w14:val="5000"/>
              </w14:schemeClr>
            </w14:solidFill>
          </w14:textFill>
        </w:rPr>
        <w:t>j</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的</w:t>
      </w:r>
      <w:r>
        <w:rPr>
          <w:rFonts w:ascii="Times New Roman" w:hAnsi="Times New Roman" w:eastAsia="仿宋"/>
          <w:i/>
          <w:iCs/>
          <w:color w:val="0D0D0D" w:themeColor="text1" w:themeTint="F2"/>
          <w:sz w:val="28"/>
          <w:szCs w:val="28"/>
          <w14:textFill>
            <w14:solidFill>
              <w14:schemeClr w14:val="tx1">
                <w14:lumMod w14:val="95000"/>
                <w14:lumOff w14:val="5000"/>
              </w14:schemeClr>
            </w14:solidFill>
          </w14:textFill>
        </w:rPr>
        <w:t>DO</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的标准指数；</w:t>
      </w:r>
    </w:p>
    <w:p>
      <w:pPr>
        <w:tabs>
          <w:tab w:val="left" w:pos="748"/>
        </w:tabs>
        <w:adjustRightInd w:val="0"/>
        <w:snapToGrid w:val="0"/>
        <w:spacing w:line="360" w:lineRule="auto"/>
        <w:ind w:firstLine="1120" w:firstLineChars="4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i/>
          <w:iCs/>
          <w:color w:val="0D0D0D" w:themeColor="text1" w:themeTint="F2"/>
          <w:sz w:val="28"/>
          <w:szCs w:val="28"/>
          <w14:textFill>
            <w14:solidFill>
              <w14:schemeClr w14:val="tx1">
                <w14:lumMod w14:val="95000"/>
                <w14:lumOff w14:val="5000"/>
              </w14:schemeClr>
            </w14:solidFill>
          </w14:textFill>
        </w:rPr>
        <w:t xml:space="preserve">  DO</w:t>
      </w:r>
      <w:r>
        <w:rPr>
          <w:rFonts w:ascii="Times New Roman" w:hAnsi="Times New Roman" w:eastAsia="仿宋"/>
          <w:i/>
          <w:iCs/>
          <w:color w:val="0D0D0D" w:themeColor="text1" w:themeTint="F2"/>
          <w:sz w:val="28"/>
          <w:szCs w:val="28"/>
          <w:vertAlign w:val="subscript"/>
          <w14:textFill>
            <w14:solidFill>
              <w14:schemeClr w14:val="tx1">
                <w14:lumMod w14:val="95000"/>
                <w14:lumOff w14:val="5000"/>
              </w14:schemeClr>
            </w14:solidFill>
          </w14:textFill>
        </w:rPr>
        <w:t>j</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—监测断面</w:t>
      </w:r>
      <w:r>
        <w:rPr>
          <w:rFonts w:hint="eastAsia" w:ascii="Times New Roman" w:hAnsi="Times New Roman" w:eastAsia="仿宋"/>
          <w:i/>
          <w:iCs/>
          <w:color w:val="0D0D0D" w:themeColor="text1" w:themeTint="F2"/>
          <w:sz w:val="28"/>
          <w:szCs w:val="28"/>
          <w14:textFill>
            <w14:solidFill>
              <w14:schemeClr w14:val="tx1">
                <w14:lumMod w14:val="95000"/>
                <w14:lumOff w14:val="5000"/>
              </w14:schemeClr>
            </w14:solidFill>
          </w14:textFill>
        </w:rPr>
        <w:t>j</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的</w:t>
      </w:r>
      <w:r>
        <w:rPr>
          <w:rFonts w:ascii="Times New Roman" w:hAnsi="Times New Roman" w:eastAsia="仿宋"/>
          <w:i/>
          <w:iCs/>
          <w:color w:val="0D0D0D" w:themeColor="text1" w:themeTint="F2"/>
          <w:sz w:val="28"/>
          <w:szCs w:val="28"/>
          <w14:textFill>
            <w14:solidFill>
              <w14:schemeClr w14:val="tx1">
                <w14:lumMod w14:val="95000"/>
                <w14:lumOff w14:val="5000"/>
              </w14:schemeClr>
            </w14:solidFill>
          </w14:textFill>
        </w:rPr>
        <w:t>DO</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实测值；</w:t>
      </w:r>
    </w:p>
    <w:p>
      <w:pPr>
        <w:tabs>
          <w:tab w:val="left" w:pos="724"/>
          <w:tab w:val="left" w:pos="5992"/>
        </w:tabs>
        <w:adjustRightInd w:val="0"/>
        <w:snapToGrid w:val="0"/>
        <w:spacing w:line="360" w:lineRule="auto"/>
        <w:ind w:firstLine="1120" w:firstLineChars="4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i/>
          <w:iCs/>
          <w:color w:val="0D0D0D" w:themeColor="text1" w:themeTint="F2"/>
          <w:sz w:val="28"/>
          <w:szCs w:val="28"/>
          <w14:textFill>
            <w14:solidFill>
              <w14:schemeClr w14:val="tx1">
                <w14:lumMod w14:val="95000"/>
                <w14:lumOff w14:val="5000"/>
              </w14:schemeClr>
            </w14:solidFill>
          </w14:textFill>
        </w:rPr>
        <w:t xml:space="preserve">  DO</w:t>
      </w:r>
      <w:r>
        <w:rPr>
          <w:rFonts w:ascii="Times New Roman" w:hAnsi="Times New Roman" w:eastAsia="仿宋"/>
          <w:i/>
          <w:iCs/>
          <w:color w:val="0D0D0D" w:themeColor="text1" w:themeTint="F2"/>
          <w:sz w:val="28"/>
          <w:szCs w:val="28"/>
          <w:vertAlign w:val="subscript"/>
          <w14:textFill>
            <w14:solidFill>
              <w14:schemeClr w14:val="tx1">
                <w14:lumMod w14:val="95000"/>
                <w14:lumOff w14:val="5000"/>
              </w14:schemeClr>
            </w14:solidFill>
          </w14:textFill>
        </w:rPr>
        <w:t>f</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—监测水温条件下饱和溶解氧浓度；</w:t>
      </w:r>
    </w:p>
    <w:p>
      <w:pPr>
        <w:adjustRightInd w:val="0"/>
        <w:snapToGrid w:val="0"/>
        <w:spacing w:line="360" w:lineRule="auto"/>
        <w:ind w:firstLine="980" w:firstLineChars="35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i/>
          <w:iCs/>
          <w:color w:val="0D0D0D" w:themeColor="text1" w:themeTint="F2"/>
          <w:sz w:val="28"/>
          <w:szCs w:val="28"/>
          <w14:textFill>
            <w14:solidFill>
              <w14:schemeClr w14:val="tx1">
                <w14:lumMod w14:val="95000"/>
                <w14:lumOff w14:val="5000"/>
              </w14:schemeClr>
            </w14:solidFill>
          </w14:textFill>
        </w:rPr>
        <w:t xml:space="preserve">  DO</w:t>
      </w:r>
      <w:r>
        <w:rPr>
          <w:rFonts w:ascii="Times New Roman" w:hAnsi="Times New Roman" w:eastAsia="仿宋"/>
          <w:i/>
          <w:iCs/>
          <w:color w:val="0D0D0D" w:themeColor="text1" w:themeTint="F2"/>
          <w:sz w:val="28"/>
          <w:szCs w:val="28"/>
          <w:vertAlign w:val="subscript"/>
          <w14:textFill>
            <w14:solidFill>
              <w14:schemeClr w14:val="tx1">
                <w14:lumMod w14:val="95000"/>
                <w14:lumOff w14:val="5000"/>
              </w14:schemeClr>
            </w14:solidFill>
          </w14:textFill>
        </w:rPr>
        <w:t>s</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—地表水溶解氧浓度质量标准。</w:t>
      </w:r>
    </w:p>
    <w:p>
      <w:pPr>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其它因子：S</w:t>
      </w:r>
      <w:r>
        <w:rPr>
          <w:rFonts w:ascii="Times New Roman" w:hAnsi="Times New Roman" w:eastAsia="仿宋"/>
          <w:color w:val="0D0D0D" w:themeColor="text1" w:themeTint="F2"/>
          <w:sz w:val="28"/>
          <w:szCs w:val="28"/>
          <w:vertAlign w:val="subscript"/>
          <w14:textFill>
            <w14:solidFill>
              <w14:schemeClr w14:val="tx1">
                <w14:lumMod w14:val="95000"/>
                <w14:lumOff w14:val="5000"/>
              </w14:schemeClr>
            </w14:solidFill>
          </w14:textFill>
        </w:rPr>
        <w:t>ij</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=C</w:t>
      </w:r>
      <w:r>
        <w:rPr>
          <w:rFonts w:ascii="Times New Roman" w:hAnsi="Times New Roman" w:eastAsia="仿宋"/>
          <w:color w:val="0D0D0D" w:themeColor="text1" w:themeTint="F2"/>
          <w:sz w:val="28"/>
          <w:szCs w:val="28"/>
          <w:vertAlign w:val="subscript"/>
          <w14:textFill>
            <w14:solidFill>
              <w14:schemeClr w14:val="tx1">
                <w14:lumMod w14:val="95000"/>
                <w14:lumOff w14:val="5000"/>
              </w14:schemeClr>
            </w14:solidFill>
          </w14:textFill>
        </w:rPr>
        <w:t>ij</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/C</w:t>
      </w:r>
      <w:r>
        <w:rPr>
          <w:rFonts w:ascii="Times New Roman" w:hAnsi="Times New Roman" w:eastAsia="仿宋"/>
          <w:color w:val="0D0D0D" w:themeColor="text1" w:themeTint="F2"/>
          <w:sz w:val="28"/>
          <w:szCs w:val="28"/>
          <w:vertAlign w:val="subscript"/>
          <w14:textFill>
            <w14:solidFill>
              <w14:schemeClr w14:val="tx1">
                <w14:lumMod w14:val="95000"/>
                <w14:lumOff w14:val="5000"/>
              </w14:schemeClr>
            </w14:solidFill>
          </w14:textFill>
        </w:rPr>
        <w:t>ni</w:t>
      </w:r>
    </w:p>
    <w:p>
      <w:pPr>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式中：S</w:t>
      </w:r>
      <w:r>
        <w:rPr>
          <w:rFonts w:ascii="Times New Roman" w:hAnsi="Times New Roman" w:eastAsia="仿宋"/>
          <w:color w:val="0D0D0D" w:themeColor="text1" w:themeTint="F2"/>
          <w:sz w:val="28"/>
          <w:szCs w:val="28"/>
          <w:vertAlign w:val="subscript"/>
          <w14:textFill>
            <w14:solidFill>
              <w14:schemeClr w14:val="tx1">
                <w14:lumMod w14:val="95000"/>
                <w14:lumOff w14:val="5000"/>
              </w14:schemeClr>
            </w14:solidFill>
          </w14:textFill>
        </w:rPr>
        <w:t>ij</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—污染因子i在监测断面j的标准指数；</w:t>
      </w:r>
    </w:p>
    <w:p>
      <w:pPr>
        <w:adjustRightInd w:val="0"/>
        <w:snapToGrid w:val="0"/>
        <w:spacing w:line="360" w:lineRule="auto"/>
        <w:ind w:firstLine="1120" w:firstLineChars="4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 xml:space="preserve">  C</w:t>
      </w:r>
      <w:r>
        <w:rPr>
          <w:rFonts w:ascii="Times New Roman" w:hAnsi="Times New Roman" w:eastAsia="仿宋"/>
          <w:color w:val="0D0D0D" w:themeColor="text1" w:themeTint="F2"/>
          <w:sz w:val="28"/>
          <w:szCs w:val="28"/>
          <w:vertAlign w:val="subscript"/>
          <w14:textFill>
            <w14:solidFill>
              <w14:schemeClr w14:val="tx1">
                <w14:lumMod w14:val="95000"/>
                <w14:lumOff w14:val="5000"/>
              </w14:schemeClr>
            </w14:solidFill>
          </w14:textFill>
        </w:rPr>
        <w:t>ij</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—污染因子i在监测点j的平均浓度；</w:t>
      </w:r>
    </w:p>
    <w:p>
      <w:pPr>
        <w:adjustRightInd w:val="0"/>
        <w:snapToGrid w:val="0"/>
        <w:spacing w:line="360" w:lineRule="auto"/>
        <w:ind w:firstLine="1120" w:firstLineChars="4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 xml:space="preserve">  C</w:t>
      </w:r>
      <w:r>
        <w:rPr>
          <w:rFonts w:ascii="Times New Roman" w:hAnsi="Times New Roman" w:eastAsia="仿宋"/>
          <w:color w:val="0D0D0D" w:themeColor="text1" w:themeTint="F2"/>
          <w:sz w:val="28"/>
          <w:szCs w:val="28"/>
          <w:vertAlign w:val="subscript"/>
          <w14:textFill>
            <w14:solidFill>
              <w14:schemeClr w14:val="tx1">
                <w14:lumMod w14:val="95000"/>
                <w14:lumOff w14:val="5000"/>
              </w14:schemeClr>
            </w14:solidFill>
          </w14:textFill>
        </w:rPr>
        <w:t>ni</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—污染因子i在水质标准中的限值。</w:t>
      </w:r>
    </w:p>
    <w:p>
      <w:pPr>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当某污染因子的标准指数大于1时，表明水体中该污染因子浓度已超过标准限值。标准指数越大，超过标准的程度越高，污染越严重。</w:t>
      </w:r>
    </w:p>
    <w:p>
      <w:pPr>
        <w:widowControl/>
        <w:adjustRightInd w:val="0"/>
        <w:snapToGrid w:val="0"/>
        <w:spacing w:line="360" w:lineRule="auto"/>
        <w:ind w:firstLine="420"/>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3</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营养状态评价</w:t>
      </w:r>
    </w:p>
    <w:p>
      <w:pPr>
        <w:widowControl/>
        <w:adjustRightInd w:val="0"/>
        <w:snapToGrid w:val="0"/>
        <w:spacing w:line="360" w:lineRule="auto"/>
        <w:ind w:firstLine="42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本区划通过总氮（TN）</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总磷（</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TP</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bCs/>
          <w:color w:val="0D0D0D" w:themeColor="text1" w:themeTint="F2"/>
          <w:sz w:val="28"/>
          <w:szCs w:val="28"/>
          <w14:textFill>
            <w14:solidFill>
              <w14:schemeClr w14:val="tx1">
                <w14:lumMod w14:val="95000"/>
                <w14:lumOff w14:val="5000"/>
              </w14:schemeClr>
            </w14:solidFill>
          </w14:textFill>
        </w:rPr>
        <w:t>透明度</w:t>
      </w:r>
      <w:r>
        <w:rPr>
          <w:rFonts w:hint="eastAsia" w:ascii="Times New Roman" w:hAnsi="Times New Roman" w:eastAsia="仿宋"/>
          <w:bCs/>
          <w:color w:val="0D0D0D" w:themeColor="text1" w:themeTint="F2"/>
          <w:sz w:val="28"/>
          <w:szCs w:val="28"/>
          <w14:textFill>
            <w14:solidFill>
              <w14:schemeClr w14:val="tx1">
                <w14:lumMod w14:val="95000"/>
                <w14:lumOff w14:val="5000"/>
              </w14:schemeClr>
            </w14:solidFill>
          </w14:textFill>
        </w:rPr>
        <w:t>（SD）</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bCs/>
          <w:color w:val="0D0D0D" w:themeColor="text1" w:themeTint="F2"/>
          <w:sz w:val="28"/>
          <w:szCs w:val="28"/>
          <w14:textFill>
            <w14:solidFill>
              <w14:schemeClr w14:val="tx1">
                <w14:lumMod w14:val="95000"/>
                <w14:lumOff w14:val="5000"/>
              </w14:schemeClr>
            </w14:solidFill>
          </w14:textFill>
        </w:rPr>
        <w:t>叶绿素a（Chla）、</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高</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锰</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酸盐指数</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（COD</w:t>
      </w:r>
      <w:r>
        <w:rPr>
          <w:rFonts w:ascii="Times New Roman" w:hAnsi="Times New Roman" w:eastAsia="仿宋"/>
          <w:color w:val="0D0D0D" w:themeColor="text1" w:themeTint="F2"/>
          <w:sz w:val="28"/>
          <w:szCs w:val="28"/>
          <w:vertAlign w:val="subscript"/>
          <w14:textFill>
            <w14:solidFill>
              <w14:schemeClr w14:val="tx1">
                <w14:lumMod w14:val="95000"/>
                <w14:lumOff w14:val="5000"/>
              </w14:schemeClr>
            </w14:solidFill>
          </w14:textFill>
        </w:rPr>
        <w:t>Mn</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）等</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5项指标</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综合营养状态指数，对水源地水库</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富营养</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状态进行</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评价。</w:t>
      </w:r>
    </w:p>
    <w:p>
      <w:pPr>
        <w:widowControl/>
        <w:adjustRightInd w:val="0"/>
        <w:snapToGrid w:val="0"/>
        <w:spacing w:line="360" w:lineRule="auto"/>
        <w:ind w:firstLine="42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1）综合营养状态指数</w:t>
      </w:r>
    </w:p>
    <w:p>
      <w:pPr>
        <w:widowControl/>
        <w:adjustRightInd w:val="0"/>
        <w:snapToGrid w:val="0"/>
        <w:spacing w:line="360" w:lineRule="auto"/>
        <w:ind w:firstLine="42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综合营养状态指数采用卡尔森指数方法，计算公式如下：</w:t>
      </w:r>
    </w:p>
    <w:p>
      <w:pPr>
        <w:adjustRightInd w:val="0"/>
        <w:snapToGrid w:val="0"/>
        <w:spacing w:line="360" w:lineRule="auto"/>
        <w:ind w:firstLine="560" w:firstLineChars="200"/>
        <w:jc w:val="cente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object>
          <v:shape id="_x0000_i1025" o:spt="75" type="#_x0000_t75" style="height:35.25pt;width:95.25pt;" o:ole="t" fillcolor="#FFFFFF" filled="f" o:preferrelative="t" stroked="f" coordsize="21600,21600">
            <v:path/>
            <v:fill on="f" focussize="0,0"/>
            <v:stroke on="f" joinstyle="miter"/>
            <v:imagedata r:id="rId14" o:title=""/>
            <o:lock v:ext="edit" aspectratio="t"/>
            <w10:wrap type="none"/>
            <w10:anchorlock/>
          </v:shape>
          <o:OLEObject Type="Embed" ProgID="Equation.3" ShapeID="_x0000_i1025" DrawAspect="Content" ObjectID="_1468075725" r:id="rId13">
            <o:LockedField>false</o:LockedField>
          </o:OLEObject>
        </w:object>
      </w:r>
    </w:p>
    <w:p>
      <w:pPr>
        <w:widowControl/>
        <w:adjustRightInd w:val="0"/>
        <w:snapToGrid w:val="0"/>
        <w:spacing w:line="360" w:lineRule="auto"/>
        <w:ind w:firstLine="42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式中：TLI（∑）—综合营养状态指数；</w:t>
      </w:r>
    </w:p>
    <w:p>
      <w:pPr>
        <w:widowControl/>
        <w:adjustRightInd w:val="0"/>
        <w:snapToGrid w:val="0"/>
        <w:spacing w:line="360" w:lineRule="auto"/>
        <w:ind w:firstLine="42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 xml:space="preserve">      Wj—第j种参数的营养状态指数的相关权重；</w:t>
      </w:r>
    </w:p>
    <w:p>
      <w:pPr>
        <w:widowControl/>
        <w:adjustRightInd w:val="0"/>
        <w:snapToGrid w:val="0"/>
        <w:spacing w:line="360" w:lineRule="auto"/>
        <w:ind w:firstLine="42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 xml:space="preserve">      TLI（j）—代表第j种参数的营养状态指数</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，包括总氮（TN）</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总磷（</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TP</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bCs/>
          <w:color w:val="0D0D0D" w:themeColor="text1" w:themeTint="F2"/>
          <w:sz w:val="28"/>
          <w:szCs w:val="28"/>
          <w14:textFill>
            <w14:solidFill>
              <w14:schemeClr w14:val="tx1">
                <w14:lumMod w14:val="95000"/>
                <w14:lumOff w14:val="5000"/>
              </w14:schemeClr>
            </w14:solidFill>
          </w14:textFill>
        </w:rPr>
        <w:t>透明度</w:t>
      </w:r>
      <w:r>
        <w:rPr>
          <w:rFonts w:hint="eastAsia" w:ascii="Times New Roman" w:hAnsi="Times New Roman" w:eastAsia="仿宋"/>
          <w:bCs/>
          <w:color w:val="0D0D0D" w:themeColor="text1" w:themeTint="F2"/>
          <w:sz w:val="28"/>
          <w:szCs w:val="28"/>
          <w14:textFill>
            <w14:solidFill>
              <w14:schemeClr w14:val="tx1">
                <w14:lumMod w14:val="95000"/>
                <w14:lumOff w14:val="5000"/>
              </w14:schemeClr>
            </w14:solidFill>
          </w14:textFill>
        </w:rPr>
        <w:t>（SD）</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bCs/>
          <w:color w:val="0D0D0D" w:themeColor="text1" w:themeTint="F2"/>
          <w:sz w:val="28"/>
          <w:szCs w:val="28"/>
          <w14:textFill>
            <w14:solidFill>
              <w14:schemeClr w14:val="tx1">
                <w14:lumMod w14:val="95000"/>
                <w14:lumOff w14:val="5000"/>
              </w14:schemeClr>
            </w14:solidFill>
          </w14:textFill>
        </w:rPr>
        <w:t>叶绿素a（Chla）、</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高</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锰</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酸盐指数</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（COD</w:t>
      </w:r>
      <w:r>
        <w:rPr>
          <w:rFonts w:ascii="Times New Roman" w:hAnsi="Times New Roman" w:eastAsia="仿宋"/>
          <w:color w:val="0D0D0D" w:themeColor="text1" w:themeTint="F2"/>
          <w:sz w:val="28"/>
          <w:szCs w:val="28"/>
          <w:vertAlign w:val="subscript"/>
          <w14:textFill>
            <w14:solidFill>
              <w14:schemeClr w14:val="tx1">
                <w14:lumMod w14:val="95000"/>
                <w14:lumOff w14:val="5000"/>
              </w14:schemeClr>
            </w14:solidFill>
          </w14:textFill>
        </w:rPr>
        <w:t>Mn</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）等</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5项</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参数</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widowControl/>
        <w:adjustRightInd w:val="0"/>
        <w:snapToGrid w:val="0"/>
        <w:spacing w:line="360" w:lineRule="auto"/>
        <w:ind w:firstLine="42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以</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C</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hla作为基准参数，则第j种参数的归一化的相关权重计算公式为：</w:t>
      </w:r>
    </w:p>
    <w:p>
      <w:pPr>
        <w:adjustRightInd w:val="0"/>
        <w:snapToGrid w:val="0"/>
        <w:spacing w:line="360" w:lineRule="auto"/>
        <w:ind w:firstLine="560" w:firstLineChars="200"/>
        <w:jc w:val="cente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object>
          <v:shape id="_x0000_i1026" o:spt="75" type="#_x0000_t75" style="height:51pt;width:58.5pt;" o:ole="t" fillcolor="#FFFFFF" filled="f" o:preferrelative="t" stroked="f" coordsize="21600,21600">
            <v:path/>
            <v:fill on="f" focussize="0,0"/>
            <v:stroke on="f" joinstyle="miter"/>
            <v:imagedata r:id="rId16" o:title=""/>
            <o:lock v:ext="edit" aspectratio="t"/>
            <w10:wrap type="none"/>
            <w10:anchorlock/>
          </v:shape>
          <o:OLEObject Type="Embed" ProgID="Equation.3" ShapeID="_x0000_i1026" DrawAspect="Content" ObjectID="_1468075726" r:id="rId15">
            <o:LockedField>false</o:LockedField>
          </o:OLEObject>
        </w:object>
      </w:r>
    </w:p>
    <w:p>
      <w:pPr>
        <w:widowControl/>
        <w:adjustRightInd w:val="0"/>
        <w:snapToGrid w:val="0"/>
        <w:spacing w:line="360" w:lineRule="auto"/>
        <w:ind w:firstLine="42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式中：r</w:t>
      </w:r>
      <w:r>
        <w:rPr>
          <w:rFonts w:ascii="Times New Roman" w:hAnsi="Times New Roman" w:eastAsia="仿宋"/>
          <w:color w:val="0D0D0D" w:themeColor="text1" w:themeTint="F2"/>
          <w:sz w:val="28"/>
          <w:szCs w:val="28"/>
          <w:vertAlign w:val="subscript"/>
          <w14:textFill>
            <w14:solidFill>
              <w14:schemeClr w14:val="tx1">
                <w14:lumMod w14:val="95000"/>
                <w14:lumOff w14:val="5000"/>
              </w14:schemeClr>
            </w14:solidFill>
          </w14:textFill>
        </w:rPr>
        <w:t>ij</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—第j种参数与基准参数Chla的相关系数；</w:t>
      </w:r>
    </w:p>
    <w:p>
      <w:pPr>
        <w:widowControl/>
        <w:adjustRightInd w:val="0"/>
        <w:snapToGrid w:val="0"/>
        <w:spacing w:line="360" w:lineRule="auto"/>
        <w:ind w:firstLine="42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 xml:space="preserve">      m—评价参数的个数。</w:t>
      </w:r>
    </w:p>
    <w:p>
      <w:pPr>
        <w:widowControl/>
        <w:adjustRightInd w:val="0"/>
        <w:snapToGrid w:val="0"/>
        <w:spacing w:line="360" w:lineRule="auto"/>
        <w:ind w:firstLine="42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中国湖泊（水库）Chla与其它参数之间的相关关系r</w:t>
      </w:r>
      <w:r>
        <w:rPr>
          <w:rFonts w:ascii="Times New Roman" w:hAnsi="Times New Roman" w:eastAsia="仿宋"/>
          <w:color w:val="0D0D0D" w:themeColor="text1" w:themeTint="F2"/>
          <w:sz w:val="28"/>
          <w:szCs w:val="28"/>
          <w:vertAlign w:val="subscript"/>
          <w14:textFill>
            <w14:solidFill>
              <w14:schemeClr w14:val="tx1">
                <w14:lumMod w14:val="95000"/>
                <w14:lumOff w14:val="5000"/>
              </w14:schemeClr>
            </w14:solidFill>
          </w14:textFill>
        </w:rPr>
        <w:t>ij</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及r</w:t>
      </w:r>
      <w:r>
        <w:rPr>
          <w:rFonts w:ascii="Times New Roman" w:hAnsi="Times New Roman" w:eastAsia="仿宋"/>
          <w:color w:val="0D0D0D" w:themeColor="text1" w:themeTint="F2"/>
          <w:sz w:val="28"/>
          <w:szCs w:val="28"/>
          <w:vertAlign w:val="subscript"/>
          <w14:textFill>
            <w14:solidFill>
              <w14:schemeClr w14:val="tx1">
                <w14:lumMod w14:val="95000"/>
                <w14:lumOff w14:val="5000"/>
              </w14:schemeClr>
            </w14:solidFill>
          </w14:textFill>
        </w:rPr>
        <w:t>ij</w:t>
      </w:r>
      <w:r>
        <w:rPr>
          <w:rFonts w:ascii="Times New Roman" w:hAnsi="Times New Roman" w:eastAsia="仿宋"/>
          <w:color w:val="0D0D0D" w:themeColor="text1" w:themeTint="F2"/>
          <w:sz w:val="28"/>
          <w:szCs w:val="28"/>
          <w:vertAlign w:val="superscript"/>
          <w14:textFill>
            <w14:solidFill>
              <w14:schemeClr w14:val="tx1">
                <w14:lumMod w14:val="95000"/>
                <w14:lumOff w14:val="5000"/>
              </w14:schemeClr>
            </w14:solidFill>
          </w14:textFill>
        </w:rPr>
        <w:t>2</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见</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下</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表</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jc w:val="center"/>
        <w:rPr>
          <w:rFonts w:ascii="Times New Roman" w:hAnsi="Times New Roman" w:eastAsia="仿宋" w:cs="Times New Roman"/>
          <w:b/>
          <w:color w:val="0D0D0D" w:themeColor="text1" w:themeTint="F2"/>
          <w:sz w:val="28"/>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28"/>
          <w:szCs w:val="24"/>
          <w14:textFill>
            <w14:solidFill>
              <w14:schemeClr w14:val="tx1">
                <w14:lumMod w14:val="95000"/>
                <w14:lumOff w14:val="5000"/>
              </w14:schemeClr>
            </w14:solidFill>
          </w14:textFill>
        </w:rPr>
        <w:t>表2.6-2  中国湖泊（水库）部分参数与Chla的相关关系r</w:t>
      </w:r>
      <w:r>
        <w:rPr>
          <w:rFonts w:ascii="Times New Roman" w:hAnsi="Times New Roman" w:eastAsia="仿宋" w:cs="Times New Roman"/>
          <w:b/>
          <w:color w:val="0D0D0D" w:themeColor="text1" w:themeTint="F2"/>
          <w:sz w:val="28"/>
          <w:szCs w:val="24"/>
          <w:vertAlign w:val="subscript"/>
          <w14:textFill>
            <w14:solidFill>
              <w14:schemeClr w14:val="tx1">
                <w14:lumMod w14:val="95000"/>
                <w14:lumOff w14:val="5000"/>
              </w14:schemeClr>
            </w14:solidFill>
          </w14:textFill>
        </w:rPr>
        <w:t>ij</w:t>
      </w:r>
      <w:r>
        <w:rPr>
          <w:rFonts w:ascii="Times New Roman" w:hAnsi="Times New Roman" w:eastAsia="仿宋" w:cs="Times New Roman"/>
          <w:b/>
          <w:color w:val="0D0D0D" w:themeColor="text1" w:themeTint="F2"/>
          <w:sz w:val="28"/>
          <w:szCs w:val="24"/>
          <w14:textFill>
            <w14:solidFill>
              <w14:schemeClr w14:val="tx1">
                <w14:lumMod w14:val="95000"/>
                <w14:lumOff w14:val="5000"/>
              </w14:schemeClr>
            </w14:solidFill>
          </w14:textFill>
        </w:rPr>
        <w:t>及r</w:t>
      </w:r>
      <w:r>
        <w:rPr>
          <w:rFonts w:ascii="Times New Roman" w:hAnsi="Times New Roman" w:eastAsia="仿宋" w:cs="Times New Roman"/>
          <w:b/>
          <w:color w:val="0D0D0D" w:themeColor="text1" w:themeTint="F2"/>
          <w:sz w:val="28"/>
          <w:szCs w:val="24"/>
          <w:vertAlign w:val="subscript"/>
          <w14:textFill>
            <w14:solidFill>
              <w14:schemeClr w14:val="tx1">
                <w14:lumMod w14:val="95000"/>
                <w14:lumOff w14:val="5000"/>
              </w14:schemeClr>
            </w14:solidFill>
          </w14:textFill>
        </w:rPr>
        <w:t>ij</w:t>
      </w:r>
      <w:r>
        <w:rPr>
          <w:rFonts w:ascii="Times New Roman" w:hAnsi="Times New Roman" w:eastAsia="仿宋" w:cs="Times New Roman"/>
          <w:b/>
          <w:color w:val="0D0D0D" w:themeColor="text1" w:themeTint="F2"/>
          <w:sz w:val="28"/>
          <w:szCs w:val="24"/>
          <w:vertAlign w:val="superscript"/>
          <w14:textFill>
            <w14:solidFill>
              <w14:schemeClr w14:val="tx1">
                <w14:lumMod w14:val="95000"/>
                <w14:lumOff w14:val="5000"/>
              </w14:schemeClr>
            </w14:solidFill>
          </w14:textFill>
        </w:rPr>
        <w:t>2</w:t>
      </w:r>
      <w:r>
        <w:rPr>
          <w:rFonts w:ascii="Times New Roman" w:hAnsi="Times New Roman" w:eastAsia="仿宋" w:cs="Times New Roman"/>
          <w:b/>
          <w:color w:val="0D0D0D" w:themeColor="text1" w:themeTint="F2"/>
          <w:sz w:val="28"/>
          <w:szCs w:val="24"/>
          <w14:textFill>
            <w14:solidFill>
              <w14:schemeClr w14:val="tx1">
                <w14:lumMod w14:val="95000"/>
                <w14:lumOff w14:val="5000"/>
              </w14:schemeClr>
            </w14:solidFill>
          </w14:textFill>
        </w:rPr>
        <w:t>值</w:t>
      </w:r>
    </w:p>
    <w:tbl>
      <w:tblPr>
        <w:tblStyle w:val="44"/>
        <w:tblW w:w="96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9"/>
        <w:gridCol w:w="1609"/>
        <w:gridCol w:w="1608"/>
        <w:gridCol w:w="1608"/>
        <w:gridCol w:w="1608"/>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609" w:type="dxa"/>
            <w:shd w:val="clear" w:color="auto" w:fill="D8D8D8" w:themeFill="background1" w:themeFillShade="D9"/>
            <w:vAlign w:val="center"/>
          </w:tcPr>
          <w:p>
            <w:pPr>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t>参数</w:t>
            </w:r>
          </w:p>
        </w:tc>
        <w:tc>
          <w:tcPr>
            <w:tcW w:w="1609" w:type="dxa"/>
            <w:shd w:val="clear" w:color="auto" w:fill="D8D8D8" w:themeFill="background1" w:themeFillShade="D9"/>
            <w:vAlign w:val="center"/>
          </w:tcPr>
          <w:p>
            <w:pPr>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t>Chla</w:t>
            </w:r>
          </w:p>
        </w:tc>
        <w:tc>
          <w:tcPr>
            <w:tcW w:w="1608" w:type="dxa"/>
            <w:shd w:val="clear" w:color="auto" w:fill="D8D8D8" w:themeFill="background1" w:themeFillShade="D9"/>
            <w:vAlign w:val="center"/>
          </w:tcPr>
          <w:p>
            <w:pPr>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t>TP</w:t>
            </w:r>
          </w:p>
        </w:tc>
        <w:tc>
          <w:tcPr>
            <w:tcW w:w="1608" w:type="dxa"/>
            <w:shd w:val="clear" w:color="auto" w:fill="D8D8D8" w:themeFill="background1" w:themeFillShade="D9"/>
            <w:vAlign w:val="center"/>
          </w:tcPr>
          <w:p>
            <w:pPr>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t>TN</w:t>
            </w:r>
          </w:p>
        </w:tc>
        <w:tc>
          <w:tcPr>
            <w:tcW w:w="1608" w:type="dxa"/>
            <w:shd w:val="clear" w:color="auto" w:fill="D8D8D8" w:themeFill="background1" w:themeFillShade="D9"/>
            <w:vAlign w:val="center"/>
          </w:tcPr>
          <w:p>
            <w:pPr>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t>SD</w:t>
            </w:r>
          </w:p>
        </w:tc>
        <w:tc>
          <w:tcPr>
            <w:tcW w:w="1608" w:type="dxa"/>
            <w:shd w:val="clear" w:color="auto" w:fill="D8D8D8" w:themeFill="background1" w:themeFillShade="D9"/>
            <w:vAlign w:val="center"/>
          </w:tcPr>
          <w:p>
            <w:pPr>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t>COD</w:t>
            </w:r>
            <w:r>
              <w:rPr>
                <w:rFonts w:ascii="Times New Roman" w:hAnsi="Times New Roman" w:eastAsia="仿宋"/>
                <w:b/>
                <w:color w:val="0D0D0D" w:themeColor="text1" w:themeTint="F2"/>
                <w:sz w:val="24"/>
                <w:szCs w:val="24"/>
                <w:vertAlign w:val="subscript"/>
                <w14:textFill>
                  <w14:solidFill>
                    <w14:schemeClr w14:val="tx1">
                      <w14:lumMod w14:val="95000"/>
                      <w14:lumOff w14:val="5000"/>
                    </w14:schemeClr>
                  </w14:solidFill>
                </w14:textFill>
              </w:rPr>
              <w:t>Mn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609" w:type="dxa"/>
            <w:vAlign w:val="center"/>
          </w:tcPr>
          <w:p>
            <w:pPr>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r</w:t>
            </w:r>
            <w:r>
              <w:rPr>
                <w:rFonts w:ascii="Times New Roman" w:hAnsi="Times New Roman" w:eastAsia="仿宋"/>
                <w:color w:val="0D0D0D" w:themeColor="text1" w:themeTint="F2"/>
                <w:sz w:val="24"/>
                <w:szCs w:val="24"/>
                <w:vertAlign w:val="subscript"/>
                <w14:textFill>
                  <w14:solidFill>
                    <w14:schemeClr w14:val="tx1">
                      <w14:lumMod w14:val="95000"/>
                      <w14:lumOff w14:val="5000"/>
                    </w14:schemeClr>
                  </w14:solidFill>
                </w14:textFill>
              </w:rPr>
              <w:t>ij</w:t>
            </w:r>
          </w:p>
        </w:tc>
        <w:tc>
          <w:tcPr>
            <w:tcW w:w="1609" w:type="dxa"/>
            <w:vAlign w:val="center"/>
          </w:tcPr>
          <w:p>
            <w:pPr>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1</w:t>
            </w:r>
          </w:p>
        </w:tc>
        <w:tc>
          <w:tcPr>
            <w:tcW w:w="1608" w:type="dxa"/>
            <w:vAlign w:val="center"/>
          </w:tcPr>
          <w:p>
            <w:pPr>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0.84</w:t>
            </w:r>
          </w:p>
        </w:tc>
        <w:tc>
          <w:tcPr>
            <w:tcW w:w="1608" w:type="dxa"/>
            <w:vAlign w:val="center"/>
          </w:tcPr>
          <w:p>
            <w:pPr>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0.82</w:t>
            </w:r>
          </w:p>
        </w:tc>
        <w:tc>
          <w:tcPr>
            <w:tcW w:w="1608" w:type="dxa"/>
            <w:vAlign w:val="center"/>
          </w:tcPr>
          <w:p>
            <w:pPr>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-0.83</w:t>
            </w:r>
          </w:p>
        </w:tc>
        <w:tc>
          <w:tcPr>
            <w:tcW w:w="1608" w:type="dxa"/>
            <w:vAlign w:val="center"/>
          </w:tcPr>
          <w:p>
            <w:pPr>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609" w:type="dxa"/>
            <w:vAlign w:val="center"/>
          </w:tcPr>
          <w:p>
            <w:pPr>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r</w:t>
            </w:r>
            <w:r>
              <w:rPr>
                <w:rFonts w:ascii="Times New Roman" w:hAnsi="Times New Roman" w:eastAsia="仿宋"/>
                <w:color w:val="0D0D0D" w:themeColor="text1" w:themeTint="F2"/>
                <w:sz w:val="24"/>
                <w:szCs w:val="24"/>
                <w:vertAlign w:val="subscript"/>
                <w14:textFill>
                  <w14:solidFill>
                    <w14:schemeClr w14:val="tx1">
                      <w14:lumMod w14:val="95000"/>
                      <w14:lumOff w14:val="5000"/>
                    </w14:schemeClr>
                  </w14:solidFill>
                </w14:textFill>
              </w:rPr>
              <w:t>ij</w:t>
            </w:r>
            <w:r>
              <w:rPr>
                <w:rFonts w:ascii="Times New Roman" w:hAnsi="Times New Roman" w:eastAsia="仿宋"/>
                <w:color w:val="0D0D0D" w:themeColor="text1" w:themeTint="F2"/>
                <w:sz w:val="24"/>
                <w:szCs w:val="24"/>
                <w:vertAlign w:val="superscript"/>
                <w14:textFill>
                  <w14:solidFill>
                    <w14:schemeClr w14:val="tx1">
                      <w14:lumMod w14:val="95000"/>
                      <w14:lumOff w14:val="5000"/>
                    </w14:schemeClr>
                  </w14:solidFill>
                </w14:textFill>
              </w:rPr>
              <w:t>2</w:t>
            </w:r>
          </w:p>
        </w:tc>
        <w:tc>
          <w:tcPr>
            <w:tcW w:w="1609" w:type="dxa"/>
            <w:vAlign w:val="center"/>
          </w:tcPr>
          <w:p>
            <w:pPr>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1</w:t>
            </w:r>
          </w:p>
        </w:tc>
        <w:tc>
          <w:tcPr>
            <w:tcW w:w="1608" w:type="dxa"/>
            <w:vAlign w:val="center"/>
          </w:tcPr>
          <w:p>
            <w:pPr>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0.7056</w:t>
            </w:r>
          </w:p>
        </w:tc>
        <w:tc>
          <w:tcPr>
            <w:tcW w:w="1608" w:type="dxa"/>
            <w:vAlign w:val="center"/>
          </w:tcPr>
          <w:p>
            <w:pPr>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0.6724</w:t>
            </w:r>
          </w:p>
        </w:tc>
        <w:tc>
          <w:tcPr>
            <w:tcW w:w="1608" w:type="dxa"/>
            <w:vAlign w:val="center"/>
          </w:tcPr>
          <w:p>
            <w:pPr>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0.6889</w:t>
            </w:r>
          </w:p>
        </w:tc>
        <w:tc>
          <w:tcPr>
            <w:tcW w:w="1608" w:type="dxa"/>
            <w:vAlign w:val="center"/>
          </w:tcPr>
          <w:p>
            <w:pPr>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0.6889</w:t>
            </w:r>
          </w:p>
        </w:tc>
      </w:tr>
    </w:tbl>
    <w:p>
      <w:pPr>
        <w:widowControl/>
        <w:adjustRightInd w:val="0"/>
        <w:snapToGrid w:val="0"/>
        <w:spacing w:before="156" w:beforeLines="50" w:line="360" w:lineRule="auto"/>
        <w:ind w:firstLine="42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2）单个项目营养状态指数</w:t>
      </w:r>
    </w:p>
    <w:p>
      <w:pPr>
        <w:widowControl/>
        <w:adjustRightInd w:val="0"/>
        <w:snapToGrid w:val="0"/>
        <w:spacing w:line="360" w:lineRule="auto"/>
        <w:ind w:firstLine="42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总氮（TN）</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总磷（</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TP</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bCs/>
          <w:color w:val="0D0D0D" w:themeColor="text1" w:themeTint="F2"/>
          <w:sz w:val="28"/>
          <w:szCs w:val="28"/>
          <w14:textFill>
            <w14:solidFill>
              <w14:schemeClr w14:val="tx1">
                <w14:lumMod w14:val="95000"/>
                <w14:lumOff w14:val="5000"/>
              </w14:schemeClr>
            </w14:solidFill>
          </w14:textFill>
        </w:rPr>
        <w:t>透明度</w:t>
      </w:r>
      <w:r>
        <w:rPr>
          <w:rFonts w:hint="eastAsia" w:ascii="Times New Roman" w:hAnsi="Times New Roman" w:eastAsia="仿宋"/>
          <w:bCs/>
          <w:color w:val="0D0D0D" w:themeColor="text1" w:themeTint="F2"/>
          <w:sz w:val="28"/>
          <w:szCs w:val="28"/>
          <w14:textFill>
            <w14:solidFill>
              <w14:schemeClr w14:val="tx1">
                <w14:lumMod w14:val="95000"/>
                <w14:lumOff w14:val="5000"/>
              </w14:schemeClr>
            </w14:solidFill>
          </w14:textFill>
        </w:rPr>
        <w:t>（SD）</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bCs/>
          <w:color w:val="0D0D0D" w:themeColor="text1" w:themeTint="F2"/>
          <w:sz w:val="28"/>
          <w:szCs w:val="28"/>
          <w14:textFill>
            <w14:solidFill>
              <w14:schemeClr w14:val="tx1">
                <w14:lumMod w14:val="95000"/>
                <w14:lumOff w14:val="5000"/>
              </w14:schemeClr>
            </w14:solidFill>
          </w14:textFill>
        </w:rPr>
        <w:t>叶绿素a（Chla）、</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高</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锰</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酸盐指数</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（COD</w:t>
      </w:r>
      <w:r>
        <w:rPr>
          <w:rFonts w:ascii="Times New Roman" w:hAnsi="Times New Roman" w:eastAsia="仿宋"/>
          <w:color w:val="0D0D0D" w:themeColor="text1" w:themeTint="F2"/>
          <w:sz w:val="28"/>
          <w:szCs w:val="28"/>
          <w:vertAlign w:val="subscript"/>
          <w14:textFill>
            <w14:solidFill>
              <w14:schemeClr w14:val="tx1">
                <w14:lumMod w14:val="95000"/>
                <w14:lumOff w14:val="5000"/>
              </w14:schemeClr>
            </w14:solidFill>
          </w14:textFill>
        </w:rPr>
        <w:t>Mn</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）等</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5项</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参数单项营养状态指数计算公式如下：</w:t>
      </w:r>
    </w:p>
    <w:p>
      <w:pPr>
        <w:widowControl/>
        <w:snapToGrid w:val="0"/>
        <w:spacing w:line="360" w:lineRule="auto"/>
        <w:ind w:firstLine="42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TLI（</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C</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hla）=10（2.5+1.086lnChla）</w:t>
      </w:r>
    </w:p>
    <w:p>
      <w:pPr>
        <w:widowControl/>
        <w:snapToGrid w:val="0"/>
        <w:spacing w:line="360" w:lineRule="auto"/>
        <w:ind w:firstLine="42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TLI（TP）=10（9.436+1.624lnTP）</w:t>
      </w:r>
    </w:p>
    <w:p>
      <w:pPr>
        <w:widowControl/>
        <w:snapToGrid w:val="0"/>
        <w:spacing w:line="360" w:lineRule="auto"/>
        <w:ind w:firstLine="42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TLI（TN）=10（5.453+1.694lnTN）</w:t>
      </w:r>
    </w:p>
    <w:p>
      <w:pPr>
        <w:widowControl/>
        <w:snapToGrid w:val="0"/>
        <w:spacing w:line="360" w:lineRule="auto"/>
        <w:ind w:firstLine="42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TLI（SD）=10（5.118-1.94lnSD）</w:t>
      </w:r>
    </w:p>
    <w:p>
      <w:pPr>
        <w:widowControl/>
        <w:snapToGrid w:val="0"/>
        <w:spacing w:line="360" w:lineRule="auto"/>
        <w:ind w:firstLine="42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TLI（COD</w:t>
      </w:r>
      <w:r>
        <w:rPr>
          <w:rFonts w:ascii="Times New Roman" w:hAnsi="Times New Roman" w:eastAsia="仿宋"/>
          <w:color w:val="0D0D0D" w:themeColor="text1" w:themeTint="F2"/>
          <w:sz w:val="28"/>
          <w:szCs w:val="28"/>
          <w:vertAlign w:val="subscript"/>
          <w14:textFill>
            <w14:solidFill>
              <w14:schemeClr w14:val="tx1">
                <w14:lumMod w14:val="95000"/>
                <w14:lumOff w14:val="5000"/>
              </w14:schemeClr>
            </w14:solidFill>
          </w14:textFill>
        </w:rPr>
        <w:t>Mn</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）=10（0.109+2.661lnCOD</w:t>
      </w:r>
      <w:r>
        <w:rPr>
          <w:rFonts w:ascii="Times New Roman" w:hAnsi="Times New Roman" w:eastAsia="仿宋"/>
          <w:color w:val="0D0D0D" w:themeColor="text1" w:themeTint="F2"/>
          <w:sz w:val="28"/>
          <w:szCs w:val="28"/>
          <w:vertAlign w:val="subscript"/>
          <w14:textFill>
            <w14:solidFill>
              <w14:schemeClr w14:val="tx1">
                <w14:lumMod w14:val="95000"/>
                <w14:lumOff w14:val="5000"/>
              </w14:schemeClr>
            </w14:solidFill>
          </w14:textFill>
        </w:rPr>
        <w:t>Mn</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widowControl/>
        <w:snapToGrid w:val="0"/>
        <w:spacing w:line="360" w:lineRule="auto"/>
        <w:ind w:firstLine="42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式中：Chla单位为mg/m</w:t>
      </w:r>
      <w:r>
        <w:rPr>
          <w:rFonts w:ascii="Times New Roman" w:hAnsi="Times New Roman" w:eastAsia="仿宋"/>
          <w:color w:val="0D0D0D" w:themeColor="text1" w:themeTint="F2"/>
          <w:sz w:val="28"/>
          <w:szCs w:val="28"/>
          <w:vertAlign w:val="superscript"/>
          <w14:textFill>
            <w14:solidFill>
              <w14:schemeClr w14:val="tx1">
                <w14:lumMod w14:val="95000"/>
                <w14:lumOff w14:val="5000"/>
              </w14:schemeClr>
            </w14:solidFill>
          </w14:textFill>
        </w:rPr>
        <w:t>3</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，SD单位为m；其它项目单位均为mg/L。</w:t>
      </w:r>
    </w:p>
    <w:p>
      <w:pPr>
        <w:widowControl/>
        <w:adjustRightInd w:val="0"/>
        <w:snapToGrid w:val="0"/>
        <w:spacing w:line="360" w:lineRule="auto"/>
        <w:ind w:firstLine="42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3）湖泊水库营养状态分级</w:t>
      </w:r>
    </w:p>
    <w:p>
      <w:pPr>
        <w:widowControl/>
        <w:adjustRightInd w:val="0"/>
        <w:snapToGrid w:val="0"/>
        <w:spacing w:line="360" w:lineRule="auto"/>
        <w:ind w:firstLine="42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采用0</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100的一系列连续数字对湖泊营养状态进行分级，包括：贫营养、中营养、富营养、轻度富营养、中度富营养和重度富营养，与污染程度关系如表2.6-3</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jc w:val="cente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表2.6-3  水质类别与评分值对应表</w:t>
      </w:r>
    </w:p>
    <w:tbl>
      <w:tblPr>
        <w:tblStyle w:val="44"/>
        <w:tblW w:w="9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90"/>
        <w:gridCol w:w="3289"/>
        <w:gridCol w:w="3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3290" w:type="dxa"/>
            <w:shd w:val="clear" w:color="auto" w:fill="D8D8D8" w:themeFill="background1" w:themeFillShade="D9"/>
            <w:vAlign w:val="center"/>
          </w:tcPr>
          <w:p>
            <w:pPr>
              <w:spacing w:line="380" w:lineRule="exact"/>
              <w:ind w:firstLine="482" w:firstLineChars="20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t>营养状态分级</w:t>
            </w:r>
          </w:p>
        </w:tc>
        <w:tc>
          <w:tcPr>
            <w:tcW w:w="3289" w:type="dxa"/>
            <w:shd w:val="clear" w:color="auto" w:fill="D8D8D8" w:themeFill="background1" w:themeFillShade="D9"/>
            <w:vAlign w:val="center"/>
          </w:tcPr>
          <w:p>
            <w:pPr>
              <w:spacing w:line="380" w:lineRule="exact"/>
              <w:ind w:firstLine="482" w:firstLineChars="20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t>评分值TLI（∑）</w:t>
            </w:r>
          </w:p>
        </w:tc>
        <w:tc>
          <w:tcPr>
            <w:tcW w:w="3071" w:type="dxa"/>
            <w:shd w:val="clear" w:color="auto" w:fill="D8D8D8" w:themeFill="background1" w:themeFillShade="D9"/>
            <w:vAlign w:val="center"/>
          </w:tcPr>
          <w:p>
            <w:pPr>
              <w:spacing w:line="380" w:lineRule="exact"/>
              <w:ind w:firstLine="482" w:firstLineChars="20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t>定性评价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3290" w:type="dxa"/>
            <w:vAlign w:val="center"/>
          </w:tcPr>
          <w:p>
            <w:pPr>
              <w:spacing w:line="380" w:lineRule="exact"/>
              <w:ind w:firstLine="480" w:firstLineChars="20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贫营养</w:t>
            </w:r>
          </w:p>
        </w:tc>
        <w:tc>
          <w:tcPr>
            <w:tcW w:w="3289" w:type="dxa"/>
            <w:vAlign w:val="center"/>
          </w:tcPr>
          <w:p>
            <w:pPr>
              <w:spacing w:line="380" w:lineRule="exact"/>
              <w:ind w:firstLine="480" w:firstLineChars="20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0＜TLI（∑）≤30</w:t>
            </w:r>
          </w:p>
        </w:tc>
        <w:tc>
          <w:tcPr>
            <w:tcW w:w="3071" w:type="dxa"/>
            <w:vAlign w:val="center"/>
          </w:tcPr>
          <w:p>
            <w:pPr>
              <w:spacing w:line="380" w:lineRule="exact"/>
              <w:ind w:firstLine="480" w:firstLineChars="20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3290" w:type="dxa"/>
            <w:vAlign w:val="center"/>
          </w:tcPr>
          <w:p>
            <w:pPr>
              <w:spacing w:line="380" w:lineRule="exact"/>
              <w:ind w:firstLine="480" w:firstLineChars="20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中营养</w:t>
            </w:r>
          </w:p>
        </w:tc>
        <w:tc>
          <w:tcPr>
            <w:tcW w:w="3289" w:type="dxa"/>
            <w:vAlign w:val="center"/>
          </w:tcPr>
          <w:p>
            <w:pPr>
              <w:spacing w:line="380" w:lineRule="exact"/>
              <w:ind w:firstLine="480" w:firstLineChars="20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30＜TLI（∑）≤50</w:t>
            </w:r>
          </w:p>
        </w:tc>
        <w:tc>
          <w:tcPr>
            <w:tcW w:w="3071" w:type="dxa"/>
            <w:vAlign w:val="center"/>
          </w:tcPr>
          <w:p>
            <w:pPr>
              <w:spacing w:line="380" w:lineRule="exact"/>
              <w:ind w:firstLine="480" w:firstLineChars="20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3290" w:type="dxa"/>
            <w:vAlign w:val="center"/>
          </w:tcPr>
          <w:p>
            <w:pPr>
              <w:spacing w:line="380" w:lineRule="exact"/>
              <w:ind w:firstLine="480" w:firstLineChars="20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轻度富营养</w:t>
            </w:r>
          </w:p>
        </w:tc>
        <w:tc>
          <w:tcPr>
            <w:tcW w:w="3289" w:type="dxa"/>
            <w:vAlign w:val="center"/>
          </w:tcPr>
          <w:p>
            <w:pPr>
              <w:spacing w:line="380" w:lineRule="exact"/>
              <w:ind w:firstLine="480" w:firstLineChars="20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50＜TLI（∑）≤60</w:t>
            </w:r>
          </w:p>
        </w:tc>
        <w:tc>
          <w:tcPr>
            <w:tcW w:w="3071" w:type="dxa"/>
            <w:vAlign w:val="center"/>
          </w:tcPr>
          <w:p>
            <w:pPr>
              <w:spacing w:line="380" w:lineRule="exact"/>
              <w:ind w:firstLine="480" w:firstLineChars="20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轻度污染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3290" w:type="dxa"/>
            <w:vAlign w:val="center"/>
          </w:tcPr>
          <w:p>
            <w:pPr>
              <w:widowControl/>
              <w:spacing w:line="360" w:lineRule="exact"/>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中度富营养</w:t>
            </w:r>
          </w:p>
        </w:tc>
        <w:tc>
          <w:tcPr>
            <w:tcW w:w="3289" w:type="dxa"/>
            <w:vAlign w:val="center"/>
          </w:tcPr>
          <w:p>
            <w:pPr>
              <w:spacing w:line="380" w:lineRule="exact"/>
              <w:ind w:firstLine="480" w:firstLineChars="20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60＜TLI（∑）≤70</w:t>
            </w:r>
          </w:p>
        </w:tc>
        <w:tc>
          <w:tcPr>
            <w:tcW w:w="3071" w:type="dxa"/>
            <w:vAlign w:val="center"/>
          </w:tcPr>
          <w:p>
            <w:pPr>
              <w:spacing w:line="380" w:lineRule="exact"/>
              <w:ind w:firstLine="480" w:firstLineChars="20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中度污染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3290" w:type="dxa"/>
            <w:vAlign w:val="center"/>
          </w:tcPr>
          <w:p>
            <w:pPr>
              <w:spacing w:line="380" w:lineRule="exact"/>
              <w:ind w:firstLine="480" w:firstLineChars="20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重度富营养</w:t>
            </w:r>
          </w:p>
        </w:tc>
        <w:tc>
          <w:tcPr>
            <w:tcW w:w="3289" w:type="dxa"/>
            <w:vAlign w:val="center"/>
          </w:tcPr>
          <w:p>
            <w:pPr>
              <w:spacing w:line="380" w:lineRule="exact"/>
              <w:ind w:firstLine="480" w:firstLineChars="20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70＜TLI（∑）≤100</w:t>
            </w:r>
          </w:p>
        </w:tc>
        <w:tc>
          <w:tcPr>
            <w:tcW w:w="3071" w:type="dxa"/>
            <w:vAlign w:val="center"/>
          </w:tcPr>
          <w:p>
            <w:pPr>
              <w:spacing w:line="380" w:lineRule="exact"/>
              <w:ind w:firstLine="480" w:firstLineChars="20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重度污染</w:t>
            </w:r>
          </w:p>
        </w:tc>
      </w:tr>
    </w:tbl>
    <w:p>
      <w:pPr>
        <w:widowControl/>
        <w:spacing w:line="360" w:lineRule="auto"/>
        <w:ind w:firstLine="562" w:firstLineChars="200"/>
        <w:rPr>
          <w:rFonts w:ascii="Times New Roman" w:hAnsi="Times New Roman" w:eastAsia="仿宋"/>
          <w:b/>
          <w:bCs/>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b/>
          <w:bCs/>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b/>
          <w:bCs/>
          <w:color w:val="0D0D0D" w:themeColor="text1" w:themeTint="F2"/>
          <w:sz w:val="28"/>
          <w:szCs w:val="28"/>
          <w14:textFill>
            <w14:solidFill>
              <w14:schemeClr w14:val="tx1">
                <w14:lumMod w14:val="95000"/>
                <w14:lumOff w14:val="5000"/>
              </w14:schemeClr>
            </w14:solidFill>
          </w14:textFill>
        </w:rPr>
        <w:t>4</w:t>
      </w:r>
      <w:r>
        <w:rPr>
          <w:rFonts w:hint="eastAsia" w:ascii="Times New Roman" w:hAnsi="Times New Roman" w:eastAsia="仿宋"/>
          <w:b/>
          <w:bCs/>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b/>
          <w:bCs/>
          <w:color w:val="0D0D0D" w:themeColor="text1" w:themeTint="F2"/>
          <w:sz w:val="28"/>
          <w:szCs w:val="28"/>
          <w14:textFill>
            <w14:solidFill>
              <w14:schemeClr w14:val="tx1">
                <w14:lumMod w14:val="95000"/>
                <w14:lumOff w14:val="5000"/>
              </w14:schemeClr>
            </w14:solidFill>
          </w14:textFill>
        </w:rPr>
        <w:t>主要污染</w:t>
      </w:r>
      <w:r>
        <w:rPr>
          <w:rFonts w:hint="eastAsia" w:ascii="Times New Roman" w:hAnsi="Times New Roman" w:eastAsia="仿宋"/>
          <w:b/>
          <w:bCs/>
          <w:color w:val="0D0D0D" w:themeColor="text1" w:themeTint="F2"/>
          <w:sz w:val="28"/>
          <w:szCs w:val="28"/>
          <w14:textFill>
            <w14:solidFill>
              <w14:schemeClr w14:val="tx1">
                <w14:lumMod w14:val="95000"/>
                <w14:lumOff w14:val="5000"/>
              </w14:schemeClr>
            </w14:solidFill>
          </w14:textFill>
        </w:rPr>
        <w:t>因子筛选</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将</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监测</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点水质超过</w:t>
      </w:r>
      <w:r>
        <w:rPr>
          <w:rFonts w:ascii="Times New Roman" w:hAnsi="Times New Roman" w:eastAsia="宋体" w:cs="Times New Roman"/>
          <w:color w:val="0D0D0D" w:themeColor="text1" w:themeTint="F2"/>
          <w:sz w:val="28"/>
          <w:szCs w:val="28"/>
          <w14:textFill>
            <w14:solidFill>
              <w14:schemeClr w14:val="tx1">
                <w14:lumMod w14:val="95000"/>
                <w14:lumOff w14:val="5000"/>
              </w14:schemeClr>
            </w14:solidFill>
          </w14:textFill>
        </w:rPr>
        <w:fldChar w:fldCharType="begin"/>
      </w:r>
      <w:r>
        <w:rPr>
          <w:rFonts w:ascii="Times New Roman" w:hAnsi="Times New Roman" w:eastAsia="宋体" w:cs="Times New Roman"/>
          <w:color w:val="0D0D0D" w:themeColor="text1" w:themeTint="F2"/>
          <w:sz w:val="28"/>
          <w:szCs w:val="28"/>
          <w14:textFill>
            <w14:solidFill>
              <w14:schemeClr w14:val="tx1">
                <w14:lumMod w14:val="95000"/>
                <w14:lumOff w14:val="5000"/>
              </w14:schemeClr>
            </w14:solidFill>
          </w14:textFill>
        </w:rPr>
        <w:instrText xml:space="preserve"> = 3 \* ROMAN </w:instrText>
      </w:r>
      <w:r>
        <w:rPr>
          <w:rFonts w:ascii="Times New Roman" w:hAnsi="Times New Roman" w:eastAsia="宋体" w:cs="Times New Roman"/>
          <w:color w:val="0D0D0D" w:themeColor="text1" w:themeTint="F2"/>
          <w:sz w:val="28"/>
          <w:szCs w:val="28"/>
          <w14:textFill>
            <w14:solidFill>
              <w14:schemeClr w14:val="tx1">
                <w14:lumMod w14:val="95000"/>
                <w14:lumOff w14:val="5000"/>
              </w14:schemeClr>
            </w14:solidFill>
          </w14:textFill>
        </w:rPr>
        <w:fldChar w:fldCharType="separate"/>
      </w:r>
      <w:r>
        <w:rPr>
          <w:rFonts w:ascii="Times New Roman" w:hAnsi="Times New Roman" w:eastAsia="宋体" w:cs="Times New Roman"/>
          <w:color w:val="0D0D0D" w:themeColor="text1" w:themeTint="F2"/>
          <w:sz w:val="28"/>
          <w:szCs w:val="28"/>
          <w14:textFill>
            <w14:solidFill>
              <w14:schemeClr w14:val="tx1">
                <w14:lumMod w14:val="95000"/>
                <w14:lumOff w14:val="5000"/>
              </w14:schemeClr>
            </w14:solidFill>
          </w14:textFill>
        </w:rPr>
        <w:t>III</w:t>
      </w:r>
      <w:r>
        <w:rPr>
          <w:rFonts w:ascii="Times New Roman" w:hAnsi="Times New Roman" w:eastAsia="宋体" w:cs="Times New Roman"/>
          <w:color w:val="0D0D0D" w:themeColor="text1" w:themeTint="F2"/>
          <w:sz w:val="28"/>
          <w:szCs w:val="28"/>
          <w14:textFill>
            <w14:solidFill>
              <w14:schemeClr w14:val="tx1">
                <w14:lumMod w14:val="95000"/>
                <w14:lumOff w14:val="5000"/>
              </w14:schemeClr>
            </w14:solidFill>
          </w14:textFill>
        </w:rPr>
        <w:fldChar w:fldCharType="end"/>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类标准的项目</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全部作为</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主要污染项目（pH、溶解氧不参与计算）。</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对单因子评价结果进行排序，对于</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标准指数</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位于前3位的污染因子，或标准指数大于0</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.8</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的污染因子，均列为主要污染项目；对标准指数大于0</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.6</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，小于0</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.8</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的污染因子列为潜在污染项目。</w:t>
      </w:r>
    </w:p>
    <w:p>
      <w:pPr>
        <w:pStyle w:val="4"/>
        <w:spacing w:before="0" w:after="0" w:line="415" w:lineRule="auto"/>
        <w:rPr>
          <w:color w:val="0D0D0D" w:themeColor="text1" w:themeTint="F2"/>
          <w:sz w:val="28"/>
          <w:szCs w:val="28"/>
          <w14:textFill>
            <w14:solidFill>
              <w14:schemeClr w14:val="tx1">
                <w14:lumMod w14:val="95000"/>
                <w14:lumOff w14:val="5000"/>
              </w14:schemeClr>
            </w14:solidFill>
          </w14:textFill>
        </w:rPr>
      </w:pPr>
      <w:bookmarkStart w:id="68" w:name="_Toc27063966"/>
      <w:bookmarkStart w:id="69" w:name="_Toc27522195"/>
      <w:r>
        <w:rPr>
          <w:color w:val="0D0D0D" w:themeColor="text1" w:themeTint="F2"/>
          <w:sz w:val="28"/>
          <w:szCs w:val="28"/>
          <w14:textFill>
            <w14:solidFill>
              <w14:schemeClr w14:val="tx1">
                <w14:lumMod w14:val="95000"/>
                <w14:lumOff w14:val="5000"/>
              </w14:schemeClr>
            </w14:solidFill>
          </w14:textFill>
        </w:rPr>
        <w:t>2.</w:t>
      </w:r>
      <w:r>
        <w:rPr>
          <w:rFonts w:hint="eastAsia"/>
          <w:color w:val="0D0D0D" w:themeColor="text1" w:themeTint="F2"/>
          <w:sz w:val="28"/>
          <w:szCs w:val="28"/>
          <w14:textFill>
            <w14:solidFill>
              <w14:schemeClr w14:val="tx1">
                <w14:lumMod w14:val="95000"/>
                <w14:lumOff w14:val="5000"/>
              </w14:schemeClr>
            </w14:solidFill>
          </w14:textFill>
        </w:rPr>
        <w:t>6</w:t>
      </w:r>
      <w:r>
        <w:rPr>
          <w:color w:val="0D0D0D" w:themeColor="text1" w:themeTint="F2"/>
          <w:sz w:val="28"/>
          <w:szCs w:val="28"/>
          <w14:textFill>
            <w14:solidFill>
              <w14:schemeClr w14:val="tx1">
                <w14:lumMod w14:val="95000"/>
                <w14:lumOff w14:val="5000"/>
              </w14:schemeClr>
            </w14:solidFill>
          </w14:textFill>
        </w:rPr>
        <w:t>.</w:t>
      </w:r>
      <w:r>
        <w:rPr>
          <w:rFonts w:hint="eastAsia"/>
          <w:color w:val="0D0D0D" w:themeColor="text1" w:themeTint="F2"/>
          <w:sz w:val="28"/>
          <w:szCs w:val="28"/>
          <w14:textFill>
            <w14:solidFill>
              <w14:schemeClr w14:val="tx1">
                <w14:lumMod w14:val="95000"/>
                <w14:lumOff w14:val="5000"/>
              </w14:schemeClr>
            </w14:solidFill>
          </w14:textFill>
        </w:rPr>
        <w:t>3</w:t>
      </w:r>
      <w:r>
        <w:rPr>
          <w:color w:val="0D0D0D" w:themeColor="text1" w:themeTint="F2"/>
          <w:sz w:val="28"/>
          <w:szCs w:val="28"/>
          <w14:textFill>
            <w14:solidFill>
              <w14:schemeClr w14:val="tx1">
                <w14:lumMod w14:val="95000"/>
                <w14:lumOff w14:val="5000"/>
              </w14:schemeClr>
            </w14:solidFill>
          </w14:textFill>
        </w:rPr>
        <w:t xml:space="preserve"> </w:t>
      </w:r>
      <w:r>
        <w:rPr>
          <w:rFonts w:hint="eastAsia"/>
          <w:color w:val="0D0D0D" w:themeColor="text1" w:themeTint="F2"/>
          <w:sz w:val="28"/>
          <w:szCs w:val="28"/>
          <w14:textFill>
            <w14:solidFill>
              <w14:schemeClr w14:val="tx1">
                <w14:lumMod w14:val="95000"/>
                <w14:lumOff w14:val="5000"/>
              </w14:schemeClr>
            </w14:solidFill>
          </w14:textFill>
        </w:rPr>
        <w:t>水质</w:t>
      </w:r>
      <w:r>
        <w:rPr>
          <w:color w:val="0D0D0D" w:themeColor="text1" w:themeTint="F2"/>
          <w:sz w:val="28"/>
          <w:szCs w:val="28"/>
          <w14:textFill>
            <w14:solidFill>
              <w14:schemeClr w14:val="tx1">
                <w14:lumMod w14:val="95000"/>
                <w14:lumOff w14:val="5000"/>
              </w14:schemeClr>
            </w14:solidFill>
          </w14:textFill>
        </w:rPr>
        <w:t>评价结果</w:t>
      </w:r>
      <w:bookmarkEnd w:id="68"/>
      <w:bookmarkEnd w:id="69"/>
    </w:p>
    <w:p>
      <w:pPr>
        <w:pStyle w:val="5"/>
        <w:spacing w:line="377" w:lineRule="auto"/>
        <w:ind w:firstLine="281" w:firstLineChars="100"/>
        <w:rPr>
          <w:color w:val="0D0D0D" w:themeColor="text1" w:themeTint="F2"/>
          <w:sz w:val="28"/>
          <w14:textFill>
            <w14:solidFill>
              <w14:schemeClr w14:val="tx1">
                <w14:lumMod w14:val="95000"/>
                <w14:lumOff w14:val="5000"/>
              </w14:schemeClr>
            </w14:solidFill>
          </w14:textFill>
        </w:rPr>
      </w:pPr>
      <w:r>
        <w:rPr>
          <w:color w:val="0D0D0D" w:themeColor="text1" w:themeTint="F2"/>
          <w:sz w:val="28"/>
          <w14:textFill>
            <w14:solidFill>
              <w14:schemeClr w14:val="tx1">
                <w14:lumMod w14:val="95000"/>
                <w14:lumOff w14:val="5000"/>
              </w14:schemeClr>
            </w14:solidFill>
          </w14:textFill>
        </w:rPr>
        <w:t>2.</w:t>
      </w:r>
      <w:r>
        <w:rPr>
          <w:rFonts w:hint="eastAsia"/>
          <w:color w:val="0D0D0D" w:themeColor="text1" w:themeTint="F2"/>
          <w:sz w:val="28"/>
          <w14:textFill>
            <w14:solidFill>
              <w14:schemeClr w14:val="tx1">
                <w14:lumMod w14:val="95000"/>
                <w14:lumOff w14:val="5000"/>
              </w14:schemeClr>
            </w14:solidFill>
          </w14:textFill>
        </w:rPr>
        <w:t>6</w:t>
      </w:r>
      <w:r>
        <w:rPr>
          <w:color w:val="0D0D0D" w:themeColor="text1" w:themeTint="F2"/>
          <w:sz w:val="28"/>
          <w14:textFill>
            <w14:solidFill>
              <w14:schemeClr w14:val="tx1">
                <w14:lumMod w14:val="95000"/>
                <w14:lumOff w14:val="5000"/>
              </w14:schemeClr>
            </w14:solidFill>
          </w14:textFill>
        </w:rPr>
        <w:t>.</w:t>
      </w:r>
      <w:r>
        <w:rPr>
          <w:rFonts w:hint="eastAsia"/>
          <w:color w:val="0D0D0D" w:themeColor="text1" w:themeTint="F2"/>
          <w:sz w:val="28"/>
          <w14:textFill>
            <w14:solidFill>
              <w14:schemeClr w14:val="tx1">
                <w14:lumMod w14:val="95000"/>
                <w14:lumOff w14:val="5000"/>
              </w14:schemeClr>
            </w14:solidFill>
          </w14:textFill>
        </w:rPr>
        <w:t>3</w:t>
      </w:r>
      <w:r>
        <w:rPr>
          <w:color w:val="0D0D0D" w:themeColor="text1" w:themeTint="F2"/>
          <w:sz w:val="28"/>
          <w14:textFill>
            <w14:solidFill>
              <w14:schemeClr w14:val="tx1">
                <w14:lumMod w14:val="95000"/>
                <w14:lumOff w14:val="5000"/>
              </w14:schemeClr>
            </w14:solidFill>
          </w14:textFill>
        </w:rPr>
        <w:t>.1 水质</w:t>
      </w:r>
      <w:r>
        <w:rPr>
          <w:rFonts w:hint="eastAsia"/>
          <w:color w:val="0D0D0D" w:themeColor="text1" w:themeTint="F2"/>
          <w:sz w:val="28"/>
          <w14:textFill>
            <w14:solidFill>
              <w14:schemeClr w14:val="tx1">
                <w14:lumMod w14:val="95000"/>
                <w14:lumOff w14:val="5000"/>
              </w14:schemeClr>
            </w14:solidFill>
          </w14:textFill>
        </w:rPr>
        <w:t>功能类别</w:t>
      </w:r>
      <w:r>
        <w:rPr>
          <w:color w:val="0D0D0D" w:themeColor="text1" w:themeTint="F2"/>
          <w:sz w:val="28"/>
          <w14:textFill>
            <w14:solidFill>
              <w14:schemeClr w14:val="tx1">
                <w14:lumMod w14:val="95000"/>
                <w14:lumOff w14:val="5000"/>
              </w14:schemeClr>
            </w14:solidFill>
          </w14:textFill>
        </w:rPr>
        <w:t>现状</w:t>
      </w:r>
    </w:p>
    <w:p>
      <w:pPr>
        <w:adjustRightInd w:val="0"/>
        <w:snapToGrid w:val="0"/>
        <w:spacing w:line="360" w:lineRule="auto"/>
        <w:ind w:firstLine="562" w:firstLineChars="200"/>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（1）</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基本项目评价</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结果</w:t>
      </w:r>
    </w:p>
    <w:p>
      <w:pPr>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富村镇亦佐水库2</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01</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9年1</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1</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月</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1</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次监测结果统计如下。对照</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《地表水环境质量标准》</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GB3838-2002</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）表1中的标准限值，富村镇亦佐水库所有监测项目均能满足</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fldChar w:fldCharType="begin"/>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instrText xml:space="preserve"> </w:instrTex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instrText xml:space="preserve">= 3 \* ROMAN</w:instrTex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instrText xml:space="preserve"> </w:instrTex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fldChar w:fldCharType="separate"/>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III</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fldChar w:fldCharType="end"/>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类</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水质标准限值</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要求</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（水温和pH值不参与水质功能类别评价）。</w:t>
      </w:r>
    </w:p>
    <w:p>
      <w:pPr>
        <w:adjustRightInd w:val="0"/>
        <w:snapToGrid w:val="0"/>
        <w:spacing w:line="360" w:lineRule="auto"/>
        <w:jc w:val="cente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sectPr>
          <w:footerReference r:id="rId8" w:type="default"/>
          <w:pgSz w:w="11906" w:h="16838"/>
          <w:pgMar w:top="1440" w:right="1236" w:bottom="1440" w:left="1236" w:header="851" w:footer="992" w:gutter="0"/>
          <w:pgNumType w:fmt="numberInDash"/>
          <w:cols w:space="0" w:num="1"/>
          <w:docGrid w:type="lines" w:linePitch="312" w:charSpace="0"/>
        </w:sectPr>
      </w:pPr>
    </w:p>
    <w:p>
      <w:pPr>
        <w:adjustRightInd w:val="0"/>
        <w:snapToGrid w:val="0"/>
        <w:spacing w:line="360" w:lineRule="auto"/>
        <w:jc w:val="cente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表2.</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6</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 xml:space="preserve">-4 </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亦</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佐水库</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2019年常规监测基本项目</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水质所达功能评价表</w:t>
      </w:r>
    </w:p>
    <w:tbl>
      <w:tblPr>
        <w:tblStyle w:val="44"/>
        <w:tblW w:w="96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6"/>
        <w:gridCol w:w="4597"/>
        <w:gridCol w:w="1968"/>
        <w:gridCol w:w="1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blHeader/>
          <w:jc w:val="center"/>
        </w:trPr>
        <w:tc>
          <w:tcPr>
            <w:tcW w:w="1136" w:type="dxa"/>
            <w:vMerge w:val="restart"/>
            <w:shd w:val="clear" w:color="auto" w:fill="D8D8D8" w:themeFill="background1" w:themeFillShade="D9"/>
            <w:noWrap/>
            <w:vAlign w:val="center"/>
          </w:tcPr>
          <w:p>
            <w:pPr>
              <w:widowControl/>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序号</w:t>
            </w:r>
          </w:p>
        </w:tc>
        <w:tc>
          <w:tcPr>
            <w:tcW w:w="4597" w:type="dxa"/>
            <w:vMerge w:val="restart"/>
            <w:shd w:val="clear" w:color="auto" w:fill="D8D8D8" w:themeFill="background1" w:themeFillShade="D9"/>
            <w:noWrap/>
            <w:vAlign w:val="center"/>
          </w:tcPr>
          <w:p>
            <w:pPr>
              <w:widowControl/>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监测因子</w:t>
            </w:r>
          </w:p>
        </w:tc>
        <w:tc>
          <w:tcPr>
            <w:tcW w:w="3917" w:type="dxa"/>
            <w:gridSpan w:val="2"/>
            <w:shd w:val="clear" w:color="auto" w:fill="D8D8D8" w:themeFill="background1" w:themeFillShade="D9"/>
            <w:noWrap/>
            <w:vAlign w:val="center"/>
          </w:tcPr>
          <w:p>
            <w:pPr>
              <w:widowControl/>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2</w:t>
            </w:r>
            <w: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019</w:t>
            </w:r>
            <w:r>
              <w:rPr>
                <w:rFonts w:hint="eastAsia"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blHeader/>
          <w:jc w:val="center"/>
        </w:trPr>
        <w:tc>
          <w:tcPr>
            <w:tcW w:w="1136" w:type="dxa"/>
            <w:vMerge w:val="continue"/>
            <w:shd w:val="clear" w:color="auto" w:fill="D8D8D8" w:themeFill="background1" w:themeFillShade="D9"/>
            <w:noWrap/>
            <w:vAlign w:val="center"/>
          </w:tcPr>
          <w:p>
            <w:pPr>
              <w:widowControl/>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p>
        </w:tc>
        <w:tc>
          <w:tcPr>
            <w:tcW w:w="4597" w:type="dxa"/>
            <w:vMerge w:val="continue"/>
            <w:shd w:val="clear" w:color="auto" w:fill="D8D8D8" w:themeFill="background1" w:themeFillShade="D9"/>
            <w:noWrap/>
            <w:vAlign w:val="center"/>
          </w:tcPr>
          <w:p>
            <w:pPr>
              <w:widowControl/>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p>
        </w:tc>
        <w:tc>
          <w:tcPr>
            <w:tcW w:w="1968" w:type="dxa"/>
            <w:shd w:val="clear" w:color="auto" w:fill="D8D8D8" w:themeFill="background1" w:themeFillShade="D9"/>
            <w:noWrap/>
            <w:vAlign w:val="center"/>
          </w:tcPr>
          <w:p>
            <w:pPr>
              <w:widowControl/>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监测值（mg/L）</w:t>
            </w:r>
          </w:p>
        </w:tc>
        <w:tc>
          <w:tcPr>
            <w:tcW w:w="1949" w:type="dxa"/>
            <w:shd w:val="clear" w:color="auto" w:fill="D8D8D8" w:themeFill="background1" w:themeFillShade="D9"/>
            <w:vAlign w:val="center"/>
          </w:tcPr>
          <w:p>
            <w:pPr>
              <w:widowControl/>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36"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1</w:t>
            </w:r>
          </w:p>
        </w:tc>
        <w:tc>
          <w:tcPr>
            <w:tcW w:w="4597"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水温（</w:t>
            </w:r>
            <w:r>
              <w:rPr>
                <w:rFonts w:hint="eastAsia" w:ascii="宋体" w:hAnsi="宋体" w:eastAsia="宋体" w:cs="宋体"/>
                <w:color w:val="0D0D0D" w:themeColor="text1" w:themeTint="F2"/>
                <w:kern w:val="0"/>
                <w:sz w:val="24"/>
                <w:szCs w:val="24"/>
                <w:lang w:bidi="ar"/>
                <w14:textFill>
                  <w14:solidFill>
                    <w14:schemeClr w14:val="tx1">
                      <w14:lumMod w14:val="95000"/>
                      <w14:lumOff w14:val="5000"/>
                    </w14:schemeClr>
                  </w14:solidFill>
                </w14:textFill>
              </w:rPr>
              <w:t>℃</w:t>
            </w: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15.2</w:t>
            </w:r>
          </w:p>
        </w:tc>
        <w:tc>
          <w:tcPr>
            <w:tcW w:w="1949" w:type="dxa"/>
            <w:vAlign w:val="bottom"/>
          </w:tcPr>
          <w:p>
            <w:pPr>
              <w:widowControl/>
              <w:jc w:val="center"/>
              <w:textAlignment w:val="cente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s="Times New Roman"/>
                <w:color w:val="0D0D0D" w:themeColor="text1" w:themeTint="F2"/>
                <w:sz w:val="24"/>
                <w:szCs w:val="24"/>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36"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2</w:t>
            </w:r>
          </w:p>
        </w:tc>
        <w:tc>
          <w:tcPr>
            <w:tcW w:w="4597"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lang w:bidi="ar"/>
                <w14:textFill>
                  <w14:solidFill>
                    <w14:schemeClr w14:val="tx1">
                      <w14:lumMod w14:val="95000"/>
                      <w14:lumOff w14:val="5000"/>
                    </w14:schemeClr>
                  </w14:solidFill>
                </w14:textFill>
              </w:rPr>
              <w:t>pH</w:t>
            </w: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值（无量纲）</w:t>
            </w:r>
          </w:p>
        </w:tc>
        <w:tc>
          <w:tcPr>
            <w:tcW w:w="1968" w:type="dxa"/>
            <w:tcBorders>
              <w:top w:val="nil"/>
              <w:left w:val="single" w:color="auto" w:sz="4" w:space="0"/>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8.23</w:t>
            </w:r>
          </w:p>
        </w:tc>
        <w:tc>
          <w:tcPr>
            <w:tcW w:w="1949" w:type="dxa"/>
            <w:shd w:val="clear" w:color="auto" w:fill="auto"/>
            <w:vAlign w:val="bottom"/>
          </w:tcPr>
          <w:p>
            <w:pPr>
              <w:widowControl/>
              <w:jc w:val="center"/>
              <w:textAlignment w:val="cente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s="Times New Roman"/>
                <w:color w:val="0D0D0D" w:themeColor="text1" w:themeTint="F2"/>
                <w:sz w:val="24"/>
                <w:szCs w:val="24"/>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36"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3</w:t>
            </w:r>
          </w:p>
        </w:tc>
        <w:tc>
          <w:tcPr>
            <w:tcW w:w="4597"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溶解氧</w:t>
            </w:r>
          </w:p>
        </w:tc>
        <w:tc>
          <w:tcPr>
            <w:tcW w:w="1968" w:type="dxa"/>
            <w:tcBorders>
              <w:top w:val="nil"/>
              <w:left w:val="single" w:color="auto" w:sz="4" w:space="0"/>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7.1</w:t>
            </w:r>
          </w:p>
        </w:tc>
        <w:tc>
          <w:tcPr>
            <w:tcW w:w="194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2"/>
                <w14:textFill>
                  <w14:solidFill>
                    <w14:schemeClr w14:val="tx1">
                      <w14:lumMod w14:val="95000"/>
                      <w14:lumOff w14:val="5000"/>
                    </w14:schemeClr>
                  </w14:solidFill>
                </w14:textFill>
              </w:rPr>
              <w:t>Ⅱ类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36"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4</w:t>
            </w:r>
          </w:p>
        </w:tc>
        <w:tc>
          <w:tcPr>
            <w:tcW w:w="4597"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高锰酸盐指数</w:t>
            </w:r>
          </w:p>
        </w:tc>
        <w:tc>
          <w:tcPr>
            <w:tcW w:w="1968" w:type="dxa"/>
            <w:tcBorders>
              <w:top w:val="nil"/>
              <w:left w:val="single" w:color="auto" w:sz="4" w:space="0"/>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2</w:t>
            </w:r>
          </w:p>
        </w:tc>
        <w:tc>
          <w:tcPr>
            <w:tcW w:w="1949"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2"/>
                <w14:textFill>
                  <w14:solidFill>
                    <w14:schemeClr w14:val="tx1">
                      <w14:lumMod w14:val="95000"/>
                      <w14:lumOff w14:val="5000"/>
                    </w14:schemeClr>
                  </w14:solidFill>
                </w14:textFill>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36"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5</w:t>
            </w:r>
          </w:p>
        </w:tc>
        <w:tc>
          <w:tcPr>
            <w:tcW w:w="4597"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lang w:bidi="ar"/>
                <w14:textFill>
                  <w14:solidFill>
                    <w14:schemeClr w14:val="tx1">
                      <w14:lumMod w14:val="95000"/>
                      <w14:lumOff w14:val="5000"/>
                    </w14:schemeClr>
                  </w14:solidFill>
                </w14:textFill>
              </w:rPr>
              <w:t>COD</w:t>
            </w:r>
            <w:r>
              <w:rPr>
                <w:rFonts w:hint="eastAsia" w:ascii="Times New Roman" w:hAnsi="Times New Roman" w:eastAsia="宋体" w:cs="Times New Roman"/>
                <w:color w:val="0D0D0D" w:themeColor="text1" w:themeTint="F2"/>
                <w:kern w:val="0"/>
                <w:sz w:val="24"/>
                <w:szCs w:val="24"/>
                <w:vertAlign w:val="subscript"/>
                <w:lang w:bidi="ar"/>
                <w14:textFill>
                  <w14:solidFill>
                    <w14:schemeClr w14:val="tx1">
                      <w14:lumMod w14:val="95000"/>
                      <w14:lumOff w14:val="5000"/>
                    </w14:schemeClr>
                  </w14:solidFill>
                </w14:textFill>
              </w:rPr>
              <w:t>C</w:t>
            </w:r>
            <w:r>
              <w:rPr>
                <w:rFonts w:ascii="Times New Roman" w:hAnsi="Times New Roman" w:eastAsia="宋体" w:cs="Times New Roman"/>
                <w:color w:val="0D0D0D" w:themeColor="text1" w:themeTint="F2"/>
                <w:kern w:val="0"/>
                <w:sz w:val="24"/>
                <w:szCs w:val="24"/>
                <w:vertAlign w:val="subscript"/>
                <w:lang w:bidi="ar"/>
                <w14:textFill>
                  <w14:solidFill>
                    <w14:schemeClr w14:val="tx1">
                      <w14:lumMod w14:val="95000"/>
                      <w14:lumOff w14:val="5000"/>
                    </w14:schemeClr>
                  </w14:solidFill>
                </w14:textFill>
              </w:rPr>
              <w:t>r</w:t>
            </w:r>
          </w:p>
        </w:tc>
        <w:tc>
          <w:tcPr>
            <w:tcW w:w="1968" w:type="dxa"/>
            <w:tcBorders>
              <w:top w:val="nil"/>
              <w:left w:val="single" w:color="auto" w:sz="4" w:space="0"/>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9</w:t>
            </w:r>
          </w:p>
        </w:tc>
        <w:tc>
          <w:tcPr>
            <w:tcW w:w="1949"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2"/>
                <w14:textFill>
                  <w14:solidFill>
                    <w14:schemeClr w14:val="tx1">
                      <w14:lumMod w14:val="95000"/>
                      <w14:lumOff w14:val="5000"/>
                    </w14:schemeClr>
                  </w14:solidFill>
                </w14:textFill>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36"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6</w:t>
            </w:r>
          </w:p>
        </w:tc>
        <w:tc>
          <w:tcPr>
            <w:tcW w:w="4597"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lang w:bidi="ar"/>
                <w14:textFill>
                  <w14:solidFill>
                    <w14:schemeClr w14:val="tx1">
                      <w14:lumMod w14:val="95000"/>
                      <w14:lumOff w14:val="5000"/>
                    </w14:schemeClr>
                  </w14:solidFill>
                </w14:textFill>
              </w:rPr>
              <w:t>BOD</w:t>
            </w:r>
            <w:r>
              <w:rPr>
                <w:rFonts w:ascii="Times New Roman" w:hAnsi="Times New Roman" w:eastAsia="宋体" w:cs="Times New Roman"/>
                <w:color w:val="0D0D0D" w:themeColor="text1" w:themeTint="F2"/>
                <w:kern w:val="0"/>
                <w:sz w:val="24"/>
                <w:szCs w:val="24"/>
                <w:vertAlign w:val="subscript"/>
                <w:lang w:bidi="ar"/>
                <w14:textFill>
                  <w14:solidFill>
                    <w14:schemeClr w14:val="tx1">
                      <w14:lumMod w14:val="95000"/>
                      <w14:lumOff w14:val="5000"/>
                    </w14:schemeClr>
                  </w14:solidFill>
                </w14:textFill>
              </w:rPr>
              <w:t>5</w:t>
            </w:r>
          </w:p>
        </w:tc>
        <w:tc>
          <w:tcPr>
            <w:tcW w:w="1968" w:type="dxa"/>
            <w:tcBorders>
              <w:top w:val="nil"/>
              <w:left w:val="single" w:color="auto" w:sz="4" w:space="0"/>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0.6</w:t>
            </w:r>
          </w:p>
        </w:tc>
        <w:tc>
          <w:tcPr>
            <w:tcW w:w="1949"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2"/>
                <w14:textFill>
                  <w14:solidFill>
                    <w14:schemeClr w14:val="tx1">
                      <w14:lumMod w14:val="95000"/>
                      <w14:lumOff w14:val="5000"/>
                    </w14:schemeClr>
                  </w14:solidFill>
                </w14:textFill>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36"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7</w:t>
            </w:r>
          </w:p>
        </w:tc>
        <w:tc>
          <w:tcPr>
            <w:tcW w:w="4597"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氨氮</w:t>
            </w:r>
          </w:p>
        </w:tc>
        <w:tc>
          <w:tcPr>
            <w:tcW w:w="1968" w:type="dxa"/>
            <w:tcBorders>
              <w:top w:val="nil"/>
              <w:left w:val="single" w:color="auto" w:sz="4" w:space="0"/>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0.085</w:t>
            </w:r>
          </w:p>
        </w:tc>
        <w:tc>
          <w:tcPr>
            <w:tcW w:w="1949"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2"/>
                <w14:textFill>
                  <w14:solidFill>
                    <w14:schemeClr w14:val="tx1">
                      <w14:lumMod w14:val="95000"/>
                      <w14:lumOff w14:val="5000"/>
                    </w14:schemeClr>
                  </w14:solidFill>
                </w14:textFill>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36"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8</w:t>
            </w:r>
          </w:p>
        </w:tc>
        <w:tc>
          <w:tcPr>
            <w:tcW w:w="4597"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总磷</w:t>
            </w:r>
          </w:p>
        </w:tc>
        <w:tc>
          <w:tcPr>
            <w:tcW w:w="1968" w:type="dxa"/>
            <w:tcBorders>
              <w:top w:val="nil"/>
              <w:left w:val="single" w:color="auto" w:sz="4" w:space="0"/>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0.017</w:t>
            </w:r>
          </w:p>
        </w:tc>
        <w:tc>
          <w:tcPr>
            <w:tcW w:w="1949"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2"/>
                <w14:textFill>
                  <w14:solidFill>
                    <w14:schemeClr w14:val="tx1">
                      <w14:lumMod w14:val="95000"/>
                      <w14:lumOff w14:val="5000"/>
                    </w14:schemeClr>
                  </w14:solidFill>
                </w14:textFill>
              </w:rPr>
              <w:t>Ⅱ类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36"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9</w:t>
            </w:r>
          </w:p>
        </w:tc>
        <w:tc>
          <w:tcPr>
            <w:tcW w:w="4597"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总氮</w:t>
            </w:r>
          </w:p>
        </w:tc>
        <w:tc>
          <w:tcPr>
            <w:tcW w:w="1968" w:type="dxa"/>
            <w:tcBorders>
              <w:top w:val="nil"/>
              <w:left w:val="single" w:color="auto" w:sz="4" w:space="0"/>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0.816</w:t>
            </w:r>
          </w:p>
        </w:tc>
        <w:tc>
          <w:tcPr>
            <w:tcW w:w="1949"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仿宋" w:hAnsi="仿宋" w:eastAsia="仿宋" w:cs="Times New Roman"/>
                <w:b/>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2"/>
                <w14:textFill>
                  <w14:solidFill>
                    <w14:schemeClr w14:val="tx1">
                      <w14:lumMod w14:val="95000"/>
                      <w14:lumOff w14:val="5000"/>
                    </w14:schemeClr>
                  </w14:solidFill>
                </w14:textFill>
              </w:rPr>
              <w:t>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36"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10</w:t>
            </w:r>
          </w:p>
        </w:tc>
        <w:tc>
          <w:tcPr>
            <w:tcW w:w="4597"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铜</w:t>
            </w:r>
          </w:p>
        </w:tc>
        <w:tc>
          <w:tcPr>
            <w:tcW w:w="1968" w:type="dxa"/>
            <w:tcBorders>
              <w:top w:val="nil"/>
              <w:left w:val="single" w:color="auto" w:sz="4" w:space="0"/>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0.001L</w:t>
            </w:r>
          </w:p>
        </w:tc>
        <w:tc>
          <w:tcPr>
            <w:tcW w:w="1949"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2"/>
                <w14:textFill>
                  <w14:solidFill>
                    <w14:schemeClr w14:val="tx1">
                      <w14:lumMod w14:val="95000"/>
                      <w14:lumOff w14:val="5000"/>
                    </w14:schemeClr>
                  </w14:solidFill>
                </w14:textFill>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36"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11</w:t>
            </w:r>
          </w:p>
        </w:tc>
        <w:tc>
          <w:tcPr>
            <w:tcW w:w="4597"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锌</w:t>
            </w:r>
          </w:p>
        </w:tc>
        <w:tc>
          <w:tcPr>
            <w:tcW w:w="1968" w:type="dxa"/>
            <w:tcBorders>
              <w:top w:val="nil"/>
              <w:left w:val="single" w:color="auto" w:sz="4" w:space="0"/>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0.05L</w:t>
            </w:r>
          </w:p>
        </w:tc>
        <w:tc>
          <w:tcPr>
            <w:tcW w:w="1949"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2"/>
                <w14:textFill>
                  <w14:solidFill>
                    <w14:schemeClr w14:val="tx1">
                      <w14:lumMod w14:val="95000"/>
                      <w14:lumOff w14:val="5000"/>
                    </w14:schemeClr>
                  </w14:solidFill>
                </w14:textFill>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36"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12</w:t>
            </w:r>
          </w:p>
        </w:tc>
        <w:tc>
          <w:tcPr>
            <w:tcW w:w="4597"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氟化物</w:t>
            </w:r>
          </w:p>
        </w:tc>
        <w:tc>
          <w:tcPr>
            <w:tcW w:w="1968" w:type="dxa"/>
            <w:tcBorders>
              <w:top w:val="nil"/>
              <w:left w:val="single" w:color="auto" w:sz="4" w:space="0"/>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0.15</w:t>
            </w:r>
          </w:p>
        </w:tc>
        <w:tc>
          <w:tcPr>
            <w:tcW w:w="1949"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2"/>
                <w14:textFill>
                  <w14:solidFill>
                    <w14:schemeClr w14:val="tx1">
                      <w14:lumMod w14:val="95000"/>
                      <w14:lumOff w14:val="5000"/>
                    </w14:schemeClr>
                  </w14:solidFill>
                </w14:textFill>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36"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13</w:t>
            </w:r>
          </w:p>
        </w:tc>
        <w:tc>
          <w:tcPr>
            <w:tcW w:w="4597"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硒</w:t>
            </w:r>
          </w:p>
        </w:tc>
        <w:tc>
          <w:tcPr>
            <w:tcW w:w="1968" w:type="dxa"/>
            <w:tcBorders>
              <w:top w:val="nil"/>
              <w:left w:val="single" w:color="auto" w:sz="4" w:space="0"/>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0.0004L</w:t>
            </w:r>
          </w:p>
        </w:tc>
        <w:tc>
          <w:tcPr>
            <w:tcW w:w="1949"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2"/>
                <w14:textFill>
                  <w14:solidFill>
                    <w14:schemeClr w14:val="tx1">
                      <w14:lumMod w14:val="95000"/>
                      <w14:lumOff w14:val="5000"/>
                    </w14:schemeClr>
                  </w14:solidFill>
                </w14:textFill>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36"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14</w:t>
            </w:r>
          </w:p>
        </w:tc>
        <w:tc>
          <w:tcPr>
            <w:tcW w:w="4597"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砷</w:t>
            </w:r>
          </w:p>
        </w:tc>
        <w:tc>
          <w:tcPr>
            <w:tcW w:w="1968" w:type="dxa"/>
            <w:tcBorders>
              <w:top w:val="nil"/>
              <w:left w:val="single" w:color="auto" w:sz="4" w:space="0"/>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0.0003L</w:t>
            </w:r>
          </w:p>
        </w:tc>
        <w:tc>
          <w:tcPr>
            <w:tcW w:w="1949"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2"/>
                <w14:textFill>
                  <w14:solidFill>
                    <w14:schemeClr w14:val="tx1">
                      <w14:lumMod w14:val="95000"/>
                      <w14:lumOff w14:val="5000"/>
                    </w14:schemeClr>
                  </w14:solidFill>
                </w14:textFill>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36"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15</w:t>
            </w:r>
          </w:p>
        </w:tc>
        <w:tc>
          <w:tcPr>
            <w:tcW w:w="4597"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汞</w:t>
            </w:r>
          </w:p>
        </w:tc>
        <w:tc>
          <w:tcPr>
            <w:tcW w:w="1968" w:type="dxa"/>
            <w:tcBorders>
              <w:top w:val="nil"/>
              <w:left w:val="single" w:color="auto" w:sz="4" w:space="0"/>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0.00004L</w:t>
            </w:r>
          </w:p>
        </w:tc>
        <w:tc>
          <w:tcPr>
            <w:tcW w:w="1949"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2"/>
                <w14:textFill>
                  <w14:solidFill>
                    <w14:schemeClr w14:val="tx1">
                      <w14:lumMod w14:val="95000"/>
                      <w14:lumOff w14:val="5000"/>
                    </w14:schemeClr>
                  </w14:solidFill>
                </w14:textFill>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36"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16</w:t>
            </w:r>
          </w:p>
        </w:tc>
        <w:tc>
          <w:tcPr>
            <w:tcW w:w="4597"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镉</w:t>
            </w:r>
          </w:p>
        </w:tc>
        <w:tc>
          <w:tcPr>
            <w:tcW w:w="1968" w:type="dxa"/>
            <w:tcBorders>
              <w:top w:val="nil"/>
              <w:left w:val="single" w:color="auto" w:sz="4" w:space="0"/>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0.001L</w:t>
            </w:r>
          </w:p>
        </w:tc>
        <w:tc>
          <w:tcPr>
            <w:tcW w:w="1949"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2"/>
                <w14:textFill>
                  <w14:solidFill>
                    <w14:schemeClr w14:val="tx1">
                      <w14:lumMod w14:val="95000"/>
                      <w14:lumOff w14:val="5000"/>
                    </w14:schemeClr>
                  </w14:solidFill>
                </w14:textFill>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36"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17</w:t>
            </w:r>
          </w:p>
        </w:tc>
        <w:tc>
          <w:tcPr>
            <w:tcW w:w="4597"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六价铬</w:t>
            </w:r>
          </w:p>
        </w:tc>
        <w:tc>
          <w:tcPr>
            <w:tcW w:w="1968" w:type="dxa"/>
            <w:tcBorders>
              <w:top w:val="nil"/>
              <w:left w:val="single" w:color="auto" w:sz="4" w:space="0"/>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0.004L</w:t>
            </w:r>
          </w:p>
        </w:tc>
        <w:tc>
          <w:tcPr>
            <w:tcW w:w="1949"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2"/>
                <w14:textFill>
                  <w14:solidFill>
                    <w14:schemeClr w14:val="tx1">
                      <w14:lumMod w14:val="95000"/>
                      <w14:lumOff w14:val="5000"/>
                    </w14:schemeClr>
                  </w14:solidFill>
                </w14:textFill>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36"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18</w:t>
            </w:r>
          </w:p>
        </w:tc>
        <w:tc>
          <w:tcPr>
            <w:tcW w:w="4597"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铅</w:t>
            </w:r>
          </w:p>
        </w:tc>
        <w:tc>
          <w:tcPr>
            <w:tcW w:w="1968" w:type="dxa"/>
            <w:tcBorders>
              <w:top w:val="nil"/>
              <w:left w:val="single" w:color="auto" w:sz="4" w:space="0"/>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0.01L</w:t>
            </w:r>
          </w:p>
        </w:tc>
        <w:tc>
          <w:tcPr>
            <w:tcW w:w="1949"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2"/>
                <w14:textFill>
                  <w14:solidFill>
                    <w14:schemeClr w14:val="tx1">
                      <w14:lumMod w14:val="95000"/>
                      <w14:lumOff w14:val="5000"/>
                    </w14:schemeClr>
                  </w14:solidFill>
                </w14:textFill>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36"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19</w:t>
            </w:r>
          </w:p>
        </w:tc>
        <w:tc>
          <w:tcPr>
            <w:tcW w:w="4597"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氰化物</w:t>
            </w:r>
          </w:p>
        </w:tc>
        <w:tc>
          <w:tcPr>
            <w:tcW w:w="1968" w:type="dxa"/>
            <w:tcBorders>
              <w:top w:val="nil"/>
              <w:left w:val="single" w:color="auto" w:sz="4" w:space="0"/>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0.004L</w:t>
            </w:r>
          </w:p>
        </w:tc>
        <w:tc>
          <w:tcPr>
            <w:tcW w:w="1949"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2"/>
                <w14:textFill>
                  <w14:solidFill>
                    <w14:schemeClr w14:val="tx1">
                      <w14:lumMod w14:val="95000"/>
                      <w14:lumOff w14:val="5000"/>
                    </w14:schemeClr>
                  </w14:solidFill>
                </w14:textFill>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36"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20</w:t>
            </w:r>
          </w:p>
        </w:tc>
        <w:tc>
          <w:tcPr>
            <w:tcW w:w="4597"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挥发酚</w:t>
            </w:r>
          </w:p>
        </w:tc>
        <w:tc>
          <w:tcPr>
            <w:tcW w:w="1968" w:type="dxa"/>
            <w:tcBorders>
              <w:top w:val="nil"/>
              <w:left w:val="single" w:color="auto" w:sz="4" w:space="0"/>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0.0003L</w:t>
            </w:r>
          </w:p>
        </w:tc>
        <w:tc>
          <w:tcPr>
            <w:tcW w:w="1949"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2"/>
                <w14:textFill>
                  <w14:solidFill>
                    <w14:schemeClr w14:val="tx1">
                      <w14:lumMod w14:val="95000"/>
                      <w14:lumOff w14:val="5000"/>
                    </w14:schemeClr>
                  </w14:solidFill>
                </w14:textFill>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36"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21</w:t>
            </w:r>
          </w:p>
        </w:tc>
        <w:tc>
          <w:tcPr>
            <w:tcW w:w="4597"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石油类</w:t>
            </w:r>
          </w:p>
        </w:tc>
        <w:tc>
          <w:tcPr>
            <w:tcW w:w="1968" w:type="dxa"/>
            <w:tcBorders>
              <w:top w:val="nil"/>
              <w:left w:val="single" w:color="auto" w:sz="4" w:space="0"/>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0.01</w:t>
            </w:r>
          </w:p>
        </w:tc>
        <w:tc>
          <w:tcPr>
            <w:tcW w:w="1949"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2"/>
                <w14:textFill>
                  <w14:solidFill>
                    <w14:schemeClr w14:val="tx1">
                      <w14:lumMod w14:val="95000"/>
                      <w14:lumOff w14:val="5000"/>
                    </w14:schemeClr>
                  </w14:solidFill>
                </w14:textFill>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36"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22</w:t>
            </w:r>
          </w:p>
        </w:tc>
        <w:tc>
          <w:tcPr>
            <w:tcW w:w="4597"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阴离子表面活性剂</w:t>
            </w:r>
          </w:p>
        </w:tc>
        <w:tc>
          <w:tcPr>
            <w:tcW w:w="1968" w:type="dxa"/>
            <w:tcBorders>
              <w:top w:val="nil"/>
              <w:left w:val="single" w:color="auto" w:sz="4" w:space="0"/>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0.05L</w:t>
            </w:r>
          </w:p>
        </w:tc>
        <w:tc>
          <w:tcPr>
            <w:tcW w:w="1949"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2"/>
                <w14:textFill>
                  <w14:solidFill>
                    <w14:schemeClr w14:val="tx1">
                      <w14:lumMod w14:val="95000"/>
                      <w14:lumOff w14:val="5000"/>
                    </w14:schemeClr>
                  </w14:solidFill>
                </w14:textFill>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36"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23</w:t>
            </w:r>
          </w:p>
        </w:tc>
        <w:tc>
          <w:tcPr>
            <w:tcW w:w="4597"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硫化物</w:t>
            </w:r>
          </w:p>
        </w:tc>
        <w:tc>
          <w:tcPr>
            <w:tcW w:w="1968" w:type="dxa"/>
            <w:tcBorders>
              <w:top w:val="nil"/>
              <w:left w:val="single" w:color="auto" w:sz="4" w:space="0"/>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0.005L</w:t>
            </w:r>
          </w:p>
        </w:tc>
        <w:tc>
          <w:tcPr>
            <w:tcW w:w="1949"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2"/>
                <w14:textFill>
                  <w14:solidFill>
                    <w14:schemeClr w14:val="tx1">
                      <w14:lumMod w14:val="95000"/>
                      <w14:lumOff w14:val="5000"/>
                    </w14:schemeClr>
                  </w14:solidFill>
                </w14:textFill>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36"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24</w:t>
            </w:r>
          </w:p>
        </w:tc>
        <w:tc>
          <w:tcPr>
            <w:tcW w:w="4597"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粪大肠菌群（个</w:t>
            </w:r>
            <w:r>
              <w:rPr>
                <w:rFonts w:ascii="Times New Roman" w:hAnsi="Times New Roman" w:eastAsia="宋体" w:cs="Times New Roman"/>
                <w:color w:val="0D0D0D" w:themeColor="text1" w:themeTint="F2"/>
                <w:kern w:val="0"/>
                <w:sz w:val="24"/>
                <w:szCs w:val="24"/>
                <w:lang w:bidi="ar"/>
                <w14:textFill>
                  <w14:solidFill>
                    <w14:schemeClr w14:val="tx1">
                      <w14:lumMod w14:val="95000"/>
                      <w14:lumOff w14:val="5000"/>
                    </w14:schemeClr>
                  </w14:solidFill>
                </w14:textFill>
              </w:rPr>
              <w:t>/L</w:t>
            </w: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w:t>
            </w:r>
          </w:p>
        </w:tc>
        <w:tc>
          <w:tcPr>
            <w:tcW w:w="1968" w:type="dxa"/>
            <w:tcBorders>
              <w:top w:val="nil"/>
              <w:left w:val="single" w:color="auto" w:sz="4" w:space="0"/>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481</w:t>
            </w:r>
          </w:p>
        </w:tc>
        <w:tc>
          <w:tcPr>
            <w:tcW w:w="1949"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2"/>
                <w14:textFill>
                  <w14:solidFill>
                    <w14:schemeClr w14:val="tx1">
                      <w14:lumMod w14:val="95000"/>
                      <w14:lumOff w14:val="5000"/>
                    </w14:schemeClr>
                  </w14:solidFill>
                </w14:textFill>
              </w:rPr>
              <w:t>Ⅱ类</w:t>
            </w:r>
          </w:p>
        </w:tc>
      </w:tr>
    </w:tbl>
    <w:p>
      <w:pPr>
        <w:adjustRightInd w:val="0"/>
        <w:snapToGrid w:val="0"/>
        <w:spacing w:before="156" w:beforeLines="50" w:line="360" w:lineRule="auto"/>
        <w:ind w:firstLine="562" w:firstLineChars="200"/>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（2）</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补充项目评价</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结果</w:t>
      </w:r>
    </w:p>
    <w:p>
      <w:pPr>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根据富村镇亦佐水库2019年1</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1</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月</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的</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监测结果，所有集中式饮用水地表水源地补充项目均满足</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《地表水环境质量标准》</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GB3838-2002</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）表2集中式生活饮用水地表水源地标准限值要求。</w:t>
      </w:r>
    </w:p>
    <w:p>
      <w:pPr>
        <w:adjustRightInd w:val="0"/>
        <w:snapToGrid w:val="0"/>
        <w:spacing w:line="400" w:lineRule="exact"/>
        <w:jc w:val="cente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表2.</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6</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 xml:space="preserve">-5 </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 xml:space="preserve"> 亦佐水库2019年常规监测补充项目达标</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评价表</w:t>
      </w:r>
    </w:p>
    <w:tbl>
      <w:tblPr>
        <w:tblStyle w:val="45"/>
        <w:tblW w:w="965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06"/>
        <w:gridCol w:w="2772"/>
        <w:gridCol w:w="1531"/>
        <w:gridCol w:w="2911"/>
        <w:gridCol w:w="153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blHeader/>
        </w:trPr>
        <w:tc>
          <w:tcPr>
            <w:tcW w:w="906" w:type="dxa"/>
            <w:vMerge w:val="restart"/>
            <w:shd w:val="clear" w:color="auto" w:fill="D8D8D8" w:themeFill="background1" w:themeFillShade="D9"/>
            <w:vAlign w:val="center"/>
          </w:tcPr>
          <w:p>
            <w:pPr>
              <w:adjustRightInd w:val="0"/>
              <w:snapToGrid w:val="0"/>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序号</w:t>
            </w:r>
          </w:p>
        </w:tc>
        <w:tc>
          <w:tcPr>
            <w:tcW w:w="2772" w:type="dxa"/>
            <w:vMerge w:val="restart"/>
            <w:shd w:val="clear" w:color="auto" w:fill="D8D8D8" w:themeFill="background1" w:themeFillShade="D9"/>
            <w:vAlign w:val="center"/>
          </w:tcPr>
          <w:p>
            <w:pPr>
              <w:adjustRightInd w:val="0"/>
              <w:snapToGrid w:val="0"/>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监测因子*</w:t>
            </w:r>
          </w:p>
        </w:tc>
        <w:tc>
          <w:tcPr>
            <w:tcW w:w="1531" w:type="dxa"/>
            <w:vMerge w:val="restart"/>
            <w:shd w:val="clear" w:color="auto" w:fill="D8D8D8" w:themeFill="background1" w:themeFillShade="D9"/>
            <w:vAlign w:val="center"/>
          </w:tcPr>
          <w:p>
            <w:pPr>
              <w:adjustRightInd w:val="0"/>
              <w:snapToGrid w:val="0"/>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标准限值</w:t>
            </w:r>
          </w:p>
        </w:tc>
        <w:tc>
          <w:tcPr>
            <w:tcW w:w="4441" w:type="dxa"/>
            <w:gridSpan w:val="2"/>
            <w:tcBorders>
              <w:bottom w:val="single" w:color="auto" w:sz="4" w:space="0"/>
            </w:tcBorders>
            <w:shd w:val="clear" w:color="auto" w:fill="D8D8D8" w:themeFill="background1" w:themeFillShade="D9"/>
            <w:vAlign w:val="center"/>
          </w:tcPr>
          <w:p>
            <w:pPr>
              <w:adjustRightInd w:val="0"/>
              <w:snapToGrid w:val="0"/>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2019年11月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blHeader/>
        </w:trPr>
        <w:tc>
          <w:tcPr>
            <w:tcW w:w="906" w:type="dxa"/>
            <w:vMerge w:val="continue"/>
            <w:shd w:val="clear" w:color="auto" w:fill="D8D8D8" w:themeFill="background1" w:themeFillShade="D9"/>
            <w:vAlign w:val="center"/>
          </w:tcPr>
          <w:p>
            <w:pPr>
              <w:adjustRightInd w:val="0"/>
              <w:snapToGrid w:val="0"/>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p>
        </w:tc>
        <w:tc>
          <w:tcPr>
            <w:tcW w:w="2772" w:type="dxa"/>
            <w:vMerge w:val="continue"/>
            <w:shd w:val="clear" w:color="auto" w:fill="D8D8D8" w:themeFill="background1" w:themeFillShade="D9"/>
            <w:vAlign w:val="center"/>
          </w:tcPr>
          <w:p>
            <w:pPr>
              <w:adjustRightInd w:val="0"/>
              <w:snapToGrid w:val="0"/>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p>
        </w:tc>
        <w:tc>
          <w:tcPr>
            <w:tcW w:w="1531" w:type="dxa"/>
            <w:vMerge w:val="continue"/>
            <w:shd w:val="clear" w:color="auto" w:fill="D8D8D8" w:themeFill="background1" w:themeFillShade="D9"/>
            <w:vAlign w:val="center"/>
          </w:tcPr>
          <w:p>
            <w:pPr>
              <w:adjustRightInd w:val="0"/>
              <w:snapToGrid w:val="0"/>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p>
        </w:tc>
        <w:tc>
          <w:tcPr>
            <w:tcW w:w="2911" w:type="dxa"/>
            <w:tcBorders>
              <w:top w:val="single" w:color="auto" w:sz="4" w:space="0"/>
            </w:tcBorders>
            <w:shd w:val="clear" w:color="auto" w:fill="D8D8D8" w:themeFill="background1" w:themeFillShade="D9"/>
            <w:vAlign w:val="center"/>
          </w:tcPr>
          <w:p>
            <w:pPr>
              <w:adjustRightInd w:val="0"/>
              <w:snapToGrid w:val="0"/>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监测值（mg/L）</w:t>
            </w:r>
          </w:p>
        </w:tc>
        <w:tc>
          <w:tcPr>
            <w:tcW w:w="1530" w:type="dxa"/>
            <w:tcBorders>
              <w:top w:val="single" w:color="auto" w:sz="4" w:space="0"/>
            </w:tcBorders>
            <w:shd w:val="clear" w:color="auto" w:fill="D8D8D8" w:themeFill="background1" w:themeFillShade="D9"/>
            <w:vAlign w:val="center"/>
          </w:tcPr>
          <w:p>
            <w:pPr>
              <w:adjustRightInd w:val="0"/>
              <w:snapToGrid w:val="0"/>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达标评价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rPr>
        <w:tc>
          <w:tcPr>
            <w:tcW w:w="906" w:type="dxa"/>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1</w:t>
            </w:r>
          </w:p>
        </w:tc>
        <w:tc>
          <w:tcPr>
            <w:tcW w:w="2772" w:type="dxa"/>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硫酸盐</w:t>
            </w:r>
          </w:p>
        </w:tc>
        <w:tc>
          <w:tcPr>
            <w:tcW w:w="1531" w:type="dxa"/>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14:textFill>
                  <w14:solidFill>
                    <w14:schemeClr w14:val="tx1">
                      <w14:lumMod w14:val="95000"/>
                      <w14:lumOff w14:val="5000"/>
                    </w14:schemeClr>
                  </w14:solidFill>
                </w14:textFill>
              </w:rPr>
              <w:t>250</w:t>
            </w:r>
          </w:p>
        </w:tc>
        <w:tc>
          <w:tcPr>
            <w:tcW w:w="291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8L</w:t>
            </w:r>
          </w:p>
        </w:tc>
        <w:tc>
          <w:tcPr>
            <w:tcW w:w="1530" w:type="dxa"/>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14:textFill>
                  <w14:solidFill>
                    <w14:schemeClr w14:val="tx1">
                      <w14:lumMod w14:val="95000"/>
                      <w14:lumOff w14:val="5000"/>
                    </w14:schemeClr>
                  </w14:solidFill>
                </w14:textFill>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rPr>
        <w:tc>
          <w:tcPr>
            <w:tcW w:w="906" w:type="dxa"/>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2</w:t>
            </w:r>
          </w:p>
        </w:tc>
        <w:tc>
          <w:tcPr>
            <w:tcW w:w="2772" w:type="dxa"/>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氯化物</w:t>
            </w:r>
          </w:p>
        </w:tc>
        <w:tc>
          <w:tcPr>
            <w:tcW w:w="1531" w:type="dxa"/>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14:textFill>
                  <w14:solidFill>
                    <w14:schemeClr w14:val="tx1">
                      <w14:lumMod w14:val="95000"/>
                      <w14:lumOff w14:val="5000"/>
                    </w14:schemeClr>
                  </w14:solidFill>
                </w14:textFill>
              </w:rPr>
              <w:t>250</w:t>
            </w:r>
          </w:p>
        </w:tc>
        <w:tc>
          <w:tcPr>
            <w:tcW w:w="2911"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10L</w:t>
            </w:r>
          </w:p>
        </w:tc>
        <w:tc>
          <w:tcPr>
            <w:tcW w:w="1530" w:type="dxa"/>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14:textFill>
                  <w14:solidFill>
                    <w14:schemeClr w14:val="tx1">
                      <w14:lumMod w14:val="95000"/>
                      <w14:lumOff w14:val="5000"/>
                    </w14:schemeClr>
                  </w14:solidFill>
                </w14:textFill>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rPr>
        <w:tc>
          <w:tcPr>
            <w:tcW w:w="906" w:type="dxa"/>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3</w:t>
            </w:r>
          </w:p>
        </w:tc>
        <w:tc>
          <w:tcPr>
            <w:tcW w:w="2772" w:type="dxa"/>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硝酸盐氮</w:t>
            </w:r>
          </w:p>
        </w:tc>
        <w:tc>
          <w:tcPr>
            <w:tcW w:w="1531" w:type="dxa"/>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14:textFill>
                  <w14:solidFill>
                    <w14:schemeClr w14:val="tx1">
                      <w14:lumMod w14:val="95000"/>
                      <w14:lumOff w14:val="5000"/>
                    </w14:schemeClr>
                  </w14:solidFill>
                </w14:textFill>
              </w:rPr>
              <w:t>10</w:t>
            </w:r>
          </w:p>
        </w:tc>
        <w:tc>
          <w:tcPr>
            <w:tcW w:w="2911"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0.02L</w:t>
            </w:r>
          </w:p>
        </w:tc>
        <w:tc>
          <w:tcPr>
            <w:tcW w:w="1530" w:type="dxa"/>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14:textFill>
                  <w14:solidFill>
                    <w14:schemeClr w14:val="tx1">
                      <w14:lumMod w14:val="95000"/>
                      <w14:lumOff w14:val="5000"/>
                    </w14:schemeClr>
                  </w14:solidFill>
                </w14:textFill>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rPr>
        <w:tc>
          <w:tcPr>
            <w:tcW w:w="906" w:type="dxa"/>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4</w:t>
            </w:r>
          </w:p>
        </w:tc>
        <w:tc>
          <w:tcPr>
            <w:tcW w:w="2772" w:type="dxa"/>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铁</w:t>
            </w:r>
          </w:p>
        </w:tc>
        <w:tc>
          <w:tcPr>
            <w:tcW w:w="1531" w:type="dxa"/>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14:textFill>
                  <w14:solidFill>
                    <w14:schemeClr w14:val="tx1">
                      <w14:lumMod w14:val="95000"/>
                      <w14:lumOff w14:val="5000"/>
                    </w14:schemeClr>
                  </w14:solidFill>
                </w14:textFill>
              </w:rPr>
              <w:t>0.3</w:t>
            </w:r>
          </w:p>
        </w:tc>
        <w:tc>
          <w:tcPr>
            <w:tcW w:w="2911"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0.03L</w:t>
            </w:r>
          </w:p>
        </w:tc>
        <w:tc>
          <w:tcPr>
            <w:tcW w:w="1530" w:type="dxa"/>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14:textFill>
                  <w14:solidFill>
                    <w14:schemeClr w14:val="tx1">
                      <w14:lumMod w14:val="95000"/>
                      <w14:lumOff w14:val="5000"/>
                    </w14:schemeClr>
                  </w14:solidFill>
                </w14:textFill>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rPr>
        <w:tc>
          <w:tcPr>
            <w:tcW w:w="906" w:type="dxa"/>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5</w:t>
            </w:r>
          </w:p>
        </w:tc>
        <w:tc>
          <w:tcPr>
            <w:tcW w:w="2772" w:type="dxa"/>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锰</w:t>
            </w:r>
          </w:p>
        </w:tc>
        <w:tc>
          <w:tcPr>
            <w:tcW w:w="1531" w:type="dxa"/>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14:textFill>
                  <w14:solidFill>
                    <w14:schemeClr w14:val="tx1">
                      <w14:lumMod w14:val="95000"/>
                      <w14:lumOff w14:val="5000"/>
                    </w14:schemeClr>
                  </w14:solidFill>
                </w14:textFill>
              </w:rPr>
              <w:t>0.1</w:t>
            </w:r>
          </w:p>
        </w:tc>
        <w:tc>
          <w:tcPr>
            <w:tcW w:w="2911"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0.02</w:t>
            </w:r>
          </w:p>
        </w:tc>
        <w:tc>
          <w:tcPr>
            <w:tcW w:w="1530" w:type="dxa"/>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14:textFill>
                  <w14:solidFill>
                    <w14:schemeClr w14:val="tx1">
                      <w14:lumMod w14:val="95000"/>
                      <w14:lumOff w14:val="5000"/>
                    </w14:schemeClr>
                  </w14:solidFill>
                </w14:textFill>
              </w:rPr>
              <w:t>达标</w:t>
            </w:r>
          </w:p>
        </w:tc>
      </w:tr>
    </w:tbl>
    <w:p>
      <w:pPr>
        <w:pStyle w:val="5"/>
        <w:spacing w:line="377" w:lineRule="auto"/>
        <w:ind w:firstLine="281" w:firstLineChars="100"/>
        <w:rPr>
          <w:color w:val="0D0D0D" w:themeColor="text1" w:themeTint="F2"/>
          <w:sz w:val="28"/>
          <w14:textFill>
            <w14:solidFill>
              <w14:schemeClr w14:val="tx1">
                <w14:lumMod w14:val="95000"/>
                <w14:lumOff w14:val="5000"/>
              </w14:schemeClr>
            </w14:solidFill>
          </w14:textFill>
        </w:rPr>
      </w:pPr>
      <w:r>
        <w:rPr>
          <w:color w:val="0D0D0D" w:themeColor="text1" w:themeTint="F2"/>
          <w:sz w:val="28"/>
          <w14:textFill>
            <w14:solidFill>
              <w14:schemeClr w14:val="tx1">
                <w14:lumMod w14:val="95000"/>
                <w14:lumOff w14:val="5000"/>
              </w14:schemeClr>
            </w14:solidFill>
          </w14:textFill>
        </w:rPr>
        <w:t>2.</w:t>
      </w:r>
      <w:r>
        <w:rPr>
          <w:rFonts w:hint="eastAsia"/>
          <w:color w:val="0D0D0D" w:themeColor="text1" w:themeTint="F2"/>
          <w:sz w:val="28"/>
          <w14:textFill>
            <w14:solidFill>
              <w14:schemeClr w14:val="tx1">
                <w14:lumMod w14:val="95000"/>
                <w14:lumOff w14:val="5000"/>
              </w14:schemeClr>
            </w14:solidFill>
          </w14:textFill>
        </w:rPr>
        <w:t>6</w:t>
      </w:r>
      <w:r>
        <w:rPr>
          <w:color w:val="0D0D0D" w:themeColor="text1" w:themeTint="F2"/>
          <w:sz w:val="28"/>
          <w14:textFill>
            <w14:solidFill>
              <w14:schemeClr w14:val="tx1">
                <w14:lumMod w14:val="95000"/>
                <w14:lumOff w14:val="5000"/>
              </w14:schemeClr>
            </w14:solidFill>
          </w14:textFill>
        </w:rPr>
        <w:t>.</w:t>
      </w:r>
      <w:r>
        <w:rPr>
          <w:rFonts w:hint="eastAsia"/>
          <w:color w:val="0D0D0D" w:themeColor="text1" w:themeTint="F2"/>
          <w:sz w:val="28"/>
          <w14:textFill>
            <w14:solidFill>
              <w14:schemeClr w14:val="tx1">
                <w14:lumMod w14:val="95000"/>
                <w14:lumOff w14:val="5000"/>
              </w14:schemeClr>
            </w14:solidFill>
          </w14:textFill>
        </w:rPr>
        <w:t>3</w:t>
      </w:r>
      <w:r>
        <w:rPr>
          <w:color w:val="0D0D0D" w:themeColor="text1" w:themeTint="F2"/>
          <w:sz w:val="28"/>
          <w14:textFill>
            <w14:solidFill>
              <w14:schemeClr w14:val="tx1">
                <w14:lumMod w14:val="95000"/>
                <w14:lumOff w14:val="5000"/>
              </w14:schemeClr>
            </w14:solidFill>
          </w14:textFill>
        </w:rPr>
        <w:t>.2 单因子指数评价</w:t>
      </w:r>
    </w:p>
    <w:p>
      <w:pPr>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根据富村镇亦佐水库常规监测水质功能类别评价结果，结合富村镇亦佐水库流域现状主要污染源，选取选取pH、溶解氧、高锰酸盐指数、化学需氧量（COD</w:t>
      </w:r>
      <w:r>
        <w:rPr>
          <w:rFonts w:hint="eastAsia" w:ascii="Times New Roman" w:hAnsi="Times New Roman" w:eastAsia="仿宋"/>
          <w:color w:val="0D0D0D" w:themeColor="text1" w:themeTint="F2"/>
          <w:sz w:val="28"/>
          <w:szCs w:val="28"/>
          <w:vertAlign w:val="subscript"/>
          <w14:textFill>
            <w14:solidFill>
              <w14:schemeClr w14:val="tx1">
                <w14:lumMod w14:val="95000"/>
                <w14:lumOff w14:val="5000"/>
              </w14:schemeClr>
            </w14:solidFill>
          </w14:textFill>
        </w:rPr>
        <w:t>C</w:t>
      </w:r>
      <w:r>
        <w:rPr>
          <w:rFonts w:ascii="Times New Roman" w:hAnsi="Times New Roman" w:eastAsia="仿宋"/>
          <w:color w:val="0D0D0D" w:themeColor="text1" w:themeTint="F2"/>
          <w:sz w:val="28"/>
          <w:szCs w:val="28"/>
          <w:vertAlign w:val="subscript"/>
          <w14:textFill>
            <w14:solidFill>
              <w14:schemeClr w14:val="tx1">
                <w14:lumMod w14:val="95000"/>
                <w14:lumOff w14:val="5000"/>
              </w14:schemeClr>
            </w14:solidFill>
          </w14:textFill>
        </w:rPr>
        <w:t>r</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）、五日生化需氧量（BOD</w:t>
      </w:r>
      <w:r>
        <w:rPr>
          <w:rFonts w:hint="eastAsia" w:ascii="Times New Roman" w:hAnsi="Times New Roman" w:eastAsia="仿宋"/>
          <w:color w:val="0D0D0D" w:themeColor="text1" w:themeTint="F2"/>
          <w:sz w:val="28"/>
          <w:szCs w:val="28"/>
          <w:vertAlign w:val="subscript"/>
          <w14:textFill>
            <w14:solidFill>
              <w14:schemeClr w14:val="tx1">
                <w14:lumMod w14:val="95000"/>
                <w14:lumOff w14:val="5000"/>
              </w14:schemeClr>
            </w14:solidFill>
          </w14:textFill>
        </w:rPr>
        <w:t>5</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）、氨氮、总磷、总氮、铜、锌、氟化物、硒、砷、汞、镉、六价铬、铅、氰化物、挥发酚、石油类、阴离子表面活性剂（LAS）、硫化物等</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22</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项指标进行单因子指数法水质评价。富村镇亦佐水库水质按</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《地表水环境质量标准》</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GB3838-2002</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中</w:t>
      </w:r>
      <w:r>
        <w:rPr>
          <w:rFonts w:ascii="Times New Roman" w:hAnsi="Times New Roman" w:eastAsia="宋体" w:cs="宋体"/>
          <w:color w:val="0D0D0D" w:themeColor="text1" w:themeTint="F2"/>
          <w:sz w:val="28"/>
          <w:szCs w:val="28"/>
          <w14:textFill>
            <w14:solidFill>
              <w14:schemeClr w14:val="tx1">
                <w14:lumMod w14:val="95000"/>
                <w14:lumOff w14:val="5000"/>
              </w14:schemeClr>
            </w14:solidFill>
          </w14:textFill>
        </w:rPr>
        <w:fldChar w:fldCharType="begin"/>
      </w:r>
      <w:r>
        <w:rPr>
          <w:rFonts w:ascii="Times New Roman" w:hAnsi="Times New Roman" w:eastAsia="宋体" w:cs="宋体"/>
          <w:color w:val="0D0D0D" w:themeColor="text1" w:themeTint="F2"/>
          <w:sz w:val="28"/>
          <w:szCs w:val="28"/>
          <w14:textFill>
            <w14:solidFill>
              <w14:schemeClr w14:val="tx1">
                <w14:lumMod w14:val="95000"/>
                <w14:lumOff w14:val="5000"/>
              </w14:schemeClr>
            </w14:solidFill>
          </w14:textFill>
        </w:rPr>
        <w:instrText xml:space="preserve"> </w:instrText>
      </w:r>
      <w:r>
        <w:rPr>
          <w:rFonts w:hint="eastAsia" w:ascii="Times New Roman" w:hAnsi="Times New Roman" w:eastAsia="宋体" w:cs="宋体"/>
          <w:color w:val="0D0D0D" w:themeColor="text1" w:themeTint="F2"/>
          <w:sz w:val="28"/>
          <w:szCs w:val="28"/>
          <w14:textFill>
            <w14:solidFill>
              <w14:schemeClr w14:val="tx1">
                <w14:lumMod w14:val="95000"/>
                <w14:lumOff w14:val="5000"/>
              </w14:schemeClr>
            </w14:solidFill>
          </w14:textFill>
        </w:rPr>
        <w:instrText xml:space="preserve">= 3 \* ROMAN</w:instrText>
      </w:r>
      <w:r>
        <w:rPr>
          <w:rFonts w:ascii="Times New Roman" w:hAnsi="Times New Roman" w:eastAsia="宋体" w:cs="宋体"/>
          <w:color w:val="0D0D0D" w:themeColor="text1" w:themeTint="F2"/>
          <w:sz w:val="28"/>
          <w:szCs w:val="28"/>
          <w14:textFill>
            <w14:solidFill>
              <w14:schemeClr w14:val="tx1">
                <w14:lumMod w14:val="95000"/>
                <w14:lumOff w14:val="5000"/>
              </w14:schemeClr>
            </w14:solidFill>
          </w14:textFill>
        </w:rPr>
        <w:instrText xml:space="preserve"> </w:instrText>
      </w:r>
      <w:r>
        <w:rPr>
          <w:rFonts w:ascii="Times New Roman" w:hAnsi="Times New Roman" w:eastAsia="宋体" w:cs="宋体"/>
          <w:color w:val="0D0D0D" w:themeColor="text1" w:themeTint="F2"/>
          <w:sz w:val="28"/>
          <w:szCs w:val="28"/>
          <w14:textFill>
            <w14:solidFill>
              <w14:schemeClr w14:val="tx1">
                <w14:lumMod w14:val="95000"/>
                <w14:lumOff w14:val="5000"/>
              </w14:schemeClr>
            </w14:solidFill>
          </w14:textFill>
        </w:rPr>
        <w:fldChar w:fldCharType="separate"/>
      </w:r>
      <w:r>
        <w:rPr>
          <w:rFonts w:ascii="Times New Roman" w:hAnsi="Times New Roman" w:eastAsia="宋体" w:cs="宋体"/>
          <w:color w:val="0D0D0D" w:themeColor="text1" w:themeTint="F2"/>
          <w:sz w:val="28"/>
          <w:szCs w:val="28"/>
          <w14:textFill>
            <w14:solidFill>
              <w14:schemeClr w14:val="tx1">
                <w14:lumMod w14:val="95000"/>
                <w14:lumOff w14:val="5000"/>
              </w14:schemeClr>
            </w14:solidFill>
          </w14:textFill>
        </w:rPr>
        <w:t>III</w:t>
      </w:r>
      <w:r>
        <w:rPr>
          <w:rFonts w:ascii="Times New Roman" w:hAnsi="Times New Roman" w:eastAsia="宋体" w:cs="宋体"/>
          <w:color w:val="0D0D0D" w:themeColor="text1" w:themeTint="F2"/>
          <w:sz w:val="28"/>
          <w:szCs w:val="28"/>
          <w14:textFill>
            <w14:solidFill>
              <w14:schemeClr w14:val="tx1">
                <w14:lumMod w14:val="95000"/>
                <w14:lumOff w14:val="5000"/>
              </w14:schemeClr>
            </w14:solidFill>
          </w14:textFill>
        </w:rPr>
        <w:fldChar w:fldCharType="end"/>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类水质</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标准和集中式饮用水地表水源地补充项目标准</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结果详见表</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2.</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6</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-6</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adjustRightInd w:val="0"/>
        <w:snapToGrid w:val="0"/>
        <w:spacing w:line="400" w:lineRule="exact"/>
        <w:jc w:val="cente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表2.</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6</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 xml:space="preserve">-6  </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亦佐水库</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单因子指数法评价结果表</w:t>
      </w:r>
    </w:p>
    <w:tbl>
      <w:tblPr>
        <w:tblStyle w:val="44"/>
        <w:tblW w:w="96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4"/>
        <w:gridCol w:w="4194"/>
        <w:gridCol w:w="3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blHeader/>
          <w:jc w:val="center"/>
        </w:trPr>
        <w:tc>
          <w:tcPr>
            <w:tcW w:w="1644" w:type="dxa"/>
            <w:shd w:val="clear" w:color="auto" w:fill="BEBEBE" w:themeFill="background1" w:themeFillShade="BF"/>
            <w:noWrap/>
            <w:vAlign w:val="center"/>
          </w:tcPr>
          <w:p>
            <w:pPr>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序号</w:t>
            </w:r>
          </w:p>
        </w:tc>
        <w:tc>
          <w:tcPr>
            <w:tcW w:w="4194" w:type="dxa"/>
            <w:shd w:val="clear" w:color="auto" w:fill="BEBEBE" w:themeFill="background1" w:themeFillShade="BF"/>
            <w:noWrap/>
            <w:vAlign w:val="center"/>
          </w:tcPr>
          <w:p>
            <w:pPr>
              <w:jc w:val="center"/>
              <w:textAlignment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监测因子</w:t>
            </w:r>
          </w:p>
        </w:tc>
        <w:tc>
          <w:tcPr>
            <w:tcW w:w="3812" w:type="dxa"/>
            <w:shd w:val="clear" w:color="auto" w:fill="BEBEBE" w:themeFill="background1" w:themeFillShade="BF"/>
            <w:vAlign w:val="center"/>
          </w:tcPr>
          <w:p>
            <w:pPr>
              <w:widowControl/>
              <w:jc w:val="center"/>
              <w:textAlignment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2</w:t>
            </w:r>
            <w: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019</w:t>
            </w:r>
            <w:r>
              <w:rPr>
                <w:rFonts w:hint="eastAsia"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年11月</w:t>
            </w:r>
          </w:p>
          <w:p>
            <w:pPr>
              <w:jc w:val="center"/>
              <w:textAlignment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单因子评价指数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644"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1</w:t>
            </w:r>
          </w:p>
        </w:tc>
        <w:tc>
          <w:tcPr>
            <w:tcW w:w="4194"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lang w:bidi="ar"/>
                <w14:textFill>
                  <w14:solidFill>
                    <w14:schemeClr w14:val="tx1">
                      <w14:lumMod w14:val="95000"/>
                      <w14:lumOff w14:val="5000"/>
                    </w14:schemeClr>
                  </w14:solidFill>
                </w14:textFill>
              </w:rPr>
              <w:t>pH</w:t>
            </w: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值（无量纲）</w:t>
            </w:r>
          </w:p>
        </w:tc>
        <w:tc>
          <w:tcPr>
            <w:tcW w:w="381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644"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2</w:t>
            </w:r>
          </w:p>
        </w:tc>
        <w:tc>
          <w:tcPr>
            <w:tcW w:w="4194"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溶解氧</w:t>
            </w:r>
          </w:p>
        </w:tc>
        <w:tc>
          <w:tcPr>
            <w:tcW w:w="3812"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644"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3</w:t>
            </w:r>
          </w:p>
        </w:tc>
        <w:tc>
          <w:tcPr>
            <w:tcW w:w="4194"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高锰酸盐指数</w:t>
            </w:r>
          </w:p>
        </w:tc>
        <w:tc>
          <w:tcPr>
            <w:tcW w:w="3812"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644"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4</w:t>
            </w:r>
          </w:p>
        </w:tc>
        <w:tc>
          <w:tcPr>
            <w:tcW w:w="4194"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lang w:bidi="ar"/>
                <w14:textFill>
                  <w14:solidFill>
                    <w14:schemeClr w14:val="tx1">
                      <w14:lumMod w14:val="95000"/>
                      <w14:lumOff w14:val="5000"/>
                    </w14:schemeClr>
                  </w14:solidFill>
                </w14:textFill>
              </w:rPr>
              <w:t>COD</w:t>
            </w:r>
            <w:r>
              <w:rPr>
                <w:rFonts w:hint="eastAsia" w:ascii="Times New Roman" w:hAnsi="Times New Roman" w:eastAsia="宋体" w:cs="Times New Roman"/>
                <w:color w:val="0D0D0D" w:themeColor="text1" w:themeTint="F2"/>
                <w:kern w:val="0"/>
                <w:sz w:val="24"/>
                <w:szCs w:val="24"/>
                <w:vertAlign w:val="subscript"/>
                <w:lang w:bidi="ar"/>
                <w14:textFill>
                  <w14:solidFill>
                    <w14:schemeClr w14:val="tx1">
                      <w14:lumMod w14:val="95000"/>
                      <w14:lumOff w14:val="5000"/>
                    </w14:schemeClr>
                  </w14:solidFill>
                </w14:textFill>
              </w:rPr>
              <w:t>C</w:t>
            </w:r>
            <w:r>
              <w:rPr>
                <w:rFonts w:ascii="Times New Roman" w:hAnsi="Times New Roman" w:eastAsia="宋体" w:cs="Times New Roman"/>
                <w:color w:val="0D0D0D" w:themeColor="text1" w:themeTint="F2"/>
                <w:kern w:val="0"/>
                <w:sz w:val="24"/>
                <w:szCs w:val="24"/>
                <w:vertAlign w:val="subscript"/>
                <w:lang w:bidi="ar"/>
                <w14:textFill>
                  <w14:solidFill>
                    <w14:schemeClr w14:val="tx1">
                      <w14:lumMod w14:val="95000"/>
                      <w14:lumOff w14:val="5000"/>
                    </w14:schemeClr>
                  </w14:solidFill>
                </w14:textFill>
              </w:rPr>
              <w:t>r</w:t>
            </w:r>
          </w:p>
        </w:tc>
        <w:tc>
          <w:tcPr>
            <w:tcW w:w="3812"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644"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5</w:t>
            </w:r>
          </w:p>
        </w:tc>
        <w:tc>
          <w:tcPr>
            <w:tcW w:w="4194"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lang w:bidi="ar"/>
                <w14:textFill>
                  <w14:solidFill>
                    <w14:schemeClr w14:val="tx1">
                      <w14:lumMod w14:val="95000"/>
                      <w14:lumOff w14:val="5000"/>
                    </w14:schemeClr>
                  </w14:solidFill>
                </w14:textFill>
              </w:rPr>
              <w:t>BOD</w:t>
            </w:r>
            <w:r>
              <w:rPr>
                <w:rFonts w:ascii="Times New Roman" w:hAnsi="Times New Roman" w:eastAsia="宋体" w:cs="Times New Roman"/>
                <w:color w:val="0D0D0D" w:themeColor="text1" w:themeTint="F2"/>
                <w:kern w:val="0"/>
                <w:sz w:val="24"/>
                <w:szCs w:val="24"/>
                <w:vertAlign w:val="subscript"/>
                <w:lang w:bidi="ar"/>
                <w14:textFill>
                  <w14:solidFill>
                    <w14:schemeClr w14:val="tx1">
                      <w14:lumMod w14:val="95000"/>
                      <w14:lumOff w14:val="5000"/>
                    </w14:schemeClr>
                  </w14:solidFill>
                </w14:textFill>
              </w:rPr>
              <w:t>5</w:t>
            </w:r>
          </w:p>
        </w:tc>
        <w:tc>
          <w:tcPr>
            <w:tcW w:w="3812"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644"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6</w:t>
            </w:r>
          </w:p>
        </w:tc>
        <w:tc>
          <w:tcPr>
            <w:tcW w:w="4194"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氨氮</w:t>
            </w:r>
          </w:p>
        </w:tc>
        <w:tc>
          <w:tcPr>
            <w:tcW w:w="3812"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644"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7</w:t>
            </w:r>
          </w:p>
        </w:tc>
        <w:tc>
          <w:tcPr>
            <w:tcW w:w="4194"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总磷</w:t>
            </w:r>
          </w:p>
        </w:tc>
        <w:tc>
          <w:tcPr>
            <w:tcW w:w="3812"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644"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8</w:t>
            </w:r>
          </w:p>
        </w:tc>
        <w:tc>
          <w:tcPr>
            <w:tcW w:w="4194"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总氮</w:t>
            </w:r>
          </w:p>
        </w:tc>
        <w:tc>
          <w:tcPr>
            <w:tcW w:w="3812"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644"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9</w:t>
            </w:r>
          </w:p>
        </w:tc>
        <w:tc>
          <w:tcPr>
            <w:tcW w:w="4194"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铜</w:t>
            </w:r>
          </w:p>
        </w:tc>
        <w:tc>
          <w:tcPr>
            <w:tcW w:w="3812"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644"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10</w:t>
            </w:r>
          </w:p>
        </w:tc>
        <w:tc>
          <w:tcPr>
            <w:tcW w:w="4194"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锌</w:t>
            </w:r>
          </w:p>
        </w:tc>
        <w:tc>
          <w:tcPr>
            <w:tcW w:w="3812"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644"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11</w:t>
            </w:r>
          </w:p>
        </w:tc>
        <w:tc>
          <w:tcPr>
            <w:tcW w:w="4194"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氟化物</w:t>
            </w:r>
          </w:p>
        </w:tc>
        <w:tc>
          <w:tcPr>
            <w:tcW w:w="3812"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644"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12</w:t>
            </w:r>
          </w:p>
        </w:tc>
        <w:tc>
          <w:tcPr>
            <w:tcW w:w="4194"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硒</w:t>
            </w:r>
          </w:p>
        </w:tc>
        <w:tc>
          <w:tcPr>
            <w:tcW w:w="3812"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644"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13</w:t>
            </w:r>
          </w:p>
        </w:tc>
        <w:tc>
          <w:tcPr>
            <w:tcW w:w="4194"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砷</w:t>
            </w:r>
          </w:p>
        </w:tc>
        <w:tc>
          <w:tcPr>
            <w:tcW w:w="3812"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644"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14</w:t>
            </w:r>
          </w:p>
        </w:tc>
        <w:tc>
          <w:tcPr>
            <w:tcW w:w="4194"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汞</w:t>
            </w:r>
          </w:p>
        </w:tc>
        <w:tc>
          <w:tcPr>
            <w:tcW w:w="3812"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644"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15</w:t>
            </w:r>
          </w:p>
        </w:tc>
        <w:tc>
          <w:tcPr>
            <w:tcW w:w="4194"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镉</w:t>
            </w:r>
          </w:p>
        </w:tc>
        <w:tc>
          <w:tcPr>
            <w:tcW w:w="3812"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644"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16</w:t>
            </w:r>
          </w:p>
        </w:tc>
        <w:tc>
          <w:tcPr>
            <w:tcW w:w="4194"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六价铬</w:t>
            </w:r>
          </w:p>
        </w:tc>
        <w:tc>
          <w:tcPr>
            <w:tcW w:w="3812"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644"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17</w:t>
            </w:r>
          </w:p>
        </w:tc>
        <w:tc>
          <w:tcPr>
            <w:tcW w:w="4194"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铅</w:t>
            </w:r>
          </w:p>
        </w:tc>
        <w:tc>
          <w:tcPr>
            <w:tcW w:w="3812"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644"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18</w:t>
            </w:r>
          </w:p>
        </w:tc>
        <w:tc>
          <w:tcPr>
            <w:tcW w:w="4194"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氰化物</w:t>
            </w:r>
          </w:p>
        </w:tc>
        <w:tc>
          <w:tcPr>
            <w:tcW w:w="3812"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644"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19</w:t>
            </w:r>
          </w:p>
        </w:tc>
        <w:tc>
          <w:tcPr>
            <w:tcW w:w="4194"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挥发酚</w:t>
            </w:r>
          </w:p>
        </w:tc>
        <w:tc>
          <w:tcPr>
            <w:tcW w:w="3812"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644"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20</w:t>
            </w:r>
          </w:p>
        </w:tc>
        <w:tc>
          <w:tcPr>
            <w:tcW w:w="4194"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石油类</w:t>
            </w:r>
          </w:p>
        </w:tc>
        <w:tc>
          <w:tcPr>
            <w:tcW w:w="3812"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644"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21</w:t>
            </w:r>
          </w:p>
        </w:tc>
        <w:tc>
          <w:tcPr>
            <w:tcW w:w="4194"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阴离子表面活性剂</w:t>
            </w:r>
          </w:p>
        </w:tc>
        <w:tc>
          <w:tcPr>
            <w:tcW w:w="3812"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644"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22</w:t>
            </w:r>
          </w:p>
        </w:tc>
        <w:tc>
          <w:tcPr>
            <w:tcW w:w="4194" w:type="dxa"/>
            <w:shd w:val="clear" w:color="auto" w:fill="auto"/>
            <w:noWrap/>
            <w:vAlign w:val="center"/>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lang w:bidi="ar"/>
                <w14:textFill>
                  <w14:solidFill>
                    <w14:schemeClr w14:val="tx1">
                      <w14:lumMod w14:val="95000"/>
                      <w14:lumOff w14:val="5000"/>
                    </w14:schemeClr>
                  </w14:solidFill>
                </w14:textFill>
              </w:rPr>
              <w:t>硫化物</w:t>
            </w:r>
          </w:p>
        </w:tc>
        <w:tc>
          <w:tcPr>
            <w:tcW w:w="3812" w:type="dxa"/>
            <w:tcBorders>
              <w:top w:val="nil"/>
              <w:left w:val="single" w:color="auto" w:sz="4" w:space="0"/>
              <w:bottom w:val="single" w:color="auto" w:sz="4" w:space="0"/>
              <w:right w:val="single" w:color="auto" w:sz="4" w:space="0"/>
            </w:tcBorders>
            <w:shd w:val="clear" w:color="auto" w:fill="auto"/>
            <w:vAlign w:val="bottom"/>
          </w:tcPr>
          <w:p>
            <w:pPr>
              <w:widowControl/>
              <w:jc w:val="center"/>
              <w:textAlignment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t>0.01</w:t>
            </w:r>
          </w:p>
        </w:tc>
      </w:tr>
    </w:tbl>
    <w:p>
      <w:pPr>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对照《地表水环境质量标准》</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GB3838-2002</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宋体" w:cs="宋体"/>
          <w:color w:val="0D0D0D" w:themeColor="text1" w:themeTint="F2"/>
          <w:sz w:val="28"/>
          <w:szCs w:val="28"/>
          <w14:textFill>
            <w14:solidFill>
              <w14:schemeClr w14:val="tx1">
                <w14:lumMod w14:val="95000"/>
                <w14:lumOff w14:val="5000"/>
              </w14:schemeClr>
            </w14:solidFill>
          </w14:textFill>
        </w:rPr>
        <w:fldChar w:fldCharType="begin"/>
      </w:r>
      <w:r>
        <w:rPr>
          <w:rFonts w:ascii="Times New Roman" w:hAnsi="Times New Roman" w:eastAsia="宋体" w:cs="宋体"/>
          <w:color w:val="0D0D0D" w:themeColor="text1" w:themeTint="F2"/>
          <w:sz w:val="28"/>
          <w:szCs w:val="28"/>
          <w14:textFill>
            <w14:solidFill>
              <w14:schemeClr w14:val="tx1">
                <w14:lumMod w14:val="95000"/>
                <w14:lumOff w14:val="5000"/>
              </w14:schemeClr>
            </w14:solidFill>
          </w14:textFill>
        </w:rPr>
        <w:instrText xml:space="preserve"> </w:instrText>
      </w:r>
      <w:r>
        <w:rPr>
          <w:rFonts w:hint="eastAsia" w:ascii="Times New Roman" w:hAnsi="Times New Roman" w:eastAsia="宋体" w:cs="宋体"/>
          <w:color w:val="0D0D0D" w:themeColor="text1" w:themeTint="F2"/>
          <w:sz w:val="28"/>
          <w:szCs w:val="28"/>
          <w14:textFill>
            <w14:solidFill>
              <w14:schemeClr w14:val="tx1">
                <w14:lumMod w14:val="95000"/>
                <w14:lumOff w14:val="5000"/>
              </w14:schemeClr>
            </w14:solidFill>
          </w14:textFill>
        </w:rPr>
        <w:instrText xml:space="preserve">= 3 \* ROMAN</w:instrText>
      </w:r>
      <w:r>
        <w:rPr>
          <w:rFonts w:ascii="Times New Roman" w:hAnsi="Times New Roman" w:eastAsia="宋体" w:cs="宋体"/>
          <w:color w:val="0D0D0D" w:themeColor="text1" w:themeTint="F2"/>
          <w:sz w:val="28"/>
          <w:szCs w:val="28"/>
          <w14:textFill>
            <w14:solidFill>
              <w14:schemeClr w14:val="tx1">
                <w14:lumMod w14:val="95000"/>
                <w14:lumOff w14:val="5000"/>
              </w14:schemeClr>
            </w14:solidFill>
          </w14:textFill>
        </w:rPr>
        <w:instrText xml:space="preserve"> </w:instrText>
      </w:r>
      <w:r>
        <w:rPr>
          <w:rFonts w:ascii="Times New Roman" w:hAnsi="Times New Roman" w:eastAsia="宋体" w:cs="宋体"/>
          <w:color w:val="0D0D0D" w:themeColor="text1" w:themeTint="F2"/>
          <w:sz w:val="28"/>
          <w:szCs w:val="28"/>
          <w14:textFill>
            <w14:solidFill>
              <w14:schemeClr w14:val="tx1">
                <w14:lumMod w14:val="95000"/>
                <w14:lumOff w14:val="5000"/>
              </w14:schemeClr>
            </w14:solidFill>
          </w14:textFill>
        </w:rPr>
        <w:fldChar w:fldCharType="separate"/>
      </w:r>
      <w:r>
        <w:rPr>
          <w:rFonts w:ascii="Times New Roman" w:hAnsi="Times New Roman" w:eastAsia="宋体" w:cs="宋体"/>
          <w:color w:val="0D0D0D" w:themeColor="text1" w:themeTint="F2"/>
          <w:sz w:val="28"/>
          <w:szCs w:val="28"/>
          <w14:textFill>
            <w14:solidFill>
              <w14:schemeClr w14:val="tx1">
                <w14:lumMod w14:val="95000"/>
                <w14:lumOff w14:val="5000"/>
              </w14:schemeClr>
            </w14:solidFill>
          </w14:textFill>
        </w:rPr>
        <w:t>III</w:t>
      </w:r>
      <w:r>
        <w:rPr>
          <w:rFonts w:ascii="Times New Roman" w:hAnsi="Times New Roman" w:eastAsia="宋体" w:cs="宋体"/>
          <w:color w:val="0D0D0D" w:themeColor="text1" w:themeTint="F2"/>
          <w:sz w:val="28"/>
          <w:szCs w:val="28"/>
          <w14:textFill>
            <w14:solidFill>
              <w14:schemeClr w14:val="tx1">
                <w14:lumMod w14:val="95000"/>
                <w14:lumOff w14:val="5000"/>
              </w14:schemeClr>
            </w14:solidFill>
          </w14:textFill>
        </w:rPr>
        <w:fldChar w:fldCharType="end"/>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类</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标准限值</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要求，</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所有的指标单因子评价指数均小于1，即达到</w:t>
      </w:r>
      <w:r>
        <w:rPr>
          <w:rFonts w:ascii="Times New Roman" w:hAnsi="Times New Roman" w:eastAsia="宋体" w:cs="宋体"/>
          <w:color w:val="0D0D0D" w:themeColor="text1" w:themeTint="F2"/>
          <w:sz w:val="28"/>
          <w:szCs w:val="28"/>
          <w14:textFill>
            <w14:solidFill>
              <w14:schemeClr w14:val="tx1">
                <w14:lumMod w14:val="95000"/>
                <w14:lumOff w14:val="5000"/>
              </w14:schemeClr>
            </w14:solidFill>
          </w14:textFill>
        </w:rPr>
        <w:fldChar w:fldCharType="begin"/>
      </w:r>
      <w:r>
        <w:rPr>
          <w:rFonts w:ascii="Times New Roman" w:hAnsi="Times New Roman" w:eastAsia="宋体" w:cs="宋体"/>
          <w:color w:val="0D0D0D" w:themeColor="text1" w:themeTint="F2"/>
          <w:sz w:val="28"/>
          <w:szCs w:val="28"/>
          <w14:textFill>
            <w14:solidFill>
              <w14:schemeClr w14:val="tx1">
                <w14:lumMod w14:val="95000"/>
                <w14:lumOff w14:val="5000"/>
              </w14:schemeClr>
            </w14:solidFill>
          </w14:textFill>
        </w:rPr>
        <w:instrText xml:space="preserve"> </w:instrText>
      </w:r>
      <w:r>
        <w:rPr>
          <w:rFonts w:hint="eastAsia" w:ascii="Times New Roman" w:hAnsi="Times New Roman" w:eastAsia="宋体" w:cs="宋体"/>
          <w:color w:val="0D0D0D" w:themeColor="text1" w:themeTint="F2"/>
          <w:sz w:val="28"/>
          <w:szCs w:val="28"/>
          <w14:textFill>
            <w14:solidFill>
              <w14:schemeClr w14:val="tx1">
                <w14:lumMod w14:val="95000"/>
                <w14:lumOff w14:val="5000"/>
              </w14:schemeClr>
            </w14:solidFill>
          </w14:textFill>
        </w:rPr>
        <w:instrText xml:space="preserve">= 3 \* ROMAN</w:instrText>
      </w:r>
      <w:r>
        <w:rPr>
          <w:rFonts w:ascii="Times New Roman" w:hAnsi="Times New Roman" w:eastAsia="宋体" w:cs="宋体"/>
          <w:color w:val="0D0D0D" w:themeColor="text1" w:themeTint="F2"/>
          <w:sz w:val="28"/>
          <w:szCs w:val="28"/>
          <w14:textFill>
            <w14:solidFill>
              <w14:schemeClr w14:val="tx1">
                <w14:lumMod w14:val="95000"/>
                <w14:lumOff w14:val="5000"/>
              </w14:schemeClr>
            </w14:solidFill>
          </w14:textFill>
        </w:rPr>
        <w:instrText xml:space="preserve"> </w:instrText>
      </w:r>
      <w:r>
        <w:rPr>
          <w:rFonts w:ascii="Times New Roman" w:hAnsi="Times New Roman" w:eastAsia="宋体" w:cs="宋体"/>
          <w:color w:val="0D0D0D" w:themeColor="text1" w:themeTint="F2"/>
          <w:sz w:val="28"/>
          <w:szCs w:val="28"/>
          <w14:textFill>
            <w14:solidFill>
              <w14:schemeClr w14:val="tx1">
                <w14:lumMod w14:val="95000"/>
                <w14:lumOff w14:val="5000"/>
              </w14:schemeClr>
            </w14:solidFill>
          </w14:textFill>
        </w:rPr>
        <w:fldChar w:fldCharType="separate"/>
      </w:r>
      <w:r>
        <w:rPr>
          <w:rFonts w:ascii="Times New Roman" w:hAnsi="Times New Roman" w:eastAsia="宋体" w:cs="宋体"/>
          <w:color w:val="0D0D0D" w:themeColor="text1" w:themeTint="F2"/>
          <w:sz w:val="28"/>
          <w:szCs w:val="28"/>
          <w14:textFill>
            <w14:solidFill>
              <w14:schemeClr w14:val="tx1">
                <w14:lumMod w14:val="95000"/>
                <w14:lumOff w14:val="5000"/>
              </w14:schemeClr>
            </w14:solidFill>
          </w14:textFill>
        </w:rPr>
        <w:t>III</w:t>
      </w:r>
      <w:r>
        <w:rPr>
          <w:rFonts w:ascii="Times New Roman" w:hAnsi="Times New Roman" w:eastAsia="宋体" w:cs="宋体"/>
          <w:color w:val="0D0D0D" w:themeColor="text1" w:themeTint="F2"/>
          <w:sz w:val="28"/>
          <w:szCs w:val="28"/>
          <w14:textFill>
            <w14:solidFill>
              <w14:schemeClr w14:val="tx1">
                <w14:lumMod w14:val="95000"/>
                <w14:lumOff w14:val="5000"/>
              </w14:schemeClr>
            </w14:solidFill>
          </w14:textFill>
        </w:rPr>
        <w:fldChar w:fldCharType="end"/>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类</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水质标准。总氮的监测值为</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0.82mg/L</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其</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单因子</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评价指数为0.82</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大于</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0.8，</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为主要污染物</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因子。</w:t>
      </w:r>
    </w:p>
    <w:p>
      <w:pPr>
        <w:pStyle w:val="5"/>
        <w:spacing w:line="377" w:lineRule="auto"/>
        <w:ind w:firstLine="281" w:firstLineChars="100"/>
        <w:rPr>
          <w:color w:val="0D0D0D" w:themeColor="text1" w:themeTint="F2"/>
          <w:sz w:val="28"/>
          <w14:textFill>
            <w14:solidFill>
              <w14:schemeClr w14:val="tx1">
                <w14:lumMod w14:val="95000"/>
                <w14:lumOff w14:val="5000"/>
              </w14:schemeClr>
            </w14:solidFill>
          </w14:textFill>
        </w:rPr>
      </w:pPr>
      <w:r>
        <w:rPr>
          <w:rFonts w:hint="eastAsia"/>
          <w:color w:val="0D0D0D" w:themeColor="text1" w:themeTint="F2"/>
          <w:sz w:val="28"/>
          <w14:textFill>
            <w14:solidFill>
              <w14:schemeClr w14:val="tx1">
                <w14:lumMod w14:val="95000"/>
                <w14:lumOff w14:val="5000"/>
              </w14:schemeClr>
            </w14:solidFill>
          </w14:textFill>
        </w:rPr>
        <w:t>2.6.3.3</w:t>
      </w:r>
      <w:r>
        <w:rPr>
          <w:color w:val="0D0D0D" w:themeColor="text1" w:themeTint="F2"/>
          <w:sz w:val="28"/>
          <w14:textFill>
            <w14:solidFill>
              <w14:schemeClr w14:val="tx1">
                <w14:lumMod w14:val="95000"/>
                <w14:lumOff w14:val="5000"/>
              </w14:schemeClr>
            </w14:solidFill>
          </w14:textFill>
        </w:rPr>
        <w:t>水库营养状态评价</w:t>
      </w:r>
    </w:p>
    <w:p>
      <w:pPr>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按照水库</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综合</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营养状态评价模式，</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富村镇亦佐水库2</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019</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年11月的</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营养状态</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综合</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评价分数均低于50，</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为</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35.47</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，处于中营养状态，从营养状态评价水库水质良好。富村镇亦佐水库</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营养状态评价情况见表2.6-7。</w:t>
      </w:r>
    </w:p>
    <w:p>
      <w:pPr>
        <w:spacing w:line="360" w:lineRule="auto"/>
        <w:jc w:val="center"/>
        <w:outlineLvl w:val="5"/>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 xml:space="preserve">表2.6-7  </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富村镇亦佐水库</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营养状态评价汇总表</w:t>
      </w:r>
    </w:p>
    <w:tbl>
      <w:tblPr>
        <w:tblStyle w:val="45"/>
        <w:tblW w:w="914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376"/>
        <w:gridCol w:w="3385"/>
        <w:gridCol w:w="338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rPr>
        <w:tc>
          <w:tcPr>
            <w:tcW w:w="2376" w:type="dxa"/>
            <w:vMerge w:val="restart"/>
            <w:shd w:val="clear" w:color="auto" w:fill="D8D8D8" w:themeFill="background1" w:themeFillShade="D9"/>
            <w:vAlign w:val="center"/>
          </w:tcPr>
          <w:p>
            <w:pPr>
              <w:snapToGrid w:val="0"/>
              <w:jc w:val="center"/>
              <w:outlineLvl w:val="5"/>
              <w:rPr>
                <w:rFonts w:ascii="仿宋" w:hAnsi="仿宋" w:eastAsia="仿宋"/>
                <w:b/>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b/>
                <w:color w:val="0D0D0D" w:themeColor="text1" w:themeTint="F2"/>
                <w:sz w:val="24"/>
                <w:szCs w:val="24"/>
                <w14:textFill>
                  <w14:solidFill>
                    <w14:schemeClr w14:val="tx1">
                      <w14:lumMod w14:val="95000"/>
                      <w14:lumOff w14:val="5000"/>
                    </w14:schemeClr>
                  </w14:solidFill>
                </w14:textFill>
              </w:rPr>
              <w:t>评价参数</w:t>
            </w:r>
          </w:p>
        </w:tc>
        <w:tc>
          <w:tcPr>
            <w:tcW w:w="3385" w:type="dxa"/>
            <w:shd w:val="clear" w:color="auto" w:fill="D8D8D8" w:themeFill="background1" w:themeFillShade="D9"/>
            <w:vAlign w:val="center"/>
          </w:tcPr>
          <w:p>
            <w:pPr>
              <w:snapToGrid w:val="0"/>
              <w:jc w:val="center"/>
              <w:outlineLvl w:val="5"/>
              <w:rPr>
                <w:rFonts w:ascii="仿宋" w:hAnsi="仿宋" w:eastAsia="仿宋"/>
                <w:b/>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b/>
                <w:color w:val="0D0D0D" w:themeColor="text1" w:themeTint="F2"/>
                <w:sz w:val="24"/>
                <w:szCs w:val="24"/>
                <w14:textFill>
                  <w14:solidFill>
                    <w14:schemeClr w14:val="tx1">
                      <w14:lumMod w14:val="95000"/>
                      <w14:lumOff w14:val="5000"/>
                    </w14:schemeClr>
                  </w14:solidFill>
                </w14:textFill>
              </w:rPr>
              <w:t>监测结果</w:t>
            </w:r>
          </w:p>
        </w:tc>
        <w:tc>
          <w:tcPr>
            <w:tcW w:w="3386" w:type="dxa"/>
            <w:shd w:val="clear" w:color="auto" w:fill="D8D8D8" w:themeFill="background1" w:themeFillShade="D9"/>
            <w:vAlign w:val="center"/>
          </w:tcPr>
          <w:p>
            <w:pPr>
              <w:snapToGrid w:val="0"/>
              <w:jc w:val="center"/>
              <w:outlineLvl w:val="5"/>
              <w:rPr>
                <w:rFonts w:ascii="仿宋" w:hAnsi="仿宋" w:eastAsia="仿宋"/>
                <w:b/>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b/>
                <w:color w:val="0D0D0D" w:themeColor="text1" w:themeTint="F2"/>
                <w:sz w:val="24"/>
                <w:szCs w:val="24"/>
                <w14:textFill>
                  <w14:solidFill>
                    <w14:schemeClr w14:val="tx1">
                      <w14:lumMod w14:val="95000"/>
                      <w14:lumOff w14:val="5000"/>
                    </w14:schemeClr>
                  </w14:solidFill>
                </w14:textFill>
              </w:rPr>
              <w:t>营养状态指数（TLI</w:t>
            </w:r>
            <w:r>
              <w:rPr>
                <w:rFonts w:ascii="仿宋" w:hAnsi="仿宋" w:eastAsia="仿宋"/>
                <w:b/>
                <w:color w:val="0D0D0D" w:themeColor="text1" w:themeTint="F2"/>
                <w:sz w:val="24"/>
                <w:szCs w:val="24"/>
                <w:vertAlign w:val="subscript"/>
                <w14:textFill>
                  <w14:solidFill>
                    <w14:schemeClr w14:val="tx1">
                      <w14:lumMod w14:val="95000"/>
                      <w14:lumOff w14:val="5000"/>
                    </w14:schemeClr>
                  </w14:solidFill>
                </w14:textFill>
              </w:rPr>
              <w:t>j</w:t>
            </w:r>
            <w:r>
              <w:rPr>
                <w:rFonts w:hint="eastAsia" w:ascii="仿宋" w:hAnsi="仿宋" w:eastAsia="仿宋"/>
                <w:b/>
                <w:color w:val="0D0D0D" w:themeColor="text1" w:themeTint="F2"/>
                <w:sz w:val="24"/>
                <w:szCs w:val="24"/>
                <w14:textFill>
                  <w14:solidFill>
                    <w14:schemeClr w14:val="tx1">
                      <w14:lumMod w14:val="95000"/>
                      <w14:lumOff w14:val="5000"/>
                    </w14:schemeClr>
                  </w14:solidFill>
                </w14:textFill>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rPr>
        <w:tc>
          <w:tcPr>
            <w:tcW w:w="2376" w:type="dxa"/>
            <w:vMerge w:val="continue"/>
            <w:shd w:val="clear" w:color="auto" w:fill="D8D8D8" w:themeFill="background1" w:themeFillShade="D9"/>
            <w:vAlign w:val="center"/>
          </w:tcPr>
          <w:p>
            <w:pPr>
              <w:snapToGrid w:val="0"/>
              <w:jc w:val="center"/>
              <w:outlineLvl w:val="5"/>
              <w:rPr>
                <w:rFonts w:ascii="仿宋" w:hAnsi="仿宋" w:eastAsia="仿宋"/>
                <w:b/>
                <w:color w:val="0D0D0D" w:themeColor="text1" w:themeTint="F2"/>
                <w:sz w:val="24"/>
                <w:szCs w:val="24"/>
                <w14:textFill>
                  <w14:solidFill>
                    <w14:schemeClr w14:val="tx1">
                      <w14:lumMod w14:val="95000"/>
                      <w14:lumOff w14:val="5000"/>
                    </w14:schemeClr>
                  </w14:solidFill>
                </w14:textFill>
              </w:rPr>
            </w:pPr>
          </w:p>
        </w:tc>
        <w:tc>
          <w:tcPr>
            <w:tcW w:w="3385" w:type="dxa"/>
            <w:shd w:val="clear" w:color="auto" w:fill="D8D8D8" w:themeFill="background1" w:themeFillShade="D9"/>
            <w:vAlign w:val="center"/>
          </w:tcPr>
          <w:p>
            <w:pPr>
              <w:snapToGrid w:val="0"/>
              <w:jc w:val="center"/>
              <w:outlineLvl w:val="5"/>
              <w:rPr>
                <w:rFonts w:ascii="仿宋" w:hAnsi="仿宋" w:eastAsia="仿宋"/>
                <w:b/>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b/>
                <w:color w:val="0D0D0D" w:themeColor="text1" w:themeTint="F2"/>
                <w:sz w:val="24"/>
                <w:szCs w:val="24"/>
                <w14:textFill>
                  <w14:solidFill>
                    <w14:schemeClr w14:val="tx1">
                      <w14:lumMod w14:val="95000"/>
                      <w14:lumOff w14:val="5000"/>
                    </w14:schemeClr>
                  </w14:solidFill>
                </w14:textFill>
              </w:rPr>
              <w:t>2019年11月</w:t>
            </w:r>
          </w:p>
        </w:tc>
        <w:tc>
          <w:tcPr>
            <w:tcW w:w="3386" w:type="dxa"/>
            <w:shd w:val="clear" w:color="auto" w:fill="D8D8D8" w:themeFill="background1" w:themeFillShade="D9"/>
            <w:vAlign w:val="center"/>
          </w:tcPr>
          <w:p>
            <w:pPr>
              <w:snapToGrid w:val="0"/>
              <w:jc w:val="center"/>
              <w:outlineLvl w:val="5"/>
              <w:rPr>
                <w:rFonts w:ascii="仿宋" w:hAnsi="仿宋" w:eastAsia="仿宋"/>
                <w:b/>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b/>
                <w:color w:val="0D0D0D" w:themeColor="text1" w:themeTint="F2"/>
                <w:sz w:val="24"/>
                <w:szCs w:val="24"/>
                <w14:textFill>
                  <w14:solidFill>
                    <w14:schemeClr w14:val="tx1">
                      <w14:lumMod w14:val="95000"/>
                      <w14:lumOff w14:val="5000"/>
                    </w14:schemeClr>
                  </w14:solidFill>
                </w14:textFill>
              </w:rPr>
              <w:t>2019年11月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rPr>
        <w:tc>
          <w:tcPr>
            <w:tcW w:w="2376" w:type="dxa"/>
            <w:vAlign w:val="center"/>
          </w:tcPr>
          <w:p>
            <w:pPr>
              <w:widowControl/>
              <w:snapToGrid w:val="0"/>
              <w:jc w:val="cente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pPr>
            <w: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t>透明度</w:t>
            </w:r>
            <w:r>
              <w:rPr>
                <w:rFonts w:hint="eastAsia" w:ascii="仿宋" w:hAnsi="仿宋" w:eastAsia="仿宋" w:cs="Times New Roman"/>
                <w:color w:val="0D0D0D" w:themeColor="text1" w:themeTint="F2"/>
                <w:sz w:val="24"/>
                <w:szCs w:val="24"/>
                <w14:textFill>
                  <w14:solidFill>
                    <w14:schemeClr w14:val="tx1">
                      <w14:lumMod w14:val="95000"/>
                      <w14:lumOff w14:val="5000"/>
                    </w14:schemeClr>
                  </w14:solidFill>
                </w14:textFill>
              </w:rPr>
              <w:t>(</w:t>
            </w:r>
            <w: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t>cm)</w:t>
            </w:r>
          </w:p>
        </w:tc>
        <w:tc>
          <w:tcPr>
            <w:tcW w:w="3385" w:type="dxa"/>
            <w:vAlign w:val="center"/>
          </w:tcPr>
          <w:p>
            <w:pPr>
              <w:widowControl/>
              <w:snapToGrid w:val="0"/>
              <w:jc w:val="cente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s="Times New Roman"/>
                <w:color w:val="0D0D0D" w:themeColor="text1" w:themeTint="F2"/>
                <w:sz w:val="24"/>
                <w:szCs w:val="24"/>
                <w14:textFill>
                  <w14:solidFill>
                    <w14:schemeClr w14:val="tx1">
                      <w14:lumMod w14:val="95000"/>
                      <w14:lumOff w14:val="5000"/>
                    </w14:schemeClr>
                  </w14:solidFill>
                </w14:textFill>
              </w:rPr>
              <w:t>1</w:t>
            </w:r>
            <w: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t>5</w:t>
            </w:r>
            <w:r>
              <w:rPr>
                <w:rFonts w:hint="eastAsia" w:ascii="仿宋" w:hAnsi="仿宋" w:eastAsia="仿宋" w:cs="Times New Roman"/>
                <w:color w:val="0D0D0D" w:themeColor="text1" w:themeTint="F2"/>
                <w:sz w:val="24"/>
                <w:szCs w:val="24"/>
                <w14:textFill>
                  <w14:solidFill>
                    <w14:schemeClr w14:val="tx1">
                      <w14:lumMod w14:val="95000"/>
                      <w14:lumOff w14:val="5000"/>
                    </w14:schemeClr>
                  </w14:solidFill>
                </w14:textFill>
              </w:rPr>
              <w:t>0</w:t>
            </w:r>
          </w:p>
        </w:tc>
        <w:tc>
          <w:tcPr>
            <w:tcW w:w="3386" w:type="dxa"/>
            <w:vAlign w:val="center"/>
          </w:tcPr>
          <w:p>
            <w:pPr>
              <w:widowControl/>
              <w:snapToGrid w:val="0"/>
              <w:jc w:val="cente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s="Times New Roman"/>
                <w:color w:val="0D0D0D" w:themeColor="text1" w:themeTint="F2"/>
                <w:sz w:val="24"/>
                <w:szCs w:val="24"/>
                <w14:textFill>
                  <w14:solidFill>
                    <w14:schemeClr w14:val="tx1">
                      <w14:lumMod w14:val="95000"/>
                      <w14:lumOff w14:val="5000"/>
                    </w14:schemeClr>
                  </w14:solidFill>
                </w14:textFill>
              </w:rPr>
              <w:t>7.94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rPr>
        <w:tc>
          <w:tcPr>
            <w:tcW w:w="2376" w:type="dxa"/>
            <w:vAlign w:val="center"/>
          </w:tcPr>
          <w:p>
            <w:pPr>
              <w:snapToGrid w:val="0"/>
              <w:jc w:val="cente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pPr>
            <w: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t>叶绿素a (mg/m</w:t>
            </w:r>
            <w:r>
              <w:rPr>
                <w:rFonts w:ascii="仿宋" w:hAnsi="仿宋" w:eastAsia="仿宋" w:cs="Times New Roman"/>
                <w:color w:val="0D0D0D" w:themeColor="text1" w:themeTint="F2"/>
                <w:sz w:val="24"/>
                <w:szCs w:val="24"/>
                <w:vertAlign w:val="superscript"/>
                <w14:textFill>
                  <w14:solidFill>
                    <w14:schemeClr w14:val="tx1">
                      <w14:lumMod w14:val="95000"/>
                      <w14:lumOff w14:val="5000"/>
                    </w14:schemeClr>
                  </w14:solidFill>
                </w14:textFill>
              </w:rPr>
              <w:t>3</w:t>
            </w:r>
            <w: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t>)</w:t>
            </w:r>
          </w:p>
        </w:tc>
        <w:tc>
          <w:tcPr>
            <w:tcW w:w="3385" w:type="dxa"/>
            <w:vAlign w:val="center"/>
          </w:tcPr>
          <w:p>
            <w:pPr>
              <w:snapToGrid w:val="0"/>
              <w:jc w:val="cente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s="Times New Roman"/>
                <w:color w:val="0D0D0D" w:themeColor="text1" w:themeTint="F2"/>
                <w:sz w:val="24"/>
                <w:szCs w:val="24"/>
                <w14:textFill>
                  <w14:solidFill>
                    <w14:schemeClr w14:val="tx1">
                      <w14:lumMod w14:val="95000"/>
                      <w14:lumOff w14:val="5000"/>
                    </w14:schemeClr>
                  </w14:solidFill>
                </w14:textFill>
              </w:rPr>
              <w:t>0.002L</w:t>
            </w:r>
          </w:p>
        </w:tc>
        <w:tc>
          <w:tcPr>
            <w:tcW w:w="3386" w:type="dxa"/>
            <w:vAlign w:val="center"/>
          </w:tcPr>
          <w:p>
            <w:pPr>
              <w:snapToGrid w:val="0"/>
              <w:jc w:val="cente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pPr>
            <w: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t>9.50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rPr>
        <w:tc>
          <w:tcPr>
            <w:tcW w:w="2376" w:type="dxa"/>
            <w:vAlign w:val="center"/>
          </w:tcPr>
          <w:p>
            <w:pPr>
              <w:snapToGrid w:val="0"/>
              <w:jc w:val="cente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pPr>
            <w: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t>总氮(mg/L)</w:t>
            </w:r>
          </w:p>
        </w:tc>
        <w:tc>
          <w:tcPr>
            <w:tcW w:w="3385" w:type="dxa"/>
            <w:vAlign w:val="center"/>
          </w:tcPr>
          <w:p>
            <w:pPr>
              <w:snapToGrid w:val="0"/>
              <w:jc w:val="cente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pPr>
            <w: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t>0.816</w:t>
            </w:r>
          </w:p>
        </w:tc>
        <w:tc>
          <w:tcPr>
            <w:tcW w:w="3386" w:type="dxa"/>
            <w:vAlign w:val="center"/>
          </w:tcPr>
          <w:p>
            <w:pPr>
              <w:snapToGrid w:val="0"/>
              <w:jc w:val="cente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s="Times New Roman"/>
                <w:color w:val="0D0D0D" w:themeColor="text1" w:themeTint="F2"/>
                <w:sz w:val="24"/>
                <w:szCs w:val="24"/>
                <w14:textFill>
                  <w14:solidFill>
                    <w14:schemeClr w14:val="tx1">
                      <w14:lumMod w14:val="95000"/>
                      <w14:lumOff w14:val="5000"/>
                    </w14:schemeClr>
                  </w14:solidFill>
                </w14:textFill>
              </w:rPr>
              <w:t>9.15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rPr>
        <w:tc>
          <w:tcPr>
            <w:tcW w:w="2376" w:type="dxa"/>
            <w:vAlign w:val="center"/>
          </w:tcPr>
          <w:p>
            <w:pPr>
              <w:snapToGrid w:val="0"/>
              <w:jc w:val="cente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pPr>
            <w: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t>总磷(mg/L)</w:t>
            </w:r>
          </w:p>
        </w:tc>
        <w:tc>
          <w:tcPr>
            <w:tcW w:w="3385" w:type="dxa"/>
            <w:vAlign w:val="center"/>
          </w:tcPr>
          <w:p>
            <w:pPr>
              <w:snapToGrid w:val="0"/>
              <w:jc w:val="cente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s="Times New Roman"/>
                <w:color w:val="0D0D0D" w:themeColor="text1" w:themeTint="F2"/>
                <w:sz w:val="24"/>
                <w:szCs w:val="24"/>
                <w14:textFill>
                  <w14:solidFill>
                    <w14:schemeClr w14:val="tx1">
                      <w14:lumMod w14:val="95000"/>
                      <w14:lumOff w14:val="5000"/>
                    </w14:schemeClr>
                  </w14:solidFill>
                </w14:textFill>
              </w:rPr>
              <w:t>0.01</w:t>
            </w:r>
            <w: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t>7</w:t>
            </w:r>
          </w:p>
        </w:tc>
        <w:tc>
          <w:tcPr>
            <w:tcW w:w="3386" w:type="dxa"/>
            <w:vAlign w:val="center"/>
          </w:tcPr>
          <w:p>
            <w:pPr>
              <w:snapToGrid w:val="0"/>
              <w:jc w:val="cente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s="Times New Roman"/>
                <w:color w:val="0D0D0D" w:themeColor="text1" w:themeTint="F2"/>
                <w:sz w:val="24"/>
                <w:szCs w:val="24"/>
                <w14:textFill>
                  <w14:solidFill>
                    <w14:schemeClr w14:val="tx1">
                      <w14:lumMod w14:val="95000"/>
                      <w14:lumOff w14:val="5000"/>
                    </w14:schemeClr>
                  </w14:solidFill>
                </w14:textFill>
              </w:rPr>
              <w:t>5.30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rPr>
        <w:tc>
          <w:tcPr>
            <w:tcW w:w="2376" w:type="dxa"/>
            <w:vAlign w:val="center"/>
          </w:tcPr>
          <w:p>
            <w:pPr>
              <w:snapToGrid w:val="0"/>
              <w:jc w:val="cente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pPr>
            <w: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t>高锰酸盐指数</w:t>
            </w:r>
            <w:r>
              <w:rPr>
                <w:rFonts w:hint="eastAsia" w:ascii="仿宋" w:hAnsi="仿宋" w:eastAsia="仿宋" w:cs="Times New Roman"/>
                <w:color w:val="0D0D0D" w:themeColor="text1" w:themeTint="F2"/>
                <w:sz w:val="24"/>
                <w:szCs w:val="24"/>
                <w14:textFill>
                  <w14:solidFill>
                    <w14:schemeClr w14:val="tx1">
                      <w14:lumMod w14:val="95000"/>
                      <w14:lumOff w14:val="5000"/>
                    </w14:schemeClr>
                  </w14:solidFill>
                </w14:textFill>
              </w:rPr>
              <w:t>(</w:t>
            </w:r>
            <w: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t>mg/L)</w:t>
            </w:r>
          </w:p>
        </w:tc>
        <w:tc>
          <w:tcPr>
            <w:tcW w:w="3385" w:type="dxa"/>
            <w:vAlign w:val="center"/>
          </w:tcPr>
          <w:p>
            <w:pPr>
              <w:widowControl/>
              <w:snapToGrid w:val="0"/>
              <w:jc w:val="cente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pPr>
            <w: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t>2</w:t>
            </w:r>
          </w:p>
        </w:tc>
        <w:tc>
          <w:tcPr>
            <w:tcW w:w="3386" w:type="dxa"/>
            <w:vAlign w:val="center"/>
          </w:tcPr>
          <w:p>
            <w:pPr>
              <w:snapToGrid w:val="0"/>
              <w:jc w:val="cente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s="Times New Roman"/>
                <w:color w:val="0D0D0D" w:themeColor="text1" w:themeTint="F2"/>
                <w:sz w:val="24"/>
                <w:szCs w:val="24"/>
                <w14:textFill>
                  <w14:solidFill>
                    <w14:schemeClr w14:val="tx1">
                      <w14:lumMod w14:val="95000"/>
                      <w14:lumOff w14:val="5000"/>
                    </w14:schemeClr>
                  </w14:solidFill>
                </w14:textFill>
              </w:rPr>
              <w:t>3.58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rPr>
        <w:tc>
          <w:tcPr>
            <w:tcW w:w="5761" w:type="dxa"/>
            <w:gridSpan w:val="2"/>
            <w:vAlign w:val="center"/>
          </w:tcPr>
          <w:p>
            <w:pPr>
              <w:snapToGrid w:val="0"/>
              <w:jc w:val="cente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4"/>
                <w:szCs w:val="24"/>
                <w14:textFill>
                  <w14:solidFill>
                    <w14:schemeClr w14:val="tx1">
                      <w14:lumMod w14:val="95000"/>
                      <w14:lumOff w14:val="5000"/>
                    </w14:schemeClr>
                  </w14:solidFill>
                </w14:textFill>
              </w:rPr>
              <w:t>综合指数</w:t>
            </w:r>
          </w:p>
        </w:tc>
        <w:tc>
          <w:tcPr>
            <w:tcW w:w="3386" w:type="dxa"/>
            <w:vAlign w:val="center"/>
          </w:tcPr>
          <w:p>
            <w:pPr>
              <w:snapToGrid w:val="0"/>
              <w:jc w:val="cente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pPr>
            <w: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t>35.47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rPr>
        <w:tc>
          <w:tcPr>
            <w:tcW w:w="5761" w:type="dxa"/>
            <w:gridSpan w:val="2"/>
            <w:vAlign w:val="center"/>
          </w:tcPr>
          <w:p>
            <w:pPr>
              <w:snapToGrid w:val="0"/>
              <w:jc w:val="cente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4"/>
                <w:szCs w:val="24"/>
                <w14:textFill>
                  <w14:solidFill>
                    <w14:schemeClr w14:val="tx1">
                      <w14:lumMod w14:val="95000"/>
                      <w14:lumOff w14:val="5000"/>
                    </w14:schemeClr>
                  </w14:solidFill>
                </w14:textFill>
              </w:rPr>
              <w:t>营养状态分级</w:t>
            </w:r>
          </w:p>
        </w:tc>
        <w:tc>
          <w:tcPr>
            <w:tcW w:w="3386" w:type="dxa"/>
            <w:vAlign w:val="center"/>
          </w:tcPr>
          <w:p>
            <w:pPr>
              <w:snapToGrid w:val="0"/>
              <w:jc w:val="cente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s="Times New Roman"/>
                <w:color w:val="0D0D0D" w:themeColor="text1" w:themeTint="F2"/>
                <w:sz w:val="24"/>
                <w:szCs w:val="24"/>
                <w14:textFill>
                  <w14:solidFill>
                    <w14:schemeClr w14:val="tx1">
                      <w14:lumMod w14:val="95000"/>
                      <w14:lumOff w14:val="5000"/>
                    </w14:schemeClr>
                  </w14:solidFill>
                </w14:textFill>
              </w:rPr>
              <w:t>中营养化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rPr>
        <w:tc>
          <w:tcPr>
            <w:tcW w:w="5761" w:type="dxa"/>
            <w:gridSpan w:val="2"/>
            <w:vAlign w:val="center"/>
          </w:tcPr>
          <w:p>
            <w:pPr>
              <w:snapToGrid w:val="0"/>
              <w:jc w:val="cente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4"/>
                <w:szCs w:val="24"/>
                <w14:textFill>
                  <w14:solidFill>
                    <w14:schemeClr w14:val="tx1">
                      <w14:lumMod w14:val="95000"/>
                      <w14:lumOff w14:val="5000"/>
                    </w14:schemeClr>
                  </w14:solidFill>
                </w14:textFill>
              </w:rPr>
              <w:t>定性评价</w:t>
            </w:r>
          </w:p>
        </w:tc>
        <w:tc>
          <w:tcPr>
            <w:tcW w:w="3386" w:type="dxa"/>
            <w:vAlign w:val="center"/>
          </w:tcPr>
          <w:p>
            <w:pPr>
              <w:snapToGrid w:val="0"/>
              <w:jc w:val="center"/>
              <w:rPr>
                <w:rFonts w:ascii="仿宋" w:hAnsi="仿宋"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s="Times New Roman"/>
                <w:color w:val="0D0D0D" w:themeColor="text1" w:themeTint="F2"/>
                <w:sz w:val="24"/>
                <w:szCs w:val="24"/>
                <w14:textFill>
                  <w14:solidFill>
                    <w14:schemeClr w14:val="tx1">
                      <w14:lumMod w14:val="95000"/>
                      <w14:lumOff w14:val="5000"/>
                    </w14:schemeClr>
                  </w14:solidFill>
                </w14:textFill>
              </w:rPr>
              <w:t>良好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rPr>
        <w:tc>
          <w:tcPr>
            <w:tcW w:w="9147" w:type="dxa"/>
            <w:gridSpan w:val="3"/>
            <w:vAlign w:val="center"/>
          </w:tcPr>
          <w:p>
            <w:pPr>
              <w:snapToGrid w:val="0"/>
              <w:jc w:val="left"/>
              <w:rPr>
                <w:rFonts w:ascii="仿宋" w:hAnsi="仿宋" w:eastAsia="仿宋"/>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4"/>
                <w:szCs w:val="24"/>
                <w14:textFill>
                  <w14:solidFill>
                    <w14:schemeClr w14:val="tx1">
                      <w14:lumMod w14:val="95000"/>
                      <w14:lumOff w14:val="5000"/>
                    </w14:schemeClr>
                  </w14:solidFill>
                </w14:textFill>
              </w:rPr>
              <w:t>*根据《水环境监测规范》（SL</w:t>
            </w:r>
            <w:r>
              <w:rPr>
                <w:rFonts w:ascii="仿宋" w:hAnsi="仿宋" w:eastAsia="仿宋"/>
                <w:color w:val="0D0D0D" w:themeColor="text1" w:themeTint="F2"/>
                <w:sz w:val="24"/>
                <w:szCs w:val="24"/>
                <w14:textFill>
                  <w14:solidFill>
                    <w14:schemeClr w14:val="tx1">
                      <w14:lumMod w14:val="95000"/>
                      <w14:lumOff w14:val="5000"/>
                    </w14:schemeClr>
                  </w14:solidFill>
                </w14:textFill>
              </w:rPr>
              <w:t>219-98</w:t>
            </w:r>
            <w:r>
              <w:rPr>
                <w:rFonts w:hint="eastAsia" w:ascii="仿宋" w:hAnsi="仿宋" w:eastAsia="仿宋"/>
                <w:color w:val="0D0D0D" w:themeColor="text1" w:themeTint="F2"/>
                <w:sz w:val="24"/>
                <w:szCs w:val="24"/>
                <w14:textFill>
                  <w14:solidFill>
                    <w14:schemeClr w14:val="tx1">
                      <w14:lumMod w14:val="95000"/>
                      <w14:lumOff w14:val="5000"/>
                    </w14:schemeClr>
                  </w14:solidFill>
                </w14:textFill>
              </w:rPr>
              <w:t>），当测定结果低于分析方法的最低检出浓度时，按1/</w:t>
            </w:r>
            <w:r>
              <w:rPr>
                <w:rFonts w:ascii="仿宋" w:hAnsi="仿宋" w:eastAsia="仿宋"/>
                <w:color w:val="0D0D0D" w:themeColor="text1" w:themeTint="F2"/>
                <w:sz w:val="24"/>
                <w:szCs w:val="24"/>
                <w14:textFill>
                  <w14:solidFill>
                    <w14:schemeClr w14:val="tx1">
                      <w14:lumMod w14:val="95000"/>
                      <w14:lumOff w14:val="5000"/>
                    </w14:schemeClr>
                  </w14:solidFill>
                </w14:textFill>
              </w:rPr>
              <w:t>2</w:t>
            </w:r>
            <w:r>
              <w:rPr>
                <w:rFonts w:hint="eastAsia" w:ascii="仿宋" w:hAnsi="仿宋" w:eastAsia="仿宋"/>
                <w:color w:val="0D0D0D" w:themeColor="text1" w:themeTint="F2"/>
                <w:sz w:val="24"/>
                <w:szCs w:val="24"/>
                <w14:textFill>
                  <w14:solidFill>
                    <w14:schemeClr w14:val="tx1">
                      <w14:lumMod w14:val="95000"/>
                      <w14:lumOff w14:val="5000"/>
                    </w14:schemeClr>
                  </w14:solidFill>
                </w14:textFill>
              </w:rPr>
              <w:t>最低检出浓度值参与统计处理。</w:t>
            </w:r>
          </w:p>
        </w:tc>
      </w:tr>
    </w:tbl>
    <w:p>
      <w:pPr>
        <w:pStyle w:val="5"/>
        <w:spacing w:line="377" w:lineRule="auto"/>
        <w:ind w:firstLine="281" w:firstLineChars="100"/>
        <w:rPr>
          <w:color w:val="0D0D0D" w:themeColor="text1" w:themeTint="F2"/>
          <w:sz w:val="28"/>
          <w14:textFill>
            <w14:solidFill>
              <w14:schemeClr w14:val="tx1">
                <w14:lumMod w14:val="95000"/>
                <w14:lumOff w14:val="5000"/>
              </w14:schemeClr>
            </w14:solidFill>
          </w14:textFill>
        </w:rPr>
      </w:pPr>
      <w:r>
        <w:rPr>
          <w:color w:val="0D0D0D" w:themeColor="text1" w:themeTint="F2"/>
          <w:sz w:val="28"/>
          <w14:textFill>
            <w14:solidFill>
              <w14:schemeClr w14:val="tx1">
                <w14:lumMod w14:val="95000"/>
                <w14:lumOff w14:val="5000"/>
              </w14:schemeClr>
            </w14:solidFill>
          </w14:textFill>
        </w:rPr>
        <w:t>2.</w:t>
      </w:r>
      <w:r>
        <w:rPr>
          <w:rFonts w:hint="eastAsia"/>
          <w:color w:val="0D0D0D" w:themeColor="text1" w:themeTint="F2"/>
          <w:sz w:val="28"/>
          <w14:textFill>
            <w14:solidFill>
              <w14:schemeClr w14:val="tx1">
                <w14:lumMod w14:val="95000"/>
                <w14:lumOff w14:val="5000"/>
              </w14:schemeClr>
            </w14:solidFill>
          </w14:textFill>
        </w:rPr>
        <w:t>6</w:t>
      </w:r>
      <w:r>
        <w:rPr>
          <w:color w:val="0D0D0D" w:themeColor="text1" w:themeTint="F2"/>
          <w:sz w:val="28"/>
          <w14:textFill>
            <w14:solidFill>
              <w14:schemeClr w14:val="tx1">
                <w14:lumMod w14:val="95000"/>
                <w14:lumOff w14:val="5000"/>
              </w14:schemeClr>
            </w14:solidFill>
          </w14:textFill>
        </w:rPr>
        <w:t>.</w:t>
      </w:r>
      <w:r>
        <w:rPr>
          <w:rFonts w:hint="eastAsia"/>
          <w:color w:val="0D0D0D" w:themeColor="text1" w:themeTint="F2"/>
          <w:sz w:val="28"/>
          <w14:textFill>
            <w14:solidFill>
              <w14:schemeClr w14:val="tx1">
                <w14:lumMod w14:val="95000"/>
                <w14:lumOff w14:val="5000"/>
              </w14:schemeClr>
            </w14:solidFill>
          </w14:textFill>
        </w:rPr>
        <w:t>3</w:t>
      </w:r>
      <w:r>
        <w:rPr>
          <w:color w:val="0D0D0D" w:themeColor="text1" w:themeTint="F2"/>
          <w:sz w:val="28"/>
          <w14:textFill>
            <w14:solidFill>
              <w14:schemeClr w14:val="tx1">
                <w14:lumMod w14:val="95000"/>
                <w14:lumOff w14:val="5000"/>
              </w14:schemeClr>
            </w14:solidFill>
          </w14:textFill>
        </w:rPr>
        <w:t>.4 主要污染物</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根据前述</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评价</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富村镇亦佐水库各项监测指标均达到</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《地表水环境质量标准》</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GB3838-2002</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）中</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fldChar w:fldCharType="begin"/>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instrText xml:space="preserve"> </w:instrTex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instrText xml:space="preserve">= 3 \* ROMAN</w:instrTex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instrText xml:space="preserve"> </w:instrTex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fldChar w:fldCharType="separate"/>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III</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fldChar w:fldCharType="end"/>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类</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水质</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标准、集中式饮用水地表水源地补充项目标准限值要求。富村镇亦佐水库按</w:t>
      </w:r>
      <w:r>
        <w:rPr>
          <w:rFonts w:ascii="Times New Roman" w:hAnsi="Times New Roman" w:eastAsia="宋体" w:cs="宋体"/>
          <w:color w:val="0D0D0D" w:themeColor="text1" w:themeTint="F2"/>
          <w:sz w:val="28"/>
          <w:szCs w:val="28"/>
          <w14:textFill>
            <w14:solidFill>
              <w14:schemeClr w14:val="tx1">
                <w14:lumMod w14:val="95000"/>
                <w14:lumOff w14:val="5000"/>
              </w14:schemeClr>
            </w14:solidFill>
          </w14:textFill>
        </w:rPr>
        <w:fldChar w:fldCharType="begin"/>
      </w:r>
      <w:r>
        <w:rPr>
          <w:rFonts w:ascii="Times New Roman" w:hAnsi="Times New Roman" w:eastAsia="宋体" w:cs="宋体"/>
          <w:color w:val="0D0D0D" w:themeColor="text1" w:themeTint="F2"/>
          <w:sz w:val="28"/>
          <w:szCs w:val="28"/>
          <w14:textFill>
            <w14:solidFill>
              <w14:schemeClr w14:val="tx1">
                <w14:lumMod w14:val="95000"/>
                <w14:lumOff w14:val="5000"/>
              </w14:schemeClr>
            </w14:solidFill>
          </w14:textFill>
        </w:rPr>
        <w:instrText xml:space="preserve"> </w:instrText>
      </w:r>
      <w:r>
        <w:rPr>
          <w:rFonts w:hint="eastAsia" w:ascii="Times New Roman" w:hAnsi="Times New Roman" w:eastAsia="宋体" w:cs="宋体"/>
          <w:color w:val="0D0D0D" w:themeColor="text1" w:themeTint="F2"/>
          <w:sz w:val="28"/>
          <w:szCs w:val="28"/>
          <w14:textFill>
            <w14:solidFill>
              <w14:schemeClr w14:val="tx1">
                <w14:lumMod w14:val="95000"/>
                <w14:lumOff w14:val="5000"/>
              </w14:schemeClr>
            </w14:solidFill>
          </w14:textFill>
        </w:rPr>
        <w:instrText xml:space="preserve">= 3 \* ROMAN</w:instrText>
      </w:r>
      <w:r>
        <w:rPr>
          <w:rFonts w:ascii="Times New Roman" w:hAnsi="Times New Roman" w:eastAsia="宋体" w:cs="宋体"/>
          <w:color w:val="0D0D0D" w:themeColor="text1" w:themeTint="F2"/>
          <w:sz w:val="28"/>
          <w:szCs w:val="28"/>
          <w14:textFill>
            <w14:solidFill>
              <w14:schemeClr w14:val="tx1">
                <w14:lumMod w14:val="95000"/>
                <w14:lumOff w14:val="5000"/>
              </w14:schemeClr>
            </w14:solidFill>
          </w14:textFill>
        </w:rPr>
        <w:instrText xml:space="preserve"> </w:instrText>
      </w:r>
      <w:r>
        <w:rPr>
          <w:rFonts w:ascii="Times New Roman" w:hAnsi="Times New Roman" w:eastAsia="宋体" w:cs="宋体"/>
          <w:color w:val="0D0D0D" w:themeColor="text1" w:themeTint="F2"/>
          <w:sz w:val="28"/>
          <w:szCs w:val="28"/>
          <w14:textFill>
            <w14:solidFill>
              <w14:schemeClr w14:val="tx1">
                <w14:lumMod w14:val="95000"/>
                <w14:lumOff w14:val="5000"/>
              </w14:schemeClr>
            </w14:solidFill>
          </w14:textFill>
        </w:rPr>
        <w:fldChar w:fldCharType="separate"/>
      </w:r>
      <w:r>
        <w:rPr>
          <w:rFonts w:ascii="Times New Roman" w:hAnsi="Times New Roman" w:eastAsia="宋体" w:cs="宋体"/>
          <w:color w:val="0D0D0D" w:themeColor="text1" w:themeTint="F2"/>
          <w:sz w:val="28"/>
          <w:szCs w:val="28"/>
          <w14:textFill>
            <w14:solidFill>
              <w14:schemeClr w14:val="tx1">
                <w14:lumMod w14:val="95000"/>
                <w14:lumOff w14:val="5000"/>
              </w14:schemeClr>
            </w14:solidFill>
          </w14:textFill>
        </w:rPr>
        <w:t>III</w:t>
      </w:r>
      <w:r>
        <w:rPr>
          <w:rFonts w:ascii="Times New Roman" w:hAnsi="Times New Roman" w:eastAsia="宋体" w:cs="宋体"/>
          <w:color w:val="0D0D0D" w:themeColor="text1" w:themeTint="F2"/>
          <w:sz w:val="28"/>
          <w:szCs w:val="28"/>
          <w14:textFill>
            <w14:solidFill>
              <w14:schemeClr w14:val="tx1">
                <w14:lumMod w14:val="95000"/>
                <w14:lumOff w14:val="5000"/>
              </w14:schemeClr>
            </w14:solidFill>
          </w14:textFill>
        </w:rPr>
        <w:fldChar w:fldCharType="end"/>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类</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水质目标要求，所有</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监测项目未</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超过</w:t>
      </w:r>
      <w:r>
        <w:rPr>
          <w:rFonts w:ascii="Times New Roman" w:hAnsi="Times New Roman" w:eastAsia="宋体" w:cs="宋体"/>
          <w:color w:val="0D0D0D" w:themeColor="text1" w:themeTint="F2"/>
          <w:sz w:val="28"/>
          <w:szCs w:val="28"/>
          <w14:textFill>
            <w14:solidFill>
              <w14:schemeClr w14:val="tx1">
                <w14:lumMod w14:val="95000"/>
                <w14:lumOff w14:val="5000"/>
              </w14:schemeClr>
            </w14:solidFill>
          </w14:textFill>
        </w:rPr>
        <w:fldChar w:fldCharType="begin"/>
      </w:r>
      <w:r>
        <w:rPr>
          <w:rFonts w:ascii="Times New Roman" w:hAnsi="Times New Roman" w:eastAsia="宋体" w:cs="宋体"/>
          <w:color w:val="0D0D0D" w:themeColor="text1" w:themeTint="F2"/>
          <w:sz w:val="28"/>
          <w:szCs w:val="28"/>
          <w14:textFill>
            <w14:solidFill>
              <w14:schemeClr w14:val="tx1">
                <w14:lumMod w14:val="95000"/>
                <w14:lumOff w14:val="5000"/>
              </w14:schemeClr>
            </w14:solidFill>
          </w14:textFill>
        </w:rPr>
        <w:instrText xml:space="preserve"> </w:instrText>
      </w:r>
      <w:r>
        <w:rPr>
          <w:rFonts w:hint="eastAsia" w:ascii="Times New Roman" w:hAnsi="Times New Roman" w:eastAsia="宋体" w:cs="宋体"/>
          <w:color w:val="0D0D0D" w:themeColor="text1" w:themeTint="F2"/>
          <w:sz w:val="28"/>
          <w:szCs w:val="28"/>
          <w14:textFill>
            <w14:solidFill>
              <w14:schemeClr w14:val="tx1">
                <w14:lumMod w14:val="95000"/>
                <w14:lumOff w14:val="5000"/>
              </w14:schemeClr>
            </w14:solidFill>
          </w14:textFill>
        </w:rPr>
        <w:instrText xml:space="preserve">= 3 \* ROMAN</w:instrText>
      </w:r>
      <w:r>
        <w:rPr>
          <w:rFonts w:ascii="Times New Roman" w:hAnsi="Times New Roman" w:eastAsia="宋体" w:cs="宋体"/>
          <w:color w:val="0D0D0D" w:themeColor="text1" w:themeTint="F2"/>
          <w:sz w:val="28"/>
          <w:szCs w:val="28"/>
          <w14:textFill>
            <w14:solidFill>
              <w14:schemeClr w14:val="tx1">
                <w14:lumMod w14:val="95000"/>
                <w14:lumOff w14:val="5000"/>
              </w14:schemeClr>
            </w14:solidFill>
          </w14:textFill>
        </w:rPr>
        <w:instrText xml:space="preserve"> </w:instrText>
      </w:r>
      <w:r>
        <w:rPr>
          <w:rFonts w:ascii="Times New Roman" w:hAnsi="Times New Roman" w:eastAsia="宋体" w:cs="宋体"/>
          <w:color w:val="0D0D0D" w:themeColor="text1" w:themeTint="F2"/>
          <w:sz w:val="28"/>
          <w:szCs w:val="28"/>
          <w14:textFill>
            <w14:solidFill>
              <w14:schemeClr w14:val="tx1">
                <w14:lumMod w14:val="95000"/>
                <w14:lumOff w14:val="5000"/>
              </w14:schemeClr>
            </w14:solidFill>
          </w14:textFill>
        </w:rPr>
        <w:fldChar w:fldCharType="separate"/>
      </w:r>
      <w:r>
        <w:rPr>
          <w:rFonts w:ascii="Times New Roman" w:hAnsi="Times New Roman" w:eastAsia="宋体" w:cs="宋体"/>
          <w:color w:val="0D0D0D" w:themeColor="text1" w:themeTint="F2"/>
          <w:sz w:val="28"/>
          <w:szCs w:val="28"/>
          <w14:textFill>
            <w14:solidFill>
              <w14:schemeClr w14:val="tx1">
                <w14:lumMod w14:val="95000"/>
                <w14:lumOff w14:val="5000"/>
              </w14:schemeClr>
            </w14:solidFill>
          </w14:textFill>
        </w:rPr>
        <w:t>III</w:t>
      </w:r>
      <w:r>
        <w:rPr>
          <w:rFonts w:ascii="Times New Roman" w:hAnsi="Times New Roman" w:eastAsia="宋体" w:cs="宋体"/>
          <w:color w:val="0D0D0D" w:themeColor="text1" w:themeTint="F2"/>
          <w:sz w:val="28"/>
          <w:szCs w:val="28"/>
          <w14:textFill>
            <w14:solidFill>
              <w14:schemeClr w14:val="tx1">
                <w14:lumMod w14:val="95000"/>
                <w14:lumOff w14:val="5000"/>
              </w14:schemeClr>
            </w14:solidFill>
          </w14:textFill>
        </w:rPr>
        <w:fldChar w:fldCharType="end"/>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类水质标准。未超过</w:t>
      </w:r>
      <w:r>
        <w:rPr>
          <w:rFonts w:ascii="Times New Roman" w:hAnsi="Times New Roman" w:eastAsia="宋体" w:cs="宋体"/>
          <w:color w:val="0D0D0D" w:themeColor="text1" w:themeTint="F2"/>
          <w:sz w:val="28"/>
          <w:szCs w:val="28"/>
          <w14:textFill>
            <w14:solidFill>
              <w14:schemeClr w14:val="tx1">
                <w14:lumMod w14:val="95000"/>
                <w14:lumOff w14:val="5000"/>
              </w14:schemeClr>
            </w14:solidFill>
          </w14:textFill>
        </w:rPr>
        <w:fldChar w:fldCharType="begin"/>
      </w:r>
      <w:r>
        <w:rPr>
          <w:rFonts w:ascii="Times New Roman" w:hAnsi="Times New Roman" w:eastAsia="宋体" w:cs="宋体"/>
          <w:color w:val="0D0D0D" w:themeColor="text1" w:themeTint="F2"/>
          <w:sz w:val="28"/>
          <w:szCs w:val="28"/>
          <w14:textFill>
            <w14:solidFill>
              <w14:schemeClr w14:val="tx1">
                <w14:lumMod w14:val="95000"/>
                <w14:lumOff w14:val="5000"/>
              </w14:schemeClr>
            </w14:solidFill>
          </w14:textFill>
        </w:rPr>
        <w:instrText xml:space="preserve"> </w:instrText>
      </w:r>
      <w:r>
        <w:rPr>
          <w:rFonts w:hint="eastAsia" w:ascii="Times New Roman" w:hAnsi="Times New Roman" w:eastAsia="宋体" w:cs="宋体"/>
          <w:color w:val="0D0D0D" w:themeColor="text1" w:themeTint="F2"/>
          <w:sz w:val="28"/>
          <w:szCs w:val="28"/>
          <w14:textFill>
            <w14:solidFill>
              <w14:schemeClr w14:val="tx1">
                <w14:lumMod w14:val="95000"/>
                <w14:lumOff w14:val="5000"/>
              </w14:schemeClr>
            </w14:solidFill>
          </w14:textFill>
        </w:rPr>
        <w:instrText xml:space="preserve">= 3 \* ROMAN</w:instrText>
      </w:r>
      <w:r>
        <w:rPr>
          <w:rFonts w:ascii="Times New Roman" w:hAnsi="Times New Roman" w:eastAsia="宋体" w:cs="宋体"/>
          <w:color w:val="0D0D0D" w:themeColor="text1" w:themeTint="F2"/>
          <w:sz w:val="28"/>
          <w:szCs w:val="28"/>
          <w14:textFill>
            <w14:solidFill>
              <w14:schemeClr w14:val="tx1">
                <w14:lumMod w14:val="95000"/>
                <w14:lumOff w14:val="5000"/>
              </w14:schemeClr>
            </w14:solidFill>
          </w14:textFill>
        </w:rPr>
        <w:instrText xml:space="preserve"> </w:instrText>
      </w:r>
      <w:r>
        <w:rPr>
          <w:rFonts w:ascii="Times New Roman" w:hAnsi="Times New Roman" w:eastAsia="宋体" w:cs="宋体"/>
          <w:color w:val="0D0D0D" w:themeColor="text1" w:themeTint="F2"/>
          <w:sz w:val="28"/>
          <w:szCs w:val="28"/>
          <w14:textFill>
            <w14:solidFill>
              <w14:schemeClr w14:val="tx1">
                <w14:lumMod w14:val="95000"/>
                <w14:lumOff w14:val="5000"/>
              </w14:schemeClr>
            </w14:solidFill>
          </w14:textFill>
        </w:rPr>
        <w:fldChar w:fldCharType="separate"/>
      </w:r>
      <w:r>
        <w:rPr>
          <w:rFonts w:ascii="Times New Roman" w:hAnsi="Times New Roman" w:eastAsia="宋体" w:cs="宋体"/>
          <w:color w:val="0D0D0D" w:themeColor="text1" w:themeTint="F2"/>
          <w:sz w:val="28"/>
          <w:szCs w:val="28"/>
          <w14:textFill>
            <w14:solidFill>
              <w14:schemeClr w14:val="tx1">
                <w14:lumMod w14:val="95000"/>
                <w14:lumOff w14:val="5000"/>
              </w14:schemeClr>
            </w14:solidFill>
          </w14:textFill>
        </w:rPr>
        <w:t>III</w:t>
      </w:r>
      <w:r>
        <w:rPr>
          <w:rFonts w:ascii="Times New Roman" w:hAnsi="Times New Roman" w:eastAsia="宋体" w:cs="宋体"/>
          <w:color w:val="0D0D0D" w:themeColor="text1" w:themeTint="F2"/>
          <w:sz w:val="28"/>
          <w:szCs w:val="28"/>
          <w14:textFill>
            <w14:solidFill>
              <w14:schemeClr w14:val="tx1">
                <w14:lumMod w14:val="95000"/>
                <w14:lumOff w14:val="5000"/>
              </w14:schemeClr>
            </w14:solidFill>
          </w14:textFill>
        </w:rPr>
        <w:fldChar w:fldCharType="end"/>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类水质标准的因子中，总氮的监测值为0.82mg/L，其单因子评价指数为0.82，大于0.8，为主要污染物因子。指标分析如下。</w:t>
      </w:r>
    </w:p>
    <w:p>
      <w:pPr>
        <w:widowControl/>
        <w:adjustRightInd w:val="0"/>
        <w:snapToGrid w:val="0"/>
        <w:spacing w:line="360" w:lineRule="auto"/>
        <w:ind w:firstLine="562"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总氮：</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根据富村镇亦佐水库</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1</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次水质监测结果，总氮监测值在</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0.82mg/L</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单因子评价指数为0.82，大于0.8，为主要污染物因子。总氮是富村镇亦佐水库的主要污染物。水环境中，总氮主要包括硝酸盐氮、亚硝酸盐氮、氨氮等，其中氨氮主要来源于生活污水、畜禽粪便和水土流失，硝酸盐氮主要来源于种植面源（化肥）和水土流失。</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综上分析，总氮为富村镇亦佐水库的主要污染物。</w:t>
      </w:r>
    </w:p>
    <w:p>
      <w:pPr>
        <w:pStyle w:val="3"/>
        <w:rPr>
          <w:color w:val="0D0D0D" w:themeColor="text1" w:themeTint="F2"/>
          <w14:textFill>
            <w14:solidFill>
              <w14:schemeClr w14:val="tx1">
                <w14:lumMod w14:val="95000"/>
                <w14:lumOff w14:val="5000"/>
              </w14:schemeClr>
            </w14:solidFill>
          </w14:textFill>
        </w:rPr>
      </w:pPr>
      <w:bookmarkStart w:id="70" w:name="_Toc12456067"/>
      <w:bookmarkStart w:id="71" w:name="_Toc10729980"/>
      <w:bookmarkStart w:id="72" w:name="_Toc27522196"/>
      <w:r>
        <w:rPr>
          <w:color w:val="0D0D0D" w:themeColor="text1" w:themeTint="F2"/>
          <w14:textFill>
            <w14:solidFill>
              <w14:schemeClr w14:val="tx1">
                <w14:lumMod w14:val="95000"/>
                <w14:lumOff w14:val="5000"/>
              </w14:schemeClr>
            </w14:solidFill>
          </w14:textFill>
        </w:rPr>
        <w:t>2.</w:t>
      </w:r>
      <w:r>
        <w:rPr>
          <w:rFonts w:hint="eastAsia"/>
          <w:color w:val="0D0D0D" w:themeColor="text1" w:themeTint="F2"/>
          <w14:textFill>
            <w14:solidFill>
              <w14:schemeClr w14:val="tx1">
                <w14:lumMod w14:val="95000"/>
                <w14:lumOff w14:val="5000"/>
              </w14:schemeClr>
            </w14:solidFill>
          </w14:textFill>
        </w:rPr>
        <w:t>7</w:t>
      </w:r>
      <w:r>
        <w:rPr>
          <w:color w:val="0D0D0D" w:themeColor="text1" w:themeTint="F2"/>
          <w14:textFill>
            <w14:solidFill>
              <w14:schemeClr w14:val="tx1">
                <w14:lumMod w14:val="95000"/>
                <w14:lumOff w14:val="5000"/>
              </w14:schemeClr>
            </w14:solidFill>
          </w14:textFill>
        </w:rPr>
        <w:t xml:space="preserve"> </w:t>
      </w:r>
      <w:r>
        <w:rPr>
          <w:rFonts w:hint="eastAsia"/>
          <w:color w:val="0D0D0D" w:themeColor="text1" w:themeTint="F2"/>
          <w14:textFill>
            <w14:solidFill>
              <w14:schemeClr w14:val="tx1">
                <w14:lumMod w14:val="95000"/>
                <w14:lumOff w14:val="5000"/>
              </w14:schemeClr>
            </w14:solidFill>
          </w14:textFill>
        </w:rPr>
        <w:t>饮用水</w:t>
      </w:r>
      <w:r>
        <w:rPr>
          <w:color w:val="0D0D0D" w:themeColor="text1" w:themeTint="F2"/>
          <w14:textFill>
            <w14:solidFill>
              <w14:schemeClr w14:val="tx1">
                <w14:lumMod w14:val="95000"/>
                <w14:lumOff w14:val="5000"/>
              </w14:schemeClr>
            </w14:solidFill>
          </w14:textFill>
        </w:rPr>
        <w:t>水源地</w:t>
      </w:r>
      <w:r>
        <w:rPr>
          <w:rFonts w:hint="eastAsia"/>
          <w:color w:val="0D0D0D" w:themeColor="text1" w:themeTint="F2"/>
          <w14:textFill>
            <w14:solidFill>
              <w14:schemeClr w14:val="tx1">
                <w14:lumMod w14:val="95000"/>
                <w14:lumOff w14:val="5000"/>
              </w14:schemeClr>
            </w14:solidFill>
          </w14:textFill>
        </w:rPr>
        <w:t>周边及上游污染源调查</w:t>
      </w:r>
      <w:bookmarkEnd w:id="70"/>
      <w:bookmarkEnd w:id="71"/>
      <w:bookmarkEnd w:id="72"/>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bookmarkStart w:id="73" w:name="_Hlk17929028"/>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通过现场踏勘及资料收集，对亦佐水库水源地周边及上游范围内的污染源进行调查，从点源、面源、流动源进行分析。</w:t>
      </w:r>
    </w:p>
    <w:bookmarkEnd w:id="73"/>
    <w:p>
      <w:pPr>
        <w:keepNext/>
        <w:keepLines/>
        <w:spacing w:before="260" w:after="260" w:line="416" w:lineRule="auto"/>
        <w:outlineLvl w:val="2"/>
        <w:rPr>
          <w:rFonts w:ascii="Times New Roman" w:hAnsi="Times New Roman" w:eastAsia="仿宋"/>
          <w:b/>
          <w:bCs/>
          <w:color w:val="0D0D0D" w:themeColor="text1" w:themeTint="F2"/>
          <w:sz w:val="30"/>
          <w:szCs w:val="32"/>
          <w14:textFill>
            <w14:solidFill>
              <w14:schemeClr w14:val="tx1">
                <w14:lumMod w14:val="95000"/>
                <w14:lumOff w14:val="5000"/>
              </w14:schemeClr>
            </w14:solidFill>
          </w14:textFill>
        </w:rPr>
      </w:pPr>
      <w:bookmarkStart w:id="74" w:name="_Toc18506526"/>
      <w:bookmarkStart w:id="75" w:name="_Toc25679061"/>
      <w:bookmarkStart w:id="76" w:name="_Toc27522197"/>
      <w:r>
        <w:rPr>
          <w:rFonts w:ascii="Times New Roman" w:hAnsi="Times New Roman" w:eastAsia="仿宋"/>
          <w:b/>
          <w:bCs/>
          <w:color w:val="0D0D0D" w:themeColor="text1" w:themeTint="F2"/>
          <w:sz w:val="30"/>
          <w:szCs w:val="32"/>
          <w14:textFill>
            <w14:solidFill>
              <w14:schemeClr w14:val="tx1">
                <w14:lumMod w14:val="95000"/>
                <w14:lumOff w14:val="5000"/>
              </w14:schemeClr>
            </w14:solidFill>
          </w14:textFill>
        </w:rPr>
        <w:t>2.</w:t>
      </w:r>
      <w:r>
        <w:rPr>
          <w:rFonts w:hint="eastAsia" w:ascii="Times New Roman" w:hAnsi="Times New Roman" w:eastAsia="仿宋"/>
          <w:b/>
          <w:bCs/>
          <w:color w:val="0D0D0D" w:themeColor="text1" w:themeTint="F2"/>
          <w:sz w:val="30"/>
          <w:szCs w:val="32"/>
          <w14:textFill>
            <w14:solidFill>
              <w14:schemeClr w14:val="tx1">
                <w14:lumMod w14:val="95000"/>
                <w14:lumOff w14:val="5000"/>
              </w14:schemeClr>
            </w14:solidFill>
          </w14:textFill>
        </w:rPr>
        <w:t>7</w:t>
      </w:r>
      <w:r>
        <w:rPr>
          <w:rFonts w:ascii="Times New Roman" w:hAnsi="Times New Roman" w:eastAsia="仿宋"/>
          <w:b/>
          <w:bCs/>
          <w:color w:val="0D0D0D" w:themeColor="text1" w:themeTint="F2"/>
          <w:sz w:val="30"/>
          <w:szCs w:val="32"/>
          <w14:textFill>
            <w14:solidFill>
              <w14:schemeClr w14:val="tx1">
                <w14:lumMod w14:val="95000"/>
                <w14:lumOff w14:val="5000"/>
              </w14:schemeClr>
            </w14:solidFill>
          </w14:textFill>
        </w:rPr>
        <w:t xml:space="preserve">.1 </w:t>
      </w:r>
      <w:r>
        <w:rPr>
          <w:rFonts w:hint="eastAsia" w:ascii="Times New Roman" w:hAnsi="Times New Roman" w:eastAsia="仿宋"/>
          <w:b/>
          <w:bCs/>
          <w:color w:val="0D0D0D" w:themeColor="text1" w:themeTint="F2"/>
          <w:sz w:val="30"/>
          <w:szCs w:val="32"/>
          <w14:textFill>
            <w14:solidFill>
              <w14:schemeClr w14:val="tx1">
                <w14:lumMod w14:val="95000"/>
                <w14:lumOff w14:val="5000"/>
              </w14:schemeClr>
            </w14:solidFill>
          </w14:textFill>
        </w:rPr>
        <w:t>点源</w:t>
      </w:r>
      <w:bookmarkEnd w:id="74"/>
      <w:bookmarkEnd w:id="75"/>
      <w:bookmarkEnd w:id="76"/>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bookmarkStart w:id="77" w:name="_Hlk17929058"/>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调查分析可知，亦佐水库水源地保护区范围内未发现工业企业及违法违规建设项目存在，无城镇生活污水排放口，也无规模化畜禽养殖场（小区）等点源存在。</w:t>
      </w:r>
    </w:p>
    <w:p>
      <w:pPr>
        <w:keepNext/>
        <w:keepLines/>
        <w:spacing w:before="260" w:after="260" w:line="416" w:lineRule="auto"/>
        <w:outlineLvl w:val="2"/>
        <w:rPr>
          <w:rFonts w:ascii="Times New Roman" w:hAnsi="Times New Roman" w:eastAsia="仿宋"/>
          <w:b/>
          <w:bCs/>
          <w:color w:val="0D0D0D" w:themeColor="text1" w:themeTint="F2"/>
          <w:sz w:val="30"/>
          <w:szCs w:val="32"/>
          <w14:textFill>
            <w14:solidFill>
              <w14:schemeClr w14:val="tx1">
                <w14:lumMod w14:val="95000"/>
                <w14:lumOff w14:val="5000"/>
              </w14:schemeClr>
            </w14:solidFill>
          </w14:textFill>
        </w:rPr>
      </w:pPr>
      <w:bookmarkStart w:id="78" w:name="_Toc18506527"/>
      <w:bookmarkStart w:id="79" w:name="_Toc25679062"/>
      <w:bookmarkStart w:id="80" w:name="_Toc27522198"/>
      <w:r>
        <w:rPr>
          <w:rFonts w:ascii="Times New Roman" w:hAnsi="Times New Roman" w:eastAsia="仿宋"/>
          <w:b/>
          <w:bCs/>
          <w:color w:val="0D0D0D" w:themeColor="text1" w:themeTint="F2"/>
          <w:sz w:val="30"/>
          <w:szCs w:val="32"/>
          <w14:textFill>
            <w14:solidFill>
              <w14:schemeClr w14:val="tx1">
                <w14:lumMod w14:val="95000"/>
                <w14:lumOff w14:val="5000"/>
              </w14:schemeClr>
            </w14:solidFill>
          </w14:textFill>
        </w:rPr>
        <w:t>2.</w:t>
      </w:r>
      <w:r>
        <w:rPr>
          <w:rFonts w:hint="eastAsia" w:ascii="Times New Roman" w:hAnsi="Times New Roman" w:eastAsia="仿宋"/>
          <w:b/>
          <w:bCs/>
          <w:color w:val="0D0D0D" w:themeColor="text1" w:themeTint="F2"/>
          <w:sz w:val="30"/>
          <w:szCs w:val="32"/>
          <w14:textFill>
            <w14:solidFill>
              <w14:schemeClr w14:val="tx1">
                <w14:lumMod w14:val="95000"/>
                <w14:lumOff w14:val="5000"/>
              </w14:schemeClr>
            </w14:solidFill>
          </w14:textFill>
        </w:rPr>
        <w:t>7</w:t>
      </w:r>
      <w:r>
        <w:rPr>
          <w:rFonts w:ascii="Times New Roman" w:hAnsi="Times New Roman" w:eastAsia="仿宋"/>
          <w:b/>
          <w:bCs/>
          <w:color w:val="0D0D0D" w:themeColor="text1" w:themeTint="F2"/>
          <w:sz w:val="30"/>
          <w:szCs w:val="32"/>
          <w14:textFill>
            <w14:solidFill>
              <w14:schemeClr w14:val="tx1">
                <w14:lumMod w14:val="95000"/>
                <w14:lumOff w14:val="5000"/>
              </w14:schemeClr>
            </w14:solidFill>
          </w14:textFill>
        </w:rPr>
        <w:t>.</w:t>
      </w:r>
      <w:r>
        <w:rPr>
          <w:rFonts w:hint="eastAsia" w:ascii="Times New Roman" w:hAnsi="Times New Roman" w:eastAsia="仿宋"/>
          <w:b/>
          <w:bCs/>
          <w:color w:val="0D0D0D" w:themeColor="text1" w:themeTint="F2"/>
          <w:sz w:val="30"/>
          <w:szCs w:val="32"/>
          <w14:textFill>
            <w14:solidFill>
              <w14:schemeClr w14:val="tx1">
                <w14:lumMod w14:val="95000"/>
                <w14:lumOff w14:val="5000"/>
              </w14:schemeClr>
            </w14:solidFill>
          </w14:textFill>
        </w:rPr>
        <w:t>2</w:t>
      </w:r>
      <w:r>
        <w:rPr>
          <w:rFonts w:ascii="Times New Roman" w:hAnsi="Times New Roman" w:eastAsia="仿宋"/>
          <w:b/>
          <w:bCs/>
          <w:color w:val="0D0D0D" w:themeColor="text1" w:themeTint="F2"/>
          <w:sz w:val="30"/>
          <w:szCs w:val="32"/>
          <w14:textFill>
            <w14:solidFill>
              <w14:schemeClr w14:val="tx1">
                <w14:lumMod w14:val="95000"/>
                <w14:lumOff w14:val="5000"/>
              </w14:schemeClr>
            </w14:solidFill>
          </w14:textFill>
        </w:rPr>
        <w:t xml:space="preserve"> </w:t>
      </w:r>
      <w:r>
        <w:rPr>
          <w:rFonts w:hint="eastAsia" w:ascii="Times New Roman" w:hAnsi="Times New Roman" w:eastAsia="仿宋"/>
          <w:b/>
          <w:bCs/>
          <w:color w:val="0D0D0D" w:themeColor="text1" w:themeTint="F2"/>
          <w:sz w:val="30"/>
          <w:szCs w:val="32"/>
          <w14:textFill>
            <w14:solidFill>
              <w14:schemeClr w14:val="tx1">
                <w14:lumMod w14:val="95000"/>
                <w14:lumOff w14:val="5000"/>
              </w14:schemeClr>
            </w14:solidFill>
          </w14:textFill>
        </w:rPr>
        <w:t>面源</w:t>
      </w:r>
      <w:bookmarkEnd w:id="78"/>
      <w:bookmarkEnd w:id="79"/>
      <w:bookmarkEnd w:id="80"/>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bookmarkStart w:id="81" w:name="_Hlk17929088"/>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根据调查可知，亦佐水库水源地保护区范围内主要为农田种植、水土流失面源污染。</w:t>
      </w:r>
    </w:p>
    <w:bookmarkEnd w:id="81"/>
    <w:p>
      <w:pPr>
        <w:keepNext/>
        <w:keepLines/>
        <w:spacing w:line="377" w:lineRule="auto"/>
        <w:ind w:firstLine="281" w:firstLineChars="100"/>
        <w:outlineLvl w:val="3"/>
        <w:rPr>
          <w:rFonts w:ascii="Times New Roman" w:hAnsi="Times New Roman" w:eastAsia="仿宋" w:cstheme="majorBidi"/>
          <w:b/>
          <w:bCs/>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stheme="majorBidi"/>
          <w:b/>
          <w:bCs/>
          <w:color w:val="0D0D0D" w:themeColor="text1" w:themeTint="F2"/>
          <w:sz w:val="28"/>
          <w:szCs w:val="28"/>
          <w14:textFill>
            <w14:solidFill>
              <w14:schemeClr w14:val="tx1">
                <w14:lumMod w14:val="95000"/>
                <w14:lumOff w14:val="5000"/>
              </w14:schemeClr>
            </w14:solidFill>
          </w14:textFill>
        </w:rPr>
        <w:t>2.</w:t>
      </w:r>
      <w:r>
        <w:rPr>
          <w:rFonts w:hint="eastAsia" w:ascii="Times New Roman" w:hAnsi="Times New Roman" w:eastAsia="仿宋" w:cstheme="majorBidi"/>
          <w:b/>
          <w:bCs/>
          <w:color w:val="0D0D0D" w:themeColor="text1" w:themeTint="F2"/>
          <w:sz w:val="28"/>
          <w:szCs w:val="28"/>
          <w14:textFill>
            <w14:solidFill>
              <w14:schemeClr w14:val="tx1">
                <w14:lumMod w14:val="95000"/>
                <w14:lumOff w14:val="5000"/>
              </w14:schemeClr>
            </w14:solidFill>
          </w14:textFill>
        </w:rPr>
        <w:t>7</w:t>
      </w:r>
      <w:r>
        <w:rPr>
          <w:rFonts w:ascii="Times New Roman" w:hAnsi="Times New Roman" w:eastAsia="仿宋" w:cstheme="majorBidi"/>
          <w:b/>
          <w:bCs/>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stheme="majorBidi"/>
          <w:b/>
          <w:bCs/>
          <w:color w:val="0D0D0D" w:themeColor="text1" w:themeTint="F2"/>
          <w:sz w:val="28"/>
          <w:szCs w:val="28"/>
          <w14:textFill>
            <w14:solidFill>
              <w14:schemeClr w14:val="tx1">
                <w14:lumMod w14:val="95000"/>
                <w14:lumOff w14:val="5000"/>
              </w14:schemeClr>
            </w14:solidFill>
          </w14:textFill>
        </w:rPr>
        <w:t>2.1</w:t>
      </w:r>
      <w:r>
        <w:rPr>
          <w:rFonts w:ascii="Times New Roman" w:hAnsi="Times New Roman" w:eastAsia="仿宋" w:cstheme="majorBidi"/>
          <w:b/>
          <w:bCs/>
          <w:color w:val="0D0D0D" w:themeColor="text1" w:themeTint="F2"/>
          <w:sz w:val="28"/>
          <w:szCs w:val="28"/>
          <w14:textFill>
            <w14:solidFill>
              <w14:schemeClr w14:val="tx1">
                <w14:lumMod w14:val="95000"/>
                <w14:lumOff w14:val="5000"/>
              </w14:schemeClr>
            </w14:solidFill>
          </w14:textFill>
        </w:rPr>
        <w:t xml:space="preserve"> 农业种植污染</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经统计，</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亦佐水库保护区</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内耕地面积总计为</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22.64hm</w:t>
      </w:r>
      <w:r>
        <w:rPr>
          <w:rFonts w:hint="eastAsia" w:ascii="Times New Roman" w:hAnsi="Times New Roman" w:eastAsia="仿宋"/>
          <w:color w:val="0D0D0D" w:themeColor="text1" w:themeTint="F2"/>
          <w:sz w:val="28"/>
          <w:szCs w:val="28"/>
          <w:vertAlign w:val="superscript"/>
          <w14:textFill>
            <w14:solidFill>
              <w14:schemeClr w14:val="tx1">
                <w14:lumMod w14:val="95000"/>
                <w14:lumOff w14:val="5000"/>
              </w14:schemeClr>
            </w14:solidFill>
          </w14:textFill>
        </w:rPr>
        <w:t>2</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均为</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旱地</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。耕地种植施用大量的化肥农药，污染物流失对水源地造成污染。亦佐水库保护区范围内耕地面积</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具体数据见表</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2.7-1</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由于</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保护区</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范围内化肥统计数据不详实，运用第一次全国污染源普查成果，使用流域内耕地面积污染流失的平均强度，并根据</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富源县</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的具体情况进行修正，得到旱地肥料</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化学需氧量</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、总氮、总磷、氨氮的流失系数分别为1.5kg/亩、0.824kg/亩、0.095kg/亩、0.105kg/亩，水田肥料</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化学需氧量</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、总氮、总磷、氨氮的流失系数分别为1.1kg/亩、1.316kg/亩、0.112kg/亩、0.194kg/亩。流失量具体见表</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2.7-1</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adjustRightInd w:val="0"/>
        <w:snapToGrid w:val="0"/>
        <w:spacing w:line="360" w:lineRule="auto"/>
        <w:jc w:val="cente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表2.</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7</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1</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 xml:space="preserve">  </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亦佐水库保护区范围</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内种植业污染排放情况</w:t>
      </w:r>
    </w:p>
    <w:tbl>
      <w:tblPr>
        <w:tblStyle w:val="44"/>
        <w:tblW w:w="96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1553"/>
        <w:gridCol w:w="1554"/>
        <w:gridCol w:w="1554"/>
        <w:gridCol w:w="1552"/>
        <w:gridCol w:w="1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blHeader/>
          <w:jc w:val="center"/>
        </w:trPr>
        <w:tc>
          <w:tcPr>
            <w:tcW w:w="1885" w:type="dxa"/>
            <w:shd w:val="clear" w:color="auto" w:fill="D8D8D8" w:themeFill="background1" w:themeFillShade="D9"/>
            <w:vAlign w:val="center"/>
          </w:tcPr>
          <w:p>
            <w:pPr>
              <w:widowControl/>
              <w:adjustRightInd w:val="0"/>
              <w:snapToGrid w:val="0"/>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保护区</w:t>
            </w:r>
          </w:p>
        </w:tc>
        <w:tc>
          <w:tcPr>
            <w:tcW w:w="1553" w:type="dxa"/>
            <w:shd w:val="clear" w:color="auto" w:fill="D8D8D8" w:themeFill="background1" w:themeFillShade="D9"/>
            <w:vAlign w:val="center"/>
          </w:tcPr>
          <w:p>
            <w:pPr>
              <w:adjustRightInd w:val="0"/>
              <w:snapToGrid w:val="0"/>
              <w:jc w:val="center"/>
              <w:rPr>
                <w:rFonts w:ascii="Times New Roman" w:hAnsi="Times New Roman" w:eastAsia="仿宋" w:cs="Times New Roman"/>
                <w:b/>
                <w:bCs/>
                <w:color w:val="0D0D0D" w:themeColor="text1" w:themeTint="F2"/>
                <w:kern w:val="0"/>
                <w:sz w:val="24"/>
                <w:szCs w:val="24"/>
                <w14:textFill>
                  <w14:solidFill>
                    <w14:schemeClr w14:val="tx1">
                      <w14:lumMod w14:val="95000"/>
                      <w14:lumOff w14:val="5000"/>
                    </w14:schemeClr>
                  </w14:solidFill>
                </w14:textFill>
              </w:rPr>
            </w:pPr>
            <w:r>
              <w:rPr>
                <w:rFonts w:hint="eastAsia" w:eastAsia="仿宋"/>
                <w:b/>
                <w:color w:val="0D0D0D" w:themeColor="text1" w:themeTint="F2"/>
                <w:sz w:val="24"/>
                <w:szCs w:val="24"/>
                <w14:textFill>
                  <w14:solidFill>
                    <w14:schemeClr w14:val="tx1">
                      <w14:lumMod w14:val="95000"/>
                      <w14:lumOff w14:val="5000"/>
                    </w14:schemeClr>
                  </w14:solidFill>
                </w14:textFill>
              </w:rPr>
              <w:t>旱地</w:t>
            </w:r>
            <w: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（hm</w:t>
            </w:r>
            <w:r>
              <w:rPr>
                <w:rFonts w:ascii="Times New Roman" w:hAnsi="Times New Roman" w:eastAsia="仿宋" w:cs="Times New Roman"/>
                <w:b/>
                <w:color w:val="0D0D0D" w:themeColor="text1" w:themeTint="F2"/>
                <w:sz w:val="24"/>
                <w:szCs w:val="24"/>
                <w:vertAlign w:val="superscript"/>
                <w14:textFill>
                  <w14:solidFill>
                    <w14:schemeClr w14:val="tx1">
                      <w14:lumMod w14:val="95000"/>
                      <w14:lumOff w14:val="5000"/>
                    </w14:schemeClr>
                  </w14:solidFill>
                </w14:textFill>
              </w:rPr>
              <w:t>2</w:t>
            </w:r>
            <w: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w:t>
            </w:r>
          </w:p>
        </w:tc>
        <w:tc>
          <w:tcPr>
            <w:tcW w:w="1554" w:type="dxa"/>
            <w:shd w:val="clear" w:color="auto" w:fill="D8D8D8" w:themeFill="background1" w:themeFillShade="D9"/>
            <w:vAlign w:val="center"/>
          </w:tcPr>
          <w:p>
            <w:pPr>
              <w:adjustRightInd w:val="0"/>
              <w:snapToGrid w:val="0"/>
              <w:jc w:val="center"/>
              <w:rPr>
                <w:rFonts w:ascii="Times New Roman" w:hAnsi="Times New Roman" w:eastAsia="仿宋" w:cs="Times New Roman"/>
                <w:b/>
                <w:bCs/>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b/>
                <w:bCs/>
                <w:color w:val="0D0D0D" w:themeColor="text1" w:themeTint="F2"/>
                <w:kern w:val="0"/>
                <w:sz w:val="24"/>
                <w:szCs w:val="24"/>
                <w14:textFill>
                  <w14:solidFill>
                    <w14:schemeClr w14:val="tx1">
                      <w14:lumMod w14:val="95000"/>
                      <w14:lumOff w14:val="5000"/>
                    </w14:schemeClr>
                  </w14:solidFill>
                </w14:textFill>
              </w:rPr>
              <w:t>COD</w:t>
            </w: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w:t>
            </w:r>
            <w:r>
              <w:rPr>
                <w:rFonts w:hint="eastAsia"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t</w:t>
            </w: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w:t>
            </w:r>
            <w:r>
              <w:rPr>
                <w:rFonts w:hint="eastAsia"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a</w:t>
            </w: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w:t>
            </w:r>
          </w:p>
        </w:tc>
        <w:tc>
          <w:tcPr>
            <w:tcW w:w="1554" w:type="dxa"/>
            <w:shd w:val="clear" w:color="auto" w:fill="D8D8D8" w:themeFill="background1" w:themeFillShade="D9"/>
            <w:vAlign w:val="center"/>
          </w:tcPr>
          <w:p>
            <w:pPr>
              <w:adjustRightInd w:val="0"/>
              <w:snapToGrid w:val="0"/>
              <w:jc w:val="cente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NH</w:t>
            </w:r>
            <w:r>
              <w:rPr>
                <w:rFonts w:ascii="Times New Roman" w:hAnsi="Times New Roman" w:eastAsia="仿宋" w:cs="Times New Roman"/>
                <w:b/>
                <w:color w:val="0D0D0D" w:themeColor="text1" w:themeTint="F2"/>
                <w:kern w:val="0"/>
                <w:sz w:val="24"/>
                <w:szCs w:val="24"/>
                <w:vertAlign w:val="subscript"/>
                <w14:textFill>
                  <w14:solidFill>
                    <w14:schemeClr w14:val="tx1">
                      <w14:lumMod w14:val="95000"/>
                      <w14:lumOff w14:val="5000"/>
                    </w14:schemeClr>
                  </w14:solidFill>
                </w14:textFill>
              </w:rPr>
              <w:t>3</w:t>
            </w: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-N（</w:t>
            </w:r>
            <w:r>
              <w:rPr>
                <w:rFonts w:hint="eastAsia"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t</w:t>
            </w: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w:t>
            </w:r>
            <w:r>
              <w:rPr>
                <w:rFonts w:hint="eastAsia"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a</w:t>
            </w: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w:t>
            </w:r>
          </w:p>
        </w:tc>
        <w:tc>
          <w:tcPr>
            <w:tcW w:w="1552" w:type="dxa"/>
            <w:shd w:val="clear" w:color="auto" w:fill="D8D8D8" w:themeFill="background1" w:themeFillShade="D9"/>
            <w:vAlign w:val="center"/>
          </w:tcPr>
          <w:p>
            <w:pPr>
              <w:adjustRightInd w:val="0"/>
              <w:snapToGrid w:val="0"/>
              <w:jc w:val="center"/>
              <w:rPr>
                <w:rFonts w:ascii="Times New Roman" w:hAnsi="Times New Roman" w:eastAsia="仿宋" w:cs="Times New Roman"/>
                <w:b/>
                <w:bCs/>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b/>
                <w:bCs/>
                <w:color w:val="0D0D0D" w:themeColor="text1" w:themeTint="F2"/>
                <w:kern w:val="0"/>
                <w:sz w:val="24"/>
                <w:szCs w:val="24"/>
                <w14:textFill>
                  <w14:solidFill>
                    <w14:schemeClr w14:val="tx1">
                      <w14:lumMod w14:val="95000"/>
                      <w14:lumOff w14:val="5000"/>
                    </w14:schemeClr>
                  </w14:solidFill>
                </w14:textFill>
              </w:rPr>
              <w:t>TN</w:t>
            </w: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w:t>
            </w:r>
            <w:r>
              <w:rPr>
                <w:rFonts w:hint="eastAsia"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t</w:t>
            </w: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w:t>
            </w:r>
            <w:r>
              <w:rPr>
                <w:rFonts w:hint="eastAsia"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a</w:t>
            </w: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w:t>
            </w:r>
          </w:p>
        </w:tc>
        <w:tc>
          <w:tcPr>
            <w:tcW w:w="1552" w:type="dxa"/>
            <w:shd w:val="clear" w:color="auto" w:fill="D8D8D8" w:themeFill="background1" w:themeFillShade="D9"/>
            <w:vAlign w:val="center"/>
          </w:tcPr>
          <w:p>
            <w:pPr>
              <w:adjustRightInd w:val="0"/>
              <w:snapToGrid w:val="0"/>
              <w:jc w:val="center"/>
              <w:rPr>
                <w:rFonts w:ascii="Times New Roman" w:hAnsi="Times New Roman" w:eastAsia="仿宋" w:cs="Times New Roman"/>
                <w:b/>
                <w:bCs/>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b/>
                <w:bCs/>
                <w:color w:val="0D0D0D" w:themeColor="text1" w:themeTint="F2"/>
                <w:kern w:val="0"/>
                <w:sz w:val="24"/>
                <w:szCs w:val="24"/>
                <w14:textFill>
                  <w14:solidFill>
                    <w14:schemeClr w14:val="tx1">
                      <w14:lumMod w14:val="95000"/>
                      <w14:lumOff w14:val="5000"/>
                    </w14:schemeClr>
                  </w14:solidFill>
                </w14:textFill>
              </w:rPr>
              <w:t>TP</w:t>
            </w: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w:t>
            </w:r>
            <w:r>
              <w:rPr>
                <w:rFonts w:hint="eastAsia"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t</w:t>
            </w: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w:t>
            </w:r>
            <w:r>
              <w:rPr>
                <w:rFonts w:hint="eastAsia"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a</w:t>
            </w: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885" w:type="dxa"/>
            <w:shd w:val="clear" w:color="auto" w:fill="auto"/>
            <w:vAlign w:val="center"/>
          </w:tcPr>
          <w:p>
            <w:pPr>
              <w:adjustRightInd w:val="0"/>
              <w:snapToGrid w:val="0"/>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eastAsia="仿宋"/>
                <w:color w:val="0D0D0D" w:themeColor="text1" w:themeTint="F2"/>
                <w:sz w:val="24"/>
                <w:szCs w:val="24"/>
                <w14:textFill>
                  <w14:solidFill>
                    <w14:schemeClr w14:val="tx1">
                      <w14:lumMod w14:val="95000"/>
                      <w14:lumOff w14:val="5000"/>
                    </w14:schemeClr>
                  </w14:solidFill>
                </w14:textFill>
              </w:rPr>
              <w:t>一级保护区</w:t>
            </w:r>
          </w:p>
        </w:tc>
        <w:tc>
          <w:tcPr>
            <w:tcW w:w="1553" w:type="dxa"/>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22.64</w:t>
            </w:r>
          </w:p>
        </w:tc>
        <w:tc>
          <w:tcPr>
            <w:tcW w:w="1554" w:type="dxa"/>
            <w:shd w:val="clear" w:color="auto" w:fill="auto"/>
            <w:vAlign w:val="bottom"/>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0.509</w:t>
            </w:r>
          </w:p>
        </w:tc>
        <w:tc>
          <w:tcPr>
            <w:tcW w:w="1554" w:type="dxa"/>
            <w:vAlign w:val="bottom"/>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0.036</w:t>
            </w:r>
          </w:p>
        </w:tc>
        <w:tc>
          <w:tcPr>
            <w:tcW w:w="1552" w:type="dxa"/>
            <w:vAlign w:val="bottom"/>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0.280</w:t>
            </w:r>
          </w:p>
        </w:tc>
        <w:tc>
          <w:tcPr>
            <w:tcW w:w="1552" w:type="dxa"/>
            <w:vAlign w:val="bottom"/>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0.032</w:t>
            </w:r>
          </w:p>
        </w:tc>
      </w:tr>
    </w:tbl>
    <w:p>
      <w:pPr>
        <w:keepNext/>
        <w:keepLines/>
        <w:spacing w:line="377" w:lineRule="auto"/>
        <w:ind w:firstLine="281" w:firstLineChars="100"/>
        <w:outlineLvl w:val="3"/>
        <w:rPr>
          <w:rFonts w:ascii="Times New Roman" w:hAnsi="Times New Roman" w:eastAsia="仿宋" w:cstheme="majorBidi"/>
          <w:b/>
          <w:bCs/>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stheme="majorBidi"/>
          <w:b/>
          <w:bCs/>
          <w:color w:val="0D0D0D" w:themeColor="text1" w:themeTint="F2"/>
          <w:sz w:val="28"/>
          <w:szCs w:val="28"/>
          <w14:textFill>
            <w14:solidFill>
              <w14:schemeClr w14:val="tx1">
                <w14:lumMod w14:val="95000"/>
                <w14:lumOff w14:val="5000"/>
              </w14:schemeClr>
            </w14:solidFill>
          </w14:textFill>
        </w:rPr>
        <w:t>2.</w:t>
      </w:r>
      <w:r>
        <w:rPr>
          <w:rFonts w:hint="eastAsia" w:ascii="Times New Roman" w:hAnsi="Times New Roman" w:eastAsia="仿宋" w:cstheme="majorBidi"/>
          <w:b/>
          <w:bCs/>
          <w:color w:val="0D0D0D" w:themeColor="text1" w:themeTint="F2"/>
          <w:sz w:val="28"/>
          <w:szCs w:val="28"/>
          <w14:textFill>
            <w14:solidFill>
              <w14:schemeClr w14:val="tx1">
                <w14:lumMod w14:val="95000"/>
                <w14:lumOff w14:val="5000"/>
              </w14:schemeClr>
            </w14:solidFill>
          </w14:textFill>
        </w:rPr>
        <w:t>7</w:t>
      </w:r>
      <w:r>
        <w:rPr>
          <w:rFonts w:ascii="Times New Roman" w:hAnsi="Times New Roman" w:eastAsia="仿宋" w:cstheme="majorBidi"/>
          <w:b/>
          <w:bCs/>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stheme="majorBidi"/>
          <w:b/>
          <w:bCs/>
          <w:color w:val="0D0D0D" w:themeColor="text1" w:themeTint="F2"/>
          <w:sz w:val="28"/>
          <w:szCs w:val="28"/>
          <w14:textFill>
            <w14:solidFill>
              <w14:schemeClr w14:val="tx1">
                <w14:lumMod w14:val="95000"/>
                <w14:lumOff w14:val="5000"/>
              </w14:schemeClr>
            </w14:solidFill>
          </w14:textFill>
        </w:rPr>
        <w:t>2.2</w:t>
      </w:r>
      <w:r>
        <w:rPr>
          <w:rFonts w:ascii="Times New Roman" w:hAnsi="Times New Roman" w:eastAsia="仿宋" w:cstheme="majorBidi"/>
          <w:b/>
          <w:bCs/>
          <w:color w:val="0D0D0D" w:themeColor="text1" w:themeTint="F2"/>
          <w:sz w:val="28"/>
          <w:szCs w:val="28"/>
          <w14:textFill>
            <w14:solidFill>
              <w14:schemeClr w14:val="tx1">
                <w14:lumMod w14:val="95000"/>
                <w14:lumOff w14:val="5000"/>
              </w14:schemeClr>
            </w14:solidFill>
          </w14:textFill>
        </w:rPr>
        <w:t xml:space="preserve"> 水土流失污染</w:t>
      </w:r>
    </w:p>
    <w:p>
      <w:pPr>
        <w:adjustRightInd w:val="0"/>
        <w:snapToGrid w:val="0"/>
        <w:spacing w:line="360" w:lineRule="auto"/>
        <w:ind w:firstLine="562" w:firstLineChars="200"/>
        <w:rPr>
          <w:rFonts w:ascii="Times New Roman" w:hAnsi="Times New Roman" w:eastAsia="仿宋"/>
          <w:b/>
          <w:bCs/>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b/>
          <w:bCs/>
          <w:color w:val="0D0D0D" w:themeColor="text1" w:themeTint="F2"/>
          <w:sz w:val="28"/>
          <w:szCs w:val="28"/>
          <w14:textFill>
            <w14:solidFill>
              <w14:schemeClr w14:val="tx1">
                <w14:lumMod w14:val="95000"/>
                <w14:lumOff w14:val="5000"/>
              </w14:schemeClr>
            </w14:solidFill>
          </w14:textFill>
        </w:rPr>
        <w:t>（1）水土流失现状测算方法</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目前云南省现有的水土流失现状图为2015年遥测成果，本区划通过对保护区</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进行卫星影像解译，</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获取植被覆盖度矢量数据，并结合区域地形坡度矢量数据和土地利用现状矢量数据，根据《土壤侵蚀分类分级标准》（SL190-2007）对径流区内不同地类、不同植被覆盖度和不同坡度进行土壤侵蚀分级，分级依据详见下表</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2</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.7-2。</w:t>
      </w:r>
    </w:p>
    <w:p>
      <w:pPr>
        <w:adjustRightInd w:val="0"/>
        <w:snapToGrid w:val="0"/>
        <w:spacing w:line="400" w:lineRule="exact"/>
        <w:jc w:val="cente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表</w:t>
      </w: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2.7-2</w:t>
      </w:r>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 xml:space="preserve">  </w:t>
      </w:r>
      <w:bookmarkStart w:id="82" w:name="_Hlk527891143"/>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不同地面坡度条件下土壤侵蚀等级</w:t>
      </w:r>
      <w:bookmarkEnd w:id="82"/>
    </w:p>
    <w:tbl>
      <w:tblPr>
        <w:tblStyle w:val="45"/>
        <w:tblW w:w="9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6"/>
        <w:gridCol w:w="1307"/>
        <w:gridCol w:w="1108"/>
        <w:gridCol w:w="1112"/>
        <w:gridCol w:w="1309"/>
        <w:gridCol w:w="1480"/>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163" w:type="dxa"/>
            <w:gridSpan w:val="2"/>
            <w:tcBorders>
              <w:bottom w:val="single" w:color="auto" w:sz="4" w:space="0"/>
              <w:tl2br w:val="single" w:color="auto" w:sz="4" w:space="0"/>
            </w:tcBorders>
            <w:shd w:val="clear" w:color="auto" w:fill="D8D8D8" w:themeFill="background1" w:themeFillShade="D9"/>
          </w:tcPr>
          <w:p>
            <w:pPr>
              <w:widowControl/>
              <w:snapToGrid w:val="0"/>
              <w:jc w:val="right"/>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b/>
                <w:color w:val="0D0D0D" w:themeColor="text1" w:themeTint="F2"/>
                <w:sz w:val="24"/>
                <w:szCs w:val="24"/>
                <w14:textFill>
                  <w14:solidFill>
                    <w14:schemeClr w14:val="tx1">
                      <w14:lumMod w14:val="95000"/>
                      <w14:lumOff w14:val="5000"/>
                    </w14:schemeClr>
                  </w14:solidFill>
                </w14:textFill>
              </w:rPr>
              <w:t>地面坡度(°)</w:t>
            </w:r>
          </w:p>
          <w:p>
            <w:pPr>
              <w:widowControl/>
              <w:snapToGrid w:val="0"/>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b/>
                <w:color w:val="0D0D0D" w:themeColor="text1" w:themeTint="F2"/>
                <w:sz w:val="24"/>
                <w:szCs w:val="24"/>
                <w14:textFill>
                  <w14:solidFill>
                    <w14:schemeClr w14:val="tx1">
                      <w14:lumMod w14:val="95000"/>
                      <w14:lumOff w14:val="5000"/>
                    </w14:schemeClr>
                  </w14:solidFill>
                </w14:textFill>
              </w:rPr>
              <w:t>地类</w:t>
            </w:r>
          </w:p>
        </w:tc>
        <w:tc>
          <w:tcPr>
            <w:tcW w:w="1108" w:type="dxa"/>
            <w:tcBorders>
              <w:bottom w:val="single" w:color="auto" w:sz="4" w:space="0"/>
            </w:tcBorders>
            <w:shd w:val="clear" w:color="auto" w:fill="D8D8D8" w:themeFill="background1" w:themeFillShade="D9"/>
            <w:vAlign w:val="center"/>
          </w:tcPr>
          <w:p>
            <w:pPr>
              <w:widowControl/>
              <w:snapToGrid w:val="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b/>
                <w:color w:val="0D0D0D" w:themeColor="text1" w:themeTint="F2"/>
                <w:sz w:val="24"/>
                <w:szCs w:val="24"/>
                <w14:textFill>
                  <w14:solidFill>
                    <w14:schemeClr w14:val="tx1">
                      <w14:lumMod w14:val="95000"/>
                      <w14:lumOff w14:val="5000"/>
                    </w14:schemeClr>
                  </w14:solidFill>
                </w14:textFill>
              </w:rPr>
              <w:t>5</w:t>
            </w:r>
            <w: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t>~8</w:t>
            </w:r>
          </w:p>
        </w:tc>
        <w:tc>
          <w:tcPr>
            <w:tcW w:w="1112" w:type="dxa"/>
            <w:tcBorders>
              <w:bottom w:val="single" w:color="auto" w:sz="4" w:space="0"/>
            </w:tcBorders>
            <w:shd w:val="clear" w:color="auto" w:fill="D8D8D8" w:themeFill="background1" w:themeFillShade="D9"/>
            <w:vAlign w:val="center"/>
          </w:tcPr>
          <w:p>
            <w:pPr>
              <w:widowControl/>
              <w:snapToGrid w:val="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b/>
                <w:color w:val="0D0D0D" w:themeColor="text1" w:themeTint="F2"/>
                <w:sz w:val="24"/>
                <w:szCs w:val="24"/>
                <w14:textFill>
                  <w14:solidFill>
                    <w14:schemeClr w14:val="tx1">
                      <w14:lumMod w14:val="95000"/>
                      <w14:lumOff w14:val="5000"/>
                    </w14:schemeClr>
                  </w14:solidFill>
                </w14:textFill>
              </w:rPr>
              <w:t>8</w:t>
            </w:r>
            <w: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t>~15</w:t>
            </w:r>
          </w:p>
        </w:tc>
        <w:tc>
          <w:tcPr>
            <w:tcW w:w="1309" w:type="dxa"/>
            <w:tcBorders>
              <w:bottom w:val="single" w:color="auto" w:sz="4" w:space="0"/>
            </w:tcBorders>
            <w:shd w:val="clear" w:color="auto" w:fill="D8D8D8" w:themeFill="background1" w:themeFillShade="D9"/>
            <w:vAlign w:val="center"/>
          </w:tcPr>
          <w:p>
            <w:pPr>
              <w:widowControl/>
              <w:snapToGrid w:val="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b/>
                <w:color w:val="0D0D0D" w:themeColor="text1" w:themeTint="F2"/>
                <w:sz w:val="24"/>
                <w:szCs w:val="24"/>
                <w14:textFill>
                  <w14:solidFill>
                    <w14:schemeClr w14:val="tx1">
                      <w14:lumMod w14:val="95000"/>
                      <w14:lumOff w14:val="5000"/>
                    </w14:schemeClr>
                  </w14:solidFill>
                </w14:textFill>
              </w:rPr>
              <w:t>1</w:t>
            </w:r>
            <w: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t>5~25</w:t>
            </w:r>
          </w:p>
        </w:tc>
        <w:tc>
          <w:tcPr>
            <w:tcW w:w="1480" w:type="dxa"/>
            <w:tcBorders>
              <w:bottom w:val="single" w:color="auto" w:sz="4" w:space="0"/>
            </w:tcBorders>
            <w:shd w:val="clear" w:color="auto" w:fill="D8D8D8" w:themeFill="background1" w:themeFillShade="D9"/>
            <w:vAlign w:val="center"/>
          </w:tcPr>
          <w:p>
            <w:pPr>
              <w:widowControl/>
              <w:snapToGrid w:val="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b/>
                <w:color w:val="0D0D0D" w:themeColor="text1" w:themeTint="F2"/>
                <w:sz w:val="24"/>
                <w:szCs w:val="24"/>
                <w14:textFill>
                  <w14:solidFill>
                    <w14:schemeClr w14:val="tx1">
                      <w14:lumMod w14:val="95000"/>
                      <w14:lumOff w14:val="5000"/>
                    </w14:schemeClr>
                  </w14:solidFill>
                </w14:textFill>
              </w:rPr>
              <w:t>2</w:t>
            </w:r>
            <w: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t>5~35</w:t>
            </w:r>
          </w:p>
        </w:tc>
        <w:tc>
          <w:tcPr>
            <w:tcW w:w="1478" w:type="dxa"/>
            <w:tcBorders>
              <w:bottom w:val="single" w:color="auto" w:sz="4" w:space="0"/>
            </w:tcBorders>
            <w:shd w:val="clear" w:color="auto" w:fill="D8D8D8" w:themeFill="background1" w:themeFillShade="D9"/>
            <w:vAlign w:val="center"/>
          </w:tcPr>
          <w:p>
            <w:pPr>
              <w:widowControl/>
              <w:snapToGrid w:val="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b/>
                <w:color w:val="0D0D0D" w:themeColor="text1" w:themeTint="F2"/>
                <w:sz w:val="24"/>
                <w:szCs w:val="24"/>
                <w14:textFill>
                  <w14:solidFill>
                    <w14:schemeClr w14:val="tx1">
                      <w14:lumMod w14:val="95000"/>
                      <w14:lumOff w14:val="5000"/>
                    </w14:schemeClr>
                  </w14:solidFill>
                </w14:textFill>
              </w:rPr>
              <w:t>&gt;</w:t>
            </w:r>
            <w: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56" w:type="dxa"/>
            <w:vMerge w:val="restart"/>
            <w:vAlign w:val="center"/>
          </w:tcPr>
          <w:p>
            <w:pPr>
              <w:widowControl/>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非耕地</w:t>
            </w:r>
          </w:p>
          <w:p>
            <w:pPr>
              <w:widowControl/>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林草盖度</w:t>
            </w:r>
          </w:p>
          <w:p>
            <w:pPr>
              <w:widowControl/>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w:t>
            </w:r>
          </w:p>
        </w:tc>
        <w:tc>
          <w:tcPr>
            <w:tcW w:w="1307" w:type="dxa"/>
            <w:tcBorders>
              <w:right w:val="single" w:color="auto" w:sz="4" w:space="0"/>
            </w:tcBorders>
            <w:vAlign w:val="center"/>
          </w:tcPr>
          <w:p>
            <w:pPr>
              <w:widowControl/>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6</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0~75</w:t>
            </w:r>
          </w:p>
        </w:tc>
        <w:tc>
          <w:tcPr>
            <w:tcW w:w="3529" w:type="dxa"/>
            <w:gridSpan w:val="3"/>
            <w:tcBorders>
              <w:top w:val="nil"/>
              <w:left w:val="single" w:color="auto" w:sz="4" w:space="0"/>
              <w:bottom w:val="nil"/>
              <w:right w:val="single" w:color="auto" w:sz="4" w:space="0"/>
            </w:tcBorders>
            <w:vAlign w:val="center"/>
          </w:tcPr>
          <w:p>
            <w:pPr>
              <w:widowControl/>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c>
          <w:tcPr>
            <w:tcW w:w="2958" w:type="dxa"/>
            <w:gridSpan w:val="2"/>
            <w:tcBorders>
              <w:top w:val="nil"/>
              <w:left w:val="single" w:color="auto" w:sz="4" w:space="0"/>
              <w:bottom w:val="nil"/>
              <w:right w:val="single" w:color="auto" w:sz="4" w:space="0"/>
            </w:tcBorders>
            <w:vAlign w:val="center"/>
          </w:tcPr>
          <w:p>
            <w:pPr>
              <w:widowControl/>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56" w:type="dxa"/>
            <w:vMerge w:val="continue"/>
            <w:vAlign w:val="center"/>
          </w:tcPr>
          <w:p>
            <w:pPr>
              <w:widowControl/>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c>
          <w:tcPr>
            <w:tcW w:w="1307" w:type="dxa"/>
            <w:tcBorders>
              <w:right w:val="single" w:color="auto" w:sz="4" w:space="0"/>
            </w:tcBorders>
            <w:vAlign w:val="center"/>
          </w:tcPr>
          <w:p>
            <w:pPr>
              <w:widowControl/>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4</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5~60</w:t>
            </w:r>
          </w:p>
        </w:tc>
        <w:tc>
          <w:tcPr>
            <w:tcW w:w="1108" w:type="dxa"/>
            <w:tcBorders>
              <w:top w:val="nil"/>
              <w:left w:val="single" w:color="auto" w:sz="4" w:space="0"/>
              <w:bottom w:val="nil"/>
              <w:right w:val="nil"/>
            </w:tcBorders>
            <w:vAlign w:val="center"/>
          </w:tcPr>
          <w:p>
            <w:pPr>
              <w:widowControl/>
              <w:snapToGrid w:val="0"/>
              <w:jc w:val="right"/>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轻</w:t>
            </w:r>
          </w:p>
        </w:tc>
        <w:tc>
          <w:tcPr>
            <w:tcW w:w="1112" w:type="dxa"/>
            <w:tcBorders>
              <w:top w:val="nil"/>
              <w:left w:val="nil"/>
              <w:bottom w:val="single" w:color="auto" w:sz="4" w:space="0"/>
              <w:right w:val="single" w:color="auto" w:sz="4" w:space="0"/>
            </w:tcBorders>
            <w:vAlign w:val="center"/>
          </w:tcPr>
          <w:p>
            <w:pPr>
              <w:widowControl/>
              <w:snapToGrid w:val="0"/>
              <w:ind w:firstLine="120" w:firstLineChars="50"/>
              <w:jc w:val="left"/>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度</w:t>
            </w:r>
          </w:p>
        </w:tc>
        <w:tc>
          <w:tcPr>
            <w:tcW w:w="1309" w:type="dxa"/>
            <w:tcBorders>
              <w:top w:val="single" w:color="auto" w:sz="4" w:space="0"/>
              <w:left w:val="single" w:color="auto" w:sz="4" w:space="0"/>
              <w:bottom w:val="nil"/>
              <w:right w:val="nil"/>
            </w:tcBorders>
            <w:vAlign w:val="center"/>
          </w:tcPr>
          <w:p>
            <w:pPr>
              <w:widowControl/>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c>
          <w:tcPr>
            <w:tcW w:w="1480" w:type="dxa"/>
            <w:tcBorders>
              <w:top w:val="nil"/>
              <w:left w:val="nil"/>
              <w:bottom w:val="single" w:color="auto" w:sz="4" w:space="0"/>
              <w:right w:val="single" w:color="auto" w:sz="4" w:space="0"/>
            </w:tcBorders>
            <w:vAlign w:val="center"/>
          </w:tcPr>
          <w:p>
            <w:pPr>
              <w:widowControl/>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c>
          <w:tcPr>
            <w:tcW w:w="147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强烈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56" w:type="dxa"/>
            <w:vMerge w:val="continue"/>
            <w:vAlign w:val="center"/>
          </w:tcPr>
          <w:p>
            <w:pPr>
              <w:widowControl/>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c>
          <w:tcPr>
            <w:tcW w:w="1307" w:type="dxa"/>
            <w:tcBorders>
              <w:right w:val="single" w:color="auto" w:sz="4" w:space="0"/>
            </w:tcBorders>
            <w:vAlign w:val="center"/>
          </w:tcPr>
          <w:p>
            <w:pPr>
              <w:widowControl/>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3</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0~45</w:t>
            </w:r>
          </w:p>
        </w:tc>
        <w:tc>
          <w:tcPr>
            <w:tcW w:w="1108" w:type="dxa"/>
            <w:tcBorders>
              <w:top w:val="nil"/>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c>
          <w:tcPr>
            <w:tcW w:w="1112" w:type="dxa"/>
            <w:tcBorders>
              <w:top w:val="single" w:color="auto" w:sz="4" w:space="0"/>
              <w:left w:val="single" w:color="auto" w:sz="4" w:space="0"/>
              <w:bottom w:val="nil"/>
              <w:right w:val="nil"/>
            </w:tcBorders>
            <w:vAlign w:val="center"/>
          </w:tcPr>
          <w:p>
            <w:pPr>
              <w:widowControl/>
              <w:snapToGrid w:val="0"/>
              <w:jc w:val="right"/>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中</w:t>
            </w:r>
          </w:p>
        </w:tc>
        <w:tc>
          <w:tcPr>
            <w:tcW w:w="1309" w:type="dxa"/>
            <w:tcBorders>
              <w:top w:val="nil"/>
              <w:left w:val="nil"/>
              <w:bottom w:val="single" w:color="auto" w:sz="4" w:space="0"/>
              <w:right w:val="single" w:color="auto" w:sz="4" w:space="0"/>
            </w:tcBorders>
            <w:vAlign w:val="center"/>
          </w:tcPr>
          <w:p>
            <w:pPr>
              <w:widowControl/>
              <w:snapToGrid w:val="0"/>
              <w:jc w:val="left"/>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度</w:t>
            </w:r>
          </w:p>
        </w:tc>
        <w:tc>
          <w:tcPr>
            <w:tcW w:w="148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强烈</w:t>
            </w:r>
          </w:p>
        </w:tc>
        <w:tc>
          <w:tcPr>
            <w:tcW w:w="147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极强烈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56" w:type="dxa"/>
            <w:vMerge w:val="continue"/>
            <w:vAlign w:val="center"/>
          </w:tcPr>
          <w:p>
            <w:pPr>
              <w:widowControl/>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c>
          <w:tcPr>
            <w:tcW w:w="1307" w:type="dxa"/>
            <w:tcBorders>
              <w:bottom w:val="single" w:color="auto" w:sz="4" w:space="0"/>
              <w:right w:val="single" w:color="auto" w:sz="4" w:space="0"/>
            </w:tcBorders>
            <w:vAlign w:val="center"/>
          </w:tcPr>
          <w:p>
            <w:pPr>
              <w:widowControl/>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&lt;</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30</w:t>
            </w:r>
          </w:p>
        </w:tc>
        <w:tc>
          <w:tcPr>
            <w:tcW w:w="1108" w:type="dxa"/>
            <w:tcBorders>
              <w:top w:val="single" w:color="auto" w:sz="4" w:space="0"/>
              <w:left w:val="single" w:color="auto" w:sz="4" w:space="0"/>
              <w:bottom w:val="single" w:color="auto" w:sz="4" w:space="0"/>
              <w:right w:val="nil"/>
            </w:tcBorders>
            <w:vAlign w:val="center"/>
          </w:tcPr>
          <w:p>
            <w:pPr>
              <w:widowControl/>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c>
          <w:tcPr>
            <w:tcW w:w="1112" w:type="dxa"/>
            <w:tcBorders>
              <w:top w:val="nil"/>
              <w:left w:val="nil"/>
              <w:bottom w:val="single" w:color="auto" w:sz="4" w:space="0"/>
              <w:right w:val="single" w:color="auto" w:sz="4" w:space="0"/>
            </w:tcBorders>
            <w:vAlign w:val="center"/>
          </w:tcPr>
          <w:p>
            <w:pPr>
              <w:widowControl/>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c>
          <w:tcPr>
            <w:tcW w:w="1309" w:type="dxa"/>
            <w:vMerge w:val="restart"/>
            <w:tcBorders>
              <w:top w:val="single" w:color="auto" w:sz="4" w:space="0"/>
              <w:left w:val="single" w:color="auto" w:sz="4" w:space="0"/>
              <w:bottom w:val="nil"/>
              <w:right w:val="single" w:color="auto" w:sz="4" w:space="0"/>
            </w:tcBorders>
            <w:vAlign w:val="center"/>
          </w:tcPr>
          <w:p>
            <w:pPr>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强烈</w:t>
            </w:r>
          </w:p>
        </w:tc>
        <w:tc>
          <w:tcPr>
            <w:tcW w:w="1480" w:type="dxa"/>
            <w:vMerge w:val="restart"/>
            <w:tcBorders>
              <w:top w:val="single" w:color="auto" w:sz="4" w:space="0"/>
              <w:left w:val="single" w:color="auto" w:sz="4" w:space="0"/>
              <w:bottom w:val="nil"/>
              <w:right w:val="single" w:color="auto" w:sz="4" w:space="0"/>
            </w:tcBorders>
            <w:vAlign w:val="center"/>
          </w:tcPr>
          <w:p>
            <w:pPr>
              <w:widowControl/>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极剧烈</w:t>
            </w:r>
          </w:p>
        </w:tc>
        <w:tc>
          <w:tcPr>
            <w:tcW w:w="1478" w:type="dxa"/>
            <w:vMerge w:val="restart"/>
            <w:tcBorders>
              <w:top w:val="single" w:color="auto" w:sz="4" w:space="0"/>
              <w:left w:val="single" w:color="auto" w:sz="4" w:space="0"/>
              <w:bottom w:val="nil"/>
              <w:right w:val="single" w:color="auto" w:sz="4" w:space="0"/>
            </w:tcBorders>
            <w:vAlign w:val="center"/>
          </w:tcPr>
          <w:p>
            <w:pPr>
              <w:widowControl/>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剧烈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163" w:type="dxa"/>
            <w:gridSpan w:val="2"/>
            <w:vAlign w:val="center"/>
          </w:tcPr>
          <w:p>
            <w:pPr>
              <w:widowControl/>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坡耕地</w:t>
            </w:r>
          </w:p>
        </w:tc>
        <w:tc>
          <w:tcPr>
            <w:tcW w:w="1108" w:type="dxa"/>
            <w:tcBorders>
              <w:top w:val="single" w:color="auto" w:sz="4" w:space="0"/>
            </w:tcBorders>
            <w:vAlign w:val="center"/>
          </w:tcPr>
          <w:p>
            <w:pPr>
              <w:widowControl/>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轻度</w:t>
            </w:r>
          </w:p>
        </w:tc>
        <w:tc>
          <w:tcPr>
            <w:tcW w:w="1112" w:type="dxa"/>
            <w:tcBorders>
              <w:top w:val="single" w:color="auto" w:sz="4" w:space="0"/>
            </w:tcBorders>
            <w:vAlign w:val="center"/>
          </w:tcPr>
          <w:p>
            <w:pPr>
              <w:widowControl/>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中度</w:t>
            </w:r>
          </w:p>
        </w:tc>
        <w:tc>
          <w:tcPr>
            <w:tcW w:w="1309" w:type="dxa"/>
            <w:vMerge w:val="continue"/>
            <w:tcBorders>
              <w:top w:val="nil"/>
            </w:tcBorders>
            <w:vAlign w:val="center"/>
          </w:tcPr>
          <w:p>
            <w:pPr>
              <w:widowControl/>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c>
          <w:tcPr>
            <w:tcW w:w="1480" w:type="dxa"/>
            <w:vMerge w:val="continue"/>
            <w:tcBorders>
              <w:top w:val="nil"/>
            </w:tcBorders>
            <w:vAlign w:val="center"/>
          </w:tcPr>
          <w:p>
            <w:pPr>
              <w:widowControl/>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c>
          <w:tcPr>
            <w:tcW w:w="1478" w:type="dxa"/>
            <w:vMerge w:val="continue"/>
            <w:tcBorders>
              <w:top w:val="nil"/>
            </w:tcBorders>
            <w:vAlign w:val="center"/>
          </w:tcPr>
          <w:p>
            <w:pPr>
              <w:widowControl/>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r>
    </w:tbl>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利用GIS技术，对保护区范围进行土壤侵蚀分级后，结合富源县土壤侵蚀情况，确定各侵蚀强度、坡度和地类情景下的土壤侵蚀模数，从而计算亦佐水库的平均侵蚀模数和年均土壤流失量。区域土壤侵蚀模数分级见表</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2</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.7-3。</w:t>
      </w:r>
    </w:p>
    <w:p>
      <w:pPr>
        <w:adjustRightInd w:val="0"/>
        <w:snapToGrid w:val="0"/>
        <w:spacing w:line="400" w:lineRule="exact"/>
        <w:jc w:val="cente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表2.</w:t>
      </w: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7</w:t>
      </w:r>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3</w:t>
      </w:r>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 xml:space="preserve">  不同土壤侵蚀等级的土壤侵蚀模数</w:t>
      </w:r>
    </w:p>
    <w:tbl>
      <w:tblPr>
        <w:tblStyle w:val="44"/>
        <w:tblW w:w="9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7"/>
        <w:gridCol w:w="1280"/>
        <w:gridCol w:w="1280"/>
        <w:gridCol w:w="1458"/>
        <w:gridCol w:w="3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2527" w:type="dxa"/>
            <w:shd w:val="clear" w:color="auto" w:fill="D8D8D8" w:themeFill="background1" w:themeFillShade="D9"/>
            <w:vAlign w:val="center"/>
          </w:tcPr>
          <w:p>
            <w:pPr>
              <w:widowControl/>
              <w:jc w:val="cente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土地利用类型</w:t>
            </w:r>
          </w:p>
        </w:tc>
        <w:tc>
          <w:tcPr>
            <w:tcW w:w="1280" w:type="dxa"/>
            <w:shd w:val="clear" w:color="auto" w:fill="D8D8D8" w:themeFill="background1" w:themeFillShade="D9"/>
            <w:vAlign w:val="center"/>
          </w:tcPr>
          <w:p>
            <w:pPr>
              <w:widowControl/>
              <w:jc w:val="cente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坡度</w:t>
            </w:r>
          </w:p>
        </w:tc>
        <w:tc>
          <w:tcPr>
            <w:tcW w:w="1280" w:type="dxa"/>
            <w:shd w:val="clear" w:color="auto" w:fill="D8D8D8" w:themeFill="background1" w:themeFillShade="D9"/>
            <w:vAlign w:val="center"/>
          </w:tcPr>
          <w:p>
            <w:pPr>
              <w:widowControl/>
              <w:jc w:val="cente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土壤侵蚀等级</w:t>
            </w:r>
          </w:p>
        </w:tc>
        <w:tc>
          <w:tcPr>
            <w:tcW w:w="1458" w:type="dxa"/>
            <w:shd w:val="clear" w:color="auto" w:fill="D8D8D8" w:themeFill="background1" w:themeFillShade="D9"/>
            <w:vAlign w:val="center"/>
          </w:tcPr>
          <w:p>
            <w:pPr>
              <w:widowControl/>
              <w:jc w:val="cente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土壤侵蚀模数</w:t>
            </w:r>
            <w: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（t/km</w:t>
            </w:r>
            <w:r>
              <w:rPr>
                <w:rFonts w:ascii="Times New Roman" w:hAnsi="Times New Roman" w:eastAsia="仿宋" w:cs="Times New Roman"/>
                <w:b/>
                <w:color w:val="0D0D0D" w:themeColor="text1" w:themeTint="F2"/>
                <w:sz w:val="24"/>
                <w:szCs w:val="24"/>
                <w:vertAlign w:val="superscript"/>
                <w14:textFill>
                  <w14:solidFill>
                    <w14:schemeClr w14:val="tx1">
                      <w14:lumMod w14:val="95000"/>
                      <w14:lumOff w14:val="5000"/>
                    </w14:schemeClr>
                  </w14:solidFill>
                </w14:textFill>
              </w:rPr>
              <w:t>2</w:t>
            </w:r>
            <w: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·a）</w:t>
            </w:r>
          </w:p>
        </w:tc>
        <w:tc>
          <w:tcPr>
            <w:tcW w:w="3105" w:type="dxa"/>
            <w:shd w:val="clear" w:color="auto" w:fill="D8D8D8" w:themeFill="background1" w:themeFillShade="D9"/>
            <w:vAlign w:val="center"/>
          </w:tcPr>
          <w:p>
            <w:pPr>
              <w:widowControl/>
              <w:jc w:val="cente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取值依据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527"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有林地</w:t>
            </w:r>
          </w:p>
        </w:tc>
        <w:tc>
          <w:tcPr>
            <w:tcW w:w="1280"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w:t>
            </w:r>
          </w:p>
        </w:tc>
        <w:tc>
          <w:tcPr>
            <w:tcW w:w="1280"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微度</w:t>
            </w:r>
          </w:p>
        </w:tc>
        <w:tc>
          <w:tcPr>
            <w:tcW w:w="1458"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300</w:t>
            </w:r>
          </w:p>
        </w:tc>
        <w:tc>
          <w:tcPr>
            <w:tcW w:w="3105"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林草覆盖度＞75%，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527" w:type="dxa"/>
            <w:vMerge w:val="restart"/>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灌木林地</w:t>
            </w:r>
          </w:p>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疏林地</w:t>
            </w:r>
          </w:p>
          <w:p>
            <w:pPr>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果园</w:t>
            </w:r>
          </w:p>
        </w:tc>
        <w:tc>
          <w:tcPr>
            <w:tcW w:w="1280"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＜5°</w:t>
            </w:r>
          </w:p>
        </w:tc>
        <w:tc>
          <w:tcPr>
            <w:tcW w:w="1280"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微度</w:t>
            </w:r>
          </w:p>
        </w:tc>
        <w:tc>
          <w:tcPr>
            <w:tcW w:w="1458"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300</w:t>
            </w:r>
          </w:p>
        </w:tc>
        <w:tc>
          <w:tcPr>
            <w:tcW w:w="3105" w:type="dxa"/>
            <w:vMerge w:val="restart"/>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林草覆盖度60~75%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527" w:type="dxa"/>
            <w:vMerge w:val="continue"/>
            <w:shd w:val="clear" w:color="auto" w:fill="auto"/>
            <w:vAlign w:val="center"/>
          </w:tcPr>
          <w:p>
            <w:pPr>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c>
          <w:tcPr>
            <w:tcW w:w="1280"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5~</w:t>
            </w: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2</w:t>
            </w: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5°</w:t>
            </w:r>
          </w:p>
        </w:tc>
        <w:tc>
          <w:tcPr>
            <w:tcW w:w="1280"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轻度</w:t>
            </w:r>
          </w:p>
        </w:tc>
        <w:tc>
          <w:tcPr>
            <w:tcW w:w="1458"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500</w:t>
            </w:r>
          </w:p>
        </w:tc>
        <w:tc>
          <w:tcPr>
            <w:tcW w:w="3105" w:type="dxa"/>
            <w:vMerge w:val="continue"/>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527" w:type="dxa"/>
            <w:vMerge w:val="continue"/>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c>
          <w:tcPr>
            <w:tcW w:w="1280"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＞25°</w:t>
            </w:r>
          </w:p>
        </w:tc>
        <w:tc>
          <w:tcPr>
            <w:tcW w:w="1280"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中度</w:t>
            </w:r>
          </w:p>
        </w:tc>
        <w:tc>
          <w:tcPr>
            <w:tcW w:w="1458"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3000</w:t>
            </w:r>
          </w:p>
        </w:tc>
        <w:tc>
          <w:tcPr>
            <w:tcW w:w="3105" w:type="dxa"/>
            <w:vMerge w:val="continue"/>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527" w:type="dxa"/>
            <w:vMerge w:val="restart"/>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荒草地</w:t>
            </w:r>
          </w:p>
        </w:tc>
        <w:tc>
          <w:tcPr>
            <w:tcW w:w="1280"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＜5°</w:t>
            </w:r>
          </w:p>
        </w:tc>
        <w:tc>
          <w:tcPr>
            <w:tcW w:w="1280"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微度</w:t>
            </w:r>
          </w:p>
        </w:tc>
        <w:tc>
          <w:tcPr>
            <w:tcW w:w="1458"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300</w:t>
            </w:r>
          </w:p>
        </w:tc>
        <w:tc>
          <w:tcPr>
            <w:tcW w:w="3105" w:type="dxa"/>
            <w:vMerge w:val="restart"/>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林草覆盖度45~60%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527" w:type="dxa"/>
            <w:vMerge w:val="continue"/>
            <w:vAlign w:val="center"/>
          </w:tcPr>
          <w:p>
            <w:pPr>
              <w:widowControl/>
              <w:jc w:val="left"/>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c>
          <w:tcPr>
            <w:tcW w:w="1280"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5~15°</w:t>
            </w:r>
          </w:p>
        </w:tc>
        <w:tc>
          <w:tcPr>
            <w:tcW w:w="1280"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轻度</w:t>
            </w:r>
          </w:p>
        </w:tc>
        <w:tc>
          <w:tcPr>
            <w:tcW w:w="1458"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500</w:t>
            </w:r>
          </w:p>
        </w:tc>
        <w:tc>
          <w:tcPr>
            <w:tcW w:w="3105" w:type="dxa"/>
            <w:vMerge w:val="continue"/>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527" w:type="dxa"/>
            <w:vMerge w:val="continue"/>
            <w:vAlign w:val="center"/>
          </w:tcPr>
          <w:p>
            <w:pPr>
              <w:widowControl/>
              <w:jc w:val="left"/>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c>
          <w:tcPr>
            <w:tcW w:w="1280"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15°~35°</w:t>
            </w:r>
          </w:p>
        </w:tc>
        <w:tc>
          <w:tcPr>
            <w:tcW w:w="1280"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中度</w:t>
            </w:r>
          </w:p>
        </w:tc>
        <w:tc>
          <w:tcPr>
            <w:tcW w:w="1458"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3000</w:t>
            </w:r>
          </w:p>
        </w:tc>
        <w:tc>
          <w:tcPr>
            <w:tcW w:w="3105" w:type="dxa"/>
            <w:vMerge w:val="continue"/>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527" w:type="dxa"/>
            <w:vMerge w:val="continue"/>
            <w:vAlign w:val="center"/>
          </w:tcPr>
          <w:p>
            <w:pPr>
              <w:widowControl/>
              <w:jc w:val="left"/>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c>
          <w:tcPr>
            <w:tcW w:w="1280"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＞35°</w:t>
            </w:r>
          </w:p>
        </w:tc>
        <w:tc>
          <w:tcPr>
            <w:tcW w:w="1280"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强烈</w:t>
            </w:r>
          </w:p>
        </w:tc>
        <w:tc>
          <w:tcPr>
            <w:tcW w:w="1458"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6000</w:t>
            </w:r>
          </w:p>
        </w:tc>
        <w:tc>
          <w:tcPr>
            <w:tcW w:w="3105" w:type="dxa"/>
            <w:vMerge w:val="continue"/>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527" w:type="dxa"/>
            <w:vMerge w:val="restart"/>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旱地（坡）</w:t>
            </w:r>
          </w:p>
          <w:p>
            <w:pPr>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独立工可用地</w:t>
            </w:r>
          </w:p>
        </w:tc>
        <w:tc>
          <w:tcPr>
            <w:tcW w:w="1280"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＜5°</w:t>
            </w:r>
          </w:p>
        </w:tc>
        <w:tc>
          <w:tcPr>
            <w:tcW w:w="1280"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微度</w:t>
            </w:r>
          </w:p>
        </w:tc>
        <w:tc>
          <w:tcPr>
            <w:tcW w:w="1458"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300</w:t>
            </w:r>
          </w:p>
        </w:tc>
        <w:tc>
          <w:tcPr>
            <w:tcW w:w="3105" w:type="dxa"/>
            <w:vMerge w:val="restart"/>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林草覆盖度＜45%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527" w:type="dxa"/>
            <w:vMerge w:val="continue"/>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c>
          <w:tcPr>
            <w:tcW w:w="1280"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5~8°</w:t>
            </w:r>
          </w:p>
        </w:tc>
        <w:tc>
          <w:tcPr>
            <w:tcW w:w="1280"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轻度</w:t>
            </w:r>
          </w:p>
        </w:tc>
        <w:tc>
          <w:tcPr>
            <w:tcW w:w="1458"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500</w:t>
            </w:r>
          </w:p>
        </w:tc>
        <w:tc>
          <w:tcPr>
            <w:tcW w:w="3105" w:type="dxa"/>
            <w:vMerge w:val="continue"/>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527" w:type="dxa"/>
            <w:vMerge w:val="continue"/>
            <w:shd w:val="clear" w:color="auto" w:fill="auto"/>
            <w:vAlign w:val="center"/>
          </w:tcPr>
          <w:p>
            <w:pPr>
              <w:widowControl/>
              <w:jc w:val="left"/>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p>
        </w:tc>
        <w:tc>
          <w:tcPr>
            <w:tcW w:w="1280"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8°~25°</w:t>
            </w:r>
          </w:p>
        </w:tc>
        <w:tc>
          <w:tcPr>
            <w:tcW w:w="1280"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中度</w:t>
            </w:r>
          </w:p>
        </w:tc>
        <w:tc>
          <w:tcPr>
            <w:tcW w:w="1458"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3000</w:t>
            </w:r>
          </w:p>
        </w:tc>
        <w:tc>
          <w:tcPr>
            <w:tcW w:w="3105" w:type="dxa"/>
            <w:vMerge w:val="continue"/>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527" w:type="dxa"/>
            <w:vMerge w:val="continue"/>
            <w:shd w:val="clear" w:color="auto" w:fill="auto"/>
            <w:vAlign w:val="center"/>
          </w:tcPr>
          <w:p>
            <w:pPr>
              <w:widowControl/>
              <w:jc w:val="left"/>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p>
        </w:tc>
        <w:tc>
          <w:tcPr>
            <w:tcW w:w="1280"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＞25°</w:t>
            </w:r>
          </w:p>
        </w:tc>
        <w:tc>
          <w:tcPr>
            <w:tcW w:w="1280"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强烈</w:t>
            </w:r>
          </w:p>
        </w:tc>
        <w:tc>
          <w:tcPr>
            <w:tcW w:w="1458"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6000</w:t>
            </w:r>
          </w:p>
        </w:tc>
        <w:tc>
          <w:tcPr>
            <w:tcW w:w="3105" w:type="dxa"/>
            <w:vMerge w:val="continue"/>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527"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灌溉水田梯坪地</w:t>
            </w:r>
          </w:p>
        </w:tc>
        <w:tc>
          <w:tcPr>
            <w:tcW w:w="1280"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w:t>
            </w:r>
          </w:p>
        </w:tc>
        <w:tc>
          <w:tcPr>
            <w:tcW w:w="1280"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微度</w:t>
            </w:r>
          </w:p>
        </w:tc>
        <w:tc>
          <w:tcPr>
            <w:tcW w:w="1458"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300</w:t>
            </w:r>
          </w:p>
        </w:tc>
        <w:tc>
          <w:tcPr>
            <w:tcW w:w="3105"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林草覆盖度一般＜30%，坡度一般小于5°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527" w:type="dxa"/>
            <w:shd w:val="clear" w:color="auto" w:fill="auto"/>
            <w:vAlign w:val="center"/>
          </w:tcPr>
          <w:p>
            <w:pPr>
              <w:widowControl/>
              <w:ind w:left="-141" w:leftChars="-67" w:right="-101" w:rightChars="-48"/>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水域及水利设施用地</w:t>
            </w:r>
          </w:p>
        </w:tc>
        <w:tc>
          <w:tcPr>
            <w:tcW w:w="1280"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w:t>
            </w:r>
          </w:p>
        </w:tc>
        <w:tc>
          <w:tcPr>
            <w:tcW w:w="1280"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w:t>
            </w:r>
          </w:p>
        </w:tc>
        <w:tc>
          <w:tcPr>
            <w:tcW w:w="1458"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0</w:t>
            </w:r>
          </w:p>
        </w:tc>
        <w:tc>
          <w:tcPr>
            <w:tcW w:w="3105"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527"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村镇建设用地</w:t>
            </w:r>
          </w:p>
        </w:tc>
        <w:tc>
          <w:tcPr>
            <w:tcW w:w="1280"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w:t>
            </w:r>
          </w:p>
        </w:tc>
        <w:tc>
          <w:tcPr>
            <w:tcW w:w="1280"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w:t>
            </w:r>
          </w:p>
        </w:tc>
        <w:tc>
          <w:tcPr>
            <w:tcW w:w="1458"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0</w:t>
            </w:r>
          </w:p>
        </w:tc>
        <w:tc>
          <w:tcPr>
            <w:tcW w:w="3105"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w:t>
            </w:r>
          </w:p>
        </w:tc>
      </w:tr>
    </w:tbl>
    <w:p>
      <w:pPr>
        <w:adjustRightInd w:val="0"/>
        <w:snapToGrid w:val="0"/>
        <w:spacing w:line="360" w:lineRule="auto"/>
        <w:ind w:firstLine="562" w:firstLineChars="200"/>
        <w:rPr>
          <w:rFonts w:ascii="Times New Roman" w:hAnsi="Times New Roman" w:eastAsia="仿宋"/>
          <w:b/>
          <w:bCs/>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b/>
          <w:bCs/>
          <w:color w:val="0D0D0D" w:themeColor="text1" w:themeTint="F2"/>
          <w:sz w:val="28"/>
          <w:szCs w:val="28"/>
          <w14:textFill>
            <w14:solidFill>
              <w14:schemeClr w14:val="tx1">
                <w14:lumMod w14:val="95000"/>
                <w14:lumOff w14:val="5000"/>
              </w14:schemeClr>
            </w14:solidFill>
          </w14:textFill>
        </w:rPr>
        <w:t>（2）亦佐水库</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保护区</w:t>
      </w:r>
      <w:r>
        <w:rPr>
          <w:rFonts w:hint="eastAsia" w:ascii="Times New Roman" w:hAnsi="Times New Roman" w:eastAsia="仿宋"/>
          <w:b/>
          <w:bCs/>
          <w:color w:val="0D0D0D" w:themeColor="text1" w:themeTint="F2"/>
          <w:sz w:val="28"/>
          <w:szCs w:val="28"/>
          <w14:textFill>
            <w14:solidFill>
              <w14:schemeClr w14:val="tx1">
                <w14:lumMod w14:val="95000"/>
                <w14:lumOff w14:val="5000"/>
              </w14:schemeClr>
            </w14:solidFill>
          </w14:textFill>
        </w:rPr>
        <w:t>范围内水土流失现状</w:t>
      </w:r>
    </w:p>
    <w:p>
      <w:pPr>
        <w:adjustRightInd w:val="0"/>
        <w:snapToGrid w:val="0"/>
        <w:spacing w:line="360" w:lineRule="auto"/>
        <w:ind w:firstLine="560"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根据解译成果，</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亦佐水库</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保护区</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范围总面积</w:t>
      </w:r>
      <w:bookmarkStart w:id="83" w:name="_Hlk20347912"/>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72.79</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 xml:space="preserve"> h</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m</w:t>
      </w:r>
      <w:r>
        <w:rPr>
          <w:rFonts w:hint="eastAsia" w:ascii="Times New Roman" w:hAnsi="Times New Roman" w:eastAsia="仿宋" w:cs="Times New Roman"/>
          <w:color w:val="0D0D0D" w:themeColor="text1" w:themeTint="F2"/>
          <w:sz w:val="28"/>
          <w:szCs w:val="28"/>
          <w:vertAlign w:val="superscript"/>
          <w14:textFill>
            <w14:solidFill>
              <w14:schemeClr w14:val="tx1">
                <w14:lumMod w14:val="95000"/>
                <w14:lumOff w14:val="5000"/>
              </w14:schemeClr>
            </w14:solidFill>
          </w14:textFill>
        </w:rPr>
        <w:t>2</w:t>
      </w:r>
      <w:bookmarkEnd w:id="83"/>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，其中无明显侵蚀面积</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 xml:space="preserve">9.11 </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h</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m</w:t>
      </w:r>
      <w:r>
        <w:rPr>
          <w:rFonts w:hint="eastAsia" w:ascii="Times New Roman" w:hAnsi="Times New Roman" w:eastAsia="仿宋" w:cs="Times New Roman"/>
          <w:color w:val="0D0D0D" w:themeColor="text1" w:themeTint="F2"/>
          <w:sz w:val="28"/>
          <w:szCs w:val="28"/>
          <w:vertAlign w:val="superscript"/>
          <w14:textFill>
            <w14:solidFill>
              <w14:schemeClr w14:val="tx1">
                <w14:lumMod w14:val="95000"/>
                <w14:lumOff w14:val="5000"/>
              </w14:schemeClr>
            </w14:solidFill>
          </w14:textFill>
        </w:rPr>
        <w:t>2</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，占</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保护区</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面积的</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12.52</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水土流失面积</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 xml:space="preserve">63.68 </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h</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m</w:t>
      </w:r>
      <w:r>
        <w:rPr>
          <w:rFonts w:hint="eastAsia" w:ascii="Times New Roman" w:hAnsi="Times New Roman" w:eastAsia="仿宋" w:cs="Times New Roman"/>
          <w:color w:val="0D0D0D" w:themeColor="text1" w:themeTint="F2"/>
          <w:sz w:val="28"/>
          <w:szCs w:val="28"/>
          <w:vertAlign w:val="superscript"/>
          <w14:textFill>
            <w14:solidFill>
              <w14:schemeClr w14:val="tx1">
                <w14:lumMod w14:val="95000"/>
                <w14:lumOff w14:val="5000"/>
              </w14:schemeClr>
            </w14:solidFill>
          </w14:textFill>
        </w:rPr>
        <w:t>2</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，占</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保护区</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面积的</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87.48</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%，其中轻度侵蚀面积</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 xml:space="preserve">35.53 </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h</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m</w:t>
      </w:r>
      <w:r>
        <w:rPr>
          <w:rFonts w:hint="eastAsia" w:ascii="Times New Roman" w:hAnsi="Times New Roman" w:eastAsia="仿宋" w:cs="Times New Roman"/>
          <w:color w:val="0D0D0D" w:themeColor="text1" w:themeTint="F2"/>
          <w:sz w:val="28"/>
          <w:szCs w:val="28"/>
          <w:vertAlign w:val="superscript"/>
          <w14:textFill>
            <w14:solidFill>
              <w14:schemeClr w14:val="tx1">
                <w14:lumMod w14:val="95000"/>
                <w14:lumOff w14:val="5000"/>
              </w14:schemeClr>
            </w14:solidFill>
          </w14:textFill>
        </w:rPr>
        <w:t>2</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，占水土流失面积的</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55.79</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中度侵蚀面积</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21.41h</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m</w:t>
      </w:r>
      <w:r>
        <w:rPr>
          <w:rFonts w:ascii="Times New Roman" w:hAnsi="Times New Roman" w:eastAsia="仿宋" w:cs="Times New Roman"/>
          <w:color w:val="0D0D0D" w:themeColor="text1" w:themeTint="F2"/>
          <w:sz w:val="28"/>
          <w:szCs w:val="28"/>
          <w:vertAlign w:val="superscript"/>
          <w14:textFill>
            <w14:solidFill>
              <w14:schemeClr w14:val="tx1">
                <w14:lumMod w14:val="95000"/>
                <w14:lumOff w14:val="5000"/>
              </w14:schemeClr>
            </w14:solidFill>
          </w14:textFill>
        </w:rPr>
        <w:t>2</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，占水土流失面积的</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33.62</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强烈侵蚀面积</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 xml:space="preserve">6.74 </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h</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m</w:t>
      </w:r>
      <w:r>
        <w:rPr>
          <w:rFonts w:hint="eastAsia" w:ascii="Times New Roman" w:hAnsi="Times New Roman" w:eastAsia="仿宋" w:cs="Times New Roman"/>
          <w:color w:val="0D0D0D" w:themeColor="text1" w:themeTint="F2"/>
          <w:sz w:val="28"/>
          <w:szCs w:val="28"/>
          <w:vertAlign w:val="superscript"/>
          <w14:textFill>
            <w14:solidFill>
              <w14:schemeClr w14:val="tx1">
                <w14:lumMod w14:val="95000"/>
                <w14:lumOff w14:val="5000"/>
              </w14:schemeClr>
            </w14:solidFill>
          </w14:textFill>
        </w:rPr>
        <w:t>2</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，占水土流失面积的</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10.59</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无极强烈侵蚀</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采用加权平均法计算</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保护区</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的</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平均</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土壤侵蚀模数为</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 xml:space="preserve">1967.96 </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t/（km</w:t>
      </w:r>
      <w:r>
        <w:rPr>
          <w:rFonts w:ascii="Times New Roman" w:hAnsi="Times New Roman" w:eastAsia="仿宋" w:cs="Times New Roman"/>
          <w:color w:val="0D0D0D" w:themeColor="text1" w:themeTint="F2"/>
          <w:sz w:val="28"/>
          <w:szCs w:val="28"/>
          <w:vertAlign w:val="superscript"/>
          <w14:textFill>
            <w14:solidFill>
              <w14:schemeClr w14:val="tx1">
                <w14:lumMod w14:val="95000"/>
                <w14:lumOff w14:val="5000"/>
              </w14:schemeClr>
            </w14:solidFill>
          </w14:textFill>
        </w:rPr>
        <w:t>2</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•a），年均土壤流失量约</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 xml:space="preserve">1432.43 </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t/a。</w:t>
      </w:r>
    </w:p>
    <w:p>
      <w:pPr>
        <w:adjustRightInd w:val="0"/>
        <w:snapToGrid w:val="0"/>
        <w:spacing w:line="240" w:lineRule="atLeast"/>
        <w:jc w:val="cente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表</w:t>
      </w: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2.7-4</w:t>
      </w:r>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 xml:space="preserve">  </w:t>
      </w: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亦佐水库保护区范围内</w:t>
      </w:r>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土壤侵蚀现状统计表</w:t>
      </w:r>
    </w:p>
    <w:tbl>
      <w:tblPr>
        <w:tblStyle w:val="44"/>
        <w:tblW w:w="9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1233"/>
        <w:gridCol w:w="1658"/>
        <w:gridCol w:w="2553"/>
        <w:gridCol w:w="3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blHeader/>
        </w:trPr>
        <w:tc>
          <w:tcPr>
            <w:tcW w:w="6631" w:type="dxa"/>
            <w:gridSpan w:val="4"/>
            <w:vMerge w:val="restart"/>
            <w:shd w:val="clear" w:color="auto" w:fill="D8D8D8" w:themeFill="background1" w:themeFillShade="D9"/>
            <w:noWrap/>
            <w:vAlign w:val="center"/>
          </w:tcPr>
          <w:p>
            <w:pPr>
              <w:widowControl/>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水源地</w:t>
            </w:r>
          </w:p>
        </w:tc>
        <w:tc>
          <w:tcPr>
            <w:tcW w:w="3019" w:type="dxa"/>
            <w:shd w:val="clear" w:color="auto" w:fill="D8D8D8" w:themeFill="background1" w:themeFillShade="D9"/>
          </w:tcPr>
          <w:p>
            <w:pPr>
              <w:widowControl/>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亦佐水库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blHeader/>
        </w:trPr>
        <w:tc>
          <w:tcPr>
            <w:tcW w:w="6631" w:type="dxa"/>
            <w:gridSpan w:val="4"/>
            <w:vMerge w:val="continue"/>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p>
        </w:tc>
        <w:tc>
          <w:tcPr>
            <w:tcW w:w="3019" w:type="dxa"/>
            <w:shd w:val="clear" w:color="auto" w:fill="D8D8D8" w:themeFill="background1" w:themeFillShade="D9"/>
            <w:noWrap/>
            <w:vAlign w:val="center"/>
          </w:tcPr>
          <w:p>
            <w:pPr>
              <w:widowControl/>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一级保护区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6631" w:type="dxa"/>
            <w:gridSpan w:val="4"/>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总面积（</w:t>
            </w: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h</w:t>
            </w: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m</w:t>
            </w:r>
            <w:r>
              <w:rPr>
                <w:rFonts w:ascii="Times New Roman" w:hAnsi="Times New Roman" w:eastAsia="仿宋" w:cs="Times New Roman"/>
                <w:color w:val="0D0D0D" w:themeColor="text1" w:themeTint="F2"/>
                <w:sz w:val="24"/>
                <w:szCs w:val="24"/>
                <w:vertAlign w:val="superscript"/>
                <w14:textFill>
                  <w14:solidFill>
                    <w14:schemeClr w14:val="tx1">
                      <w14:lumMod w14:val="95000"/>
                      <w14:lumOff w14:val="5000"/>
                    </w14:schemeClr>
                  </w14:solidFill>
                </w14:textFill>
              </w:rPr>
              <w:t>2</w:t>
            </w: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w:t>
            </w:r>
          </w:p>
        </w:tc>
        <w:tc>
          <w:tcPr>
            <w:tcW w:w="3019"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72.79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4078" w:type="dxa"/>
            <w:gridSpan w:val="3"/>
            <w:vMerge w:val="restart"/>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无明显侵蚀</w:t>
            </w:r>
          </w:p>
        </w:tc>
        <w:tc>
          <w:tcPr>
            <w:tcW w:w="2553"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面积（hm</w:t>
            </w:r>
            <w:r>
              <w:rPr>
                <w:rFonts w:ascii="Times New Roman" w:hAnsi="Times New Roman" w:eastAsia="仿宋" w:cs="Times New Roman"/>
                <w:color w:val="0D0D0D" w:themeColor="text1" w:themeTint="F2"/>
                <w:sz w:val="24"/>
                <w:szCs w:val="24"/>
                <w:vertAlign w:val="superscript"/>
                <w14:textFill>
                  <w14:solidFill>
                    <w14:schemeClr w14:val="tx1">
                      <w14:lumMod w14:val="95000"/>
                      <w14:lumOff w14:val="5000"/>
                    </w14:schemeClr>
                  </w14:solidFill>
                </w14:textFill>
              </w:rPr>
              <w:t>2</w:t>
            </w: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w:t>
            </w:r>
          </w:p>
        </w:tc>
        <w:tc>
          <w:tcPr>
            <w:tcW w:w="3019"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4078" w:type="dxa"/>
            <w:gridSpan w:val="3"/>
            <w:vMerge w:val="continue"/>
            <w:shd w:val="clear" w:color="auto" w:fill="auto"/>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p>
        </w:tc>
        <w:tc>
          <w:tcPr>
            <w:tcW w:w="2553"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占区域面积%</w:t>
            </w:r>
          </w:p>
        </w:tc>
        <w:tc>
          <w:tcPr>
            <w:tcW w:w="3019"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12.52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187" w:type="dxa"/>
            <w:vMerge w:val="restart"/>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土壤侵蚀</w:t>
            </w:r>
          </w:p>
        </w:tc>
        <w:tc>
          <w:tcPr>
            <w:tcW w:w="2891" w:type="dxa"/>
            <w:gridSpan w:val="2"/>
            <w:vMerge w:val="restart"/>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总体情况</w:t>
            </w:r>
          </w:p>
        </w:tc>
        <w:tc>
          <w:tcPr>
            <w:tcW w:w="2553"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面积（hm</w:t>
            </w:r>
            <w:r>
              <w:rPr>
                <w:rFonts w:ascii="Times New Roman" w:hAnsi="Times New Roman" w:eastAsia="仿宋" w:cs="Times New Roman"/>
                <w:color w:val="0D0D0D" w:themeColor="text1" w:themeTint="F2"/>
                <w:sz w:val="24"/>
                <w:szCs w:val="24"/>
                <w:vertAlign w:val="superscript"/>
                <w14:textFill>
                  <w14:solidFill>
                    <w14:schemeClr w14:val="tx1">
                      <w14:lumMod w14:val="95000"/>
                      <w14:lumOff w14:val="5000"/>
                    </w14:schemeClr>
                  </w14:solidFill>
                </w14:textFill>
              </w:rPr>
              <w:t>2</w:t>
            </w: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w:t>
            </w:r>
          </w:p>
        </w:tc>
        <w:tc>
          <w:tcPr>
            <w:tcW w:w="3019"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63.68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187" w:type="dxa"/>
            <w:vMerge w:val="continue"/>
            <w:shd w:val="clear" w:color="auto" w:fill="auto"/>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p>
        </w:tc>
        <w:tc>
          <w:tcPr>
            <w:tcW w:w="2891" w:type="dxa"/>
            <w:gridSpan w:val="2"/>
            <w:vMerge w:val="continue"/>
            <w:shd w:val="clear" w:color="auto" w:fill="auto"/>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p>
        </w:tc>
        <w:tc>
          <w:tcPr>
            <w:tcW w:w="2553"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占区域面积%</w:t>
            </w:r>
          </w:p>
        </w:tc>
        <w:tc>
          <w:tcPr>
            <w:tcW w:w="3019"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87.48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187" w:type="dxa"/>
            <w:vMerge w:val="continue"/>
            <w:shd w:val="clear" w:color="auto" w:fill="auto"/>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p>
        </w:tc>
        <w:tc>
          <w:tcPr>
            <w:tcW w:w="1233" w:type="dxa"/>
            <w:vMerge w:val="restart"/>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强度分级</w:t>
            </w:r>
          </w:p>
        </w:tc>
        <w:tc>
          <w:tcPr>
            <w:tcW w:w="1658" w:type="dxa"/>
            <w:vMerge w:val="restart"/>
            <w:shd w:val="clear" w:color="auto" w:fill="auto"/>
            <w:noWrap/>
            <w:vAlign w:val="center"/>
          </w:tcPr>
          <w:p>
            <w:pPr>
              <w:widowControl/>
              <w:jc w:val="center"/>
              <w:rPr>
                <w:rFonts w:ascii="Times New Roman" w:hAnsi="Times New Roman" w:eastAsia="仿宋" w:cs="Times New Roman"/>
                <w:color w:val="0D0D0D" w:themeColor="text1" w:themeTint="F2"/>
                <w:sz w:val="24"/>
                <w:szCs w:val="24"/>
                <w:highlight w:val="yellow"/>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轻度流失</w:t>
            </w:r>
          </w:p>
        </w:tc>
        <w:tc>
          <w:tcPr>
            <w:tcW w:w="2553"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highlight w:val="yellow"/>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面积（hm</w:t>
            </w:r>
            <w:r>
              <w:rPr>
                <w:rFonts w:ascii="Times New Roman" w:hAnsi="Times New Roman" w:eastAsia="仿宋" w:cs="Times New Roman"/>
                <w:color w:val="0D0D0D" w:themeColor="text1" w:themeTint="F2"/>
                <w:sz w:val="24"/>
                <w:szCs w:val="24"/>
                <w:vertAlign w:val="superscript"/>
                <w14:textFill>
                  <w14:solidFill>
                    <w14:schemeClr w14:val="tx1">
                      <w14:lumMod w14:val="95000"/>
                      <w14:lumOff w14:val="5000"/>
                    </w14:schemeClr>
                  </w14:solidFill>
                </w14:textFill>
              </w:rPr>
              <w:t>2</w:t>
            </w: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w:t>
            </w:r>
          </w:p>
        </w:tc>
        <w:tc>
          <w:tcPr>
            <w:tcW w:w="3019"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35.53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187" w:type="dxa"/>
            <w:vMerge w:val="continue"/>
            <w:shd w:val="clear" w:color="auto" w:fill="auto"/>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p>
        </w:tc>
        <w:tc>
          <w:tcPr>
            <w:tcW w:w="1233" w:type="dxa"/>
            <w:vMerge w:val="continue"/>
            <w:shd w:val="clear" w:color="auto" w:fill="auto"/>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p>
        </w:tc>
        <w:tc>
          <w:tcPr>
            <w:tcW w:w="1658" w:type="dxa"/>
            <w:vMerge w:val="continue"/>
            <w:shd w:val="clear" w:color="auto" w:fill="auto"/>
            <w:vAlign w:val="center"/>
          </w:tcPr>
          <w:p>
            <w:pPr>
              <w:widowControl/>
              <w:jc w:val="center"/>
              <w:rPr>
                <w:rFonts w:ascii="Times New Roman" w:hAnsi="Times New Roman" w:eastAsia="仿宋" w:cs="Times New Roman"/>
                <w:color w:val="0D0D0D" w:themeColor="text1" w:themeTint="F2"/>
                <w:sz w:val="24"/>
                <w:szCs w:val="24"/>
                <w:highlight w:val="yellow"/>
                <w14:textFill>
                  <w14:solidFill>
                    <w14:schemeClr w14:val="tx1">
                      <w14:lumMod w14:val="95000"/>
                      <w14:lumOff w14:val="5000"/>
                    </w14:schemeClr>
                  </w14:solidFill>
                </w14:textFill>
              </w:rPr>
            </w:pPr>
          </w:p>
        </w:tc>
        <w:tc>
          <w:tcPr>
            <w:tcW w:w="2553"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highlight w:val="yellow"/>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占流失面积%</w:t>
            </w:r>
          </w:p>
        </w:tc>
        <w:tc>
          <w:tcPr>
            <w:tcW w:w="3019"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55.79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187" w:type="dxa"/>
            <w:vMerge w:val="continue"/>
            <w:shd w:val="clear" w:color="auto" w:fill="auto"/>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p>
        </w:tc>
        <w:tc>
          <w:tcPr>
            <w:tcW w:w="1233" w:type="dxa"/>
            <w:vMerge w:val="continue"/>
            <w:shd w:val="clear" w:color="auto" w:fill="auto"/>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p>
        </w:tc>
        <w:tc>
          <w:tcPr>
            <w:tcW w:w="1658" w:type="dxa"/>
            <w:vMerge w:val="restart"/>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中度流失</w:t>
            </w:r>
          </w:p>
        </w:tc>
        <w:tc>
          <w:tcPr>
            <w:tcW w:w="2553"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面积（hm</w:t>
            </w:r>
            <w:r>
              <w:rPr>
                <w:rFonts w:ascii="Times New Roman" w:hAnsi="Times New Roman" w:eastAsia="仿宋" w:cs="Times New Roman"/>
                <w:color w:val="0D0D0D" w:themeColor="text1" w:themeTint="F2"/>
                <w:sz w:val="24"/>
                <w:szCs w:val="24"/>
                <w:vertAlign w:val="superscript"/>
                <w14:textFill>
                  <w14:solidFill>
                    <w14:schemeClr w14:val="tx1">
                      <w14:lumMod w14:val="95000"/>
                      <w14:lumOff w14:val="5000"/>
                    </w14:schemeClr>
                  </w14:solidFill>
                </w14:textFill>
              </w:rPr>
              <w:t>2</w:t>
            </w: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w:t>
            </w:r>
          </w:p>
        </w:tc>
        <w:tc>
          <w:tcPr>
            <w:tcW w:w="3019"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21.41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187" w:type="dxa"/>
            <w:vMerge w:val="continue"/>
            <w:shd w:val="clear" w:color="auto" w:fill="auto"/>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p>
        </w:tc>
        <w:tc>
          <w:tcPr>
            <w:tcW w:w="1233" w:type="dxa"/>
            <w:vMerge w:val="continue"/>
            <w:shd w:val="clear" w:color="auto" w:fill="auto"/>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p>
        </w:tc>
        <w:tc>
          <w:tcPr>
            <w:tcW w:w="1658" w:type="dxa"/>
            <w:vMerge w:val="continue"/>
            <w:shd w:val="clear" w:color="auto" w:fill="auto"/>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p>
        </w:tc>
        <w:tc>
          <w:tcPr>
            <w:tcW w:w="2553"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占流失面积%</w:t>
            </w:r>
          </w:p>
        </w:tc>
        <w:tc>
          <w:tcPr>
            <w:tcW w:w="3019"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33.62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187" w:type="dxa"/>
            <w:vMerge w:val="continue"/>
            <w:shd w:val="clear" w:color="auto" w:fill="auto"/>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p>
        </w:tc>
        <w:tc>
          <w:tcPr>
            <w:tcW w:w="1233" w:type="dxa"/>
            <w:vMerge w:val="continue"/>
            <w:shd w:val="clear" w:color="auto" w:fill="auto"/>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p>
        </w:tc>
        <w:tc>
          <w:tcPr>
            <w:tcW w:w="1658" w:type="dxa"/>
            <w:vMerge w:val="restart"/>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强烈流失</w:t>
            </w:r>
          </w:p>
        </w:tc>
        <w:tc>
          <w:tcPr>
            <w:tcW w:w="2553"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面积（hm</w:t>
            </w:r>
            <w:r>
              <w:rPr>
                <w:rFonts w:ascii="Times New Roman" w:hAnsi="Times New Roman" w:eastAsia="仿宋" w:cs="Times New Roman"/>
                <w:color w:val="0D0D0D" w:themeColor="text1" w:themeTint="F2"/>
                <w:sz w:val="24"/>
                <w:szCs w:val="24"/>
                <w:vertAlign w:val="superscript"/>
                <w14:textFill>
                  <w14:solidFill>
                    <w14:schemeClr w14:val="tx1">
                      <w14:lumMod w14:val="95000"/>
                      <w14:lumOff w14:val="5000"/>
                    </w14:schemeClr>
                  </w14:solidFill>
                </w14:textFill>
              </w:rPr>
              <w:t>2</w:t>
            </w: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w:t>
            </w:r>
          </w:p>
        </w:tc>
        <w:tc>
          <w:tcPr>
            <w:tcW w:w="3019"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6.74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187" w:type="dxa"/>
            <w:vMerge w:val="continue"/>
            <w:shd w:val="clear" w:color="auto" w:fill="auto"/>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p>
        </w:tc>
        <w:tc>
          <w:tcPr>
            <w:tcW w:w="1233" w:type="dxa"/>
            <w:vMerge w:val="continue"/>
            <w:shd w:val="clear" w:color="auto" w:fill="auto"/>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p>
        </w:tc>
        <w:tc>
          <w:tcPr>
            <w:tcW w:w="1658" w:type="dxa"/>
            <w:vMerge w:val="continue"/>
            <w:shd w:val="clear" w:color="auto" w:fill="auto"/>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p>
        </w:tc>
        <w:tc>
          <w:tcPr>
            <w:tcW w:w="2553"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占流失面积%</w:t>
            </w:r>
          </w:p>
        </w:tc>
        <w:tc>
          <w:tcPr>
            <w:tcW w:w="3019"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10.59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6631" w:type="dxa"/>
            <w:gridSpan w:val="4"/>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平均土壤侵蚀模数（t/km</w:t>
            </w:r>
            <w:r>
              <w:rPr>
                <w:rFonts w:ascii="Times New Roman" w:hAnsi="Times New Roman" w:eastAsia="仿宋" w:cs="Times New Roman"/>
                <w:color w:val="0D0D0D" w:themeColor="text1" w:themeTint="F2"/>
                <w:sz w:val="24"/>
                <w:szCs w:val="24"/>
                <w:vertAlign w:val="superscript"/>
                <w14:textFill>
                  <w14:solidFill>
                    <w14:schemeClr w14:val="tx1">
                      <w14:lumMod w14:val="95000"/>
                      <w14:lumOff w14:val="5000"/>
                    </w14:schemeClr>
                  </w14:solidFill>
                </w14:textFill>
              </w:rPr>
              <w:t>2</w:t>
            </w: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·a）</w:t>
            </w:r>
          </w:p>
        </w:tc>
        <w:tc>
          <w:tcPr>
            <w:tcW w:w="3019"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1967.96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6631" w:type="dxa"/>
            <w:gridSpan w:val="4"/>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年均土壤流失量（t/a）</w:t>
            </w:r>
          </w:p>
        </w:tc>
        <w:tc>
          <w:tcPr>
            <w:tcW w:w="3019" w:type="dxa"/>
            <w:shd w:val="clear" w:color="auto" w:fill="auto"/>
            <w:noWrap/>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1432.43</w:t>
            </w:r>
          </w:p>
        </w:tc>
      </w:tr>
    </w:tbl>
    <w:p>
      <w:pPr>
        <w:adjustRightInd w:val="0"/>
        <w:snapToGrid w:val="0"/>
        <w:spacing w:line="360" w:lineRule="auto"/>
        <w:ind w:firstLine="562" w:firstLineChars="200"/>
        <w:rPr>
          <w:rFonts w:ascii="Times New Roman" w:hAnsi="Times New Roman" w:eastAsia="仿宋"/>
          <w:b/>
          <w:bCs/>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b/>
          <w:bCs/>
          <w:color w:val="0D0D0D" w:themeColor="text1" w:themeTint="F2"/>
          <w:sz w:val="28"/>
          <w:szCs w:val="28"/>
          <w14:textFill>
            <w14:solidFill>
              <w14:schemeClr w14:val="tx1">
                <w14:lumMod w14:val="95000"/>
                <w14:lumOff w14:val="5000"/>
              </w14:schemeClr>
            </w14:solidFill>
          </w14:textFill>
        </w:rPr>
        <w:t>（3）水土流失污染物入库量</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根据亦佐水库保护区内水土流失现状，对保护区范围内的土壤氮磷含量进行综合分析，流失土壤中总氮含量取1.32g/kg，总磷含量取19.30mg/kg，化学需氧量含量取2.13%，按照20%的淋溶率计算水土流失污染物入库量。亦佐水库保护区范围内水土流失污染物入库量，如下表2.7-5。</w:t>
      </w:r>
    </w:p>
    <w:p>
      <w:pPr>
        <w:adjustRightInd w:val="0"/>
        <w:snapToGrid w:val="0"/>
        <w:spacing w:line="240" w:lineRule="atLeast"/>
        <w:jc w:val="cente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pPr>
    </w:p>
    <w:p>
      <w:pPr>
        <w:adjustRightInd w:val="0"/>
        <w:snapToGrid w:val="0"/>
        <w:spacing w:line="240" w:lineRule="atLeast"/>
        <w:jc w:val="cente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表</w:t>
      </w: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2.7-5</w:t>
      </w:r>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 xml:space="preserve"> </w:t>
      </w: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 xml:space="preserve"> 亦佐水库</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保护区</w:t>
      </w: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范围内</w:t>
      </w:r>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水土流失入库量估算</w:t>
      </w:r>
    </w:p>
    <w:tbl>
      <w:tblPr>
        <w:tblStyle w:val="44"/>
        <w:tblW w:w="9650" w:type="dxa"/>
        <w:tblInd w:w="0" w:type="dxa"/>
        <w:tblBorders>
          <w:top w:val="single" w:color="231F20" w:sz="4" w:space="0"/>
          <w:left w:val="single" w:color="231F20" w:sz="4" w:space="0"/>
          <w:bottom w:val="single" w:color="231F20" w:sz="4" w:space="0"/>
          <w:right w:val="single" w:color="231F20" w:sz="4" w:space="0"/>
          <w:insideH w:val="single" w:color="231F20" w:sz="6" w:space="0"/>
          <w:insideV w:val="single" w:color="231F20" w:sz="6" w:space="0"/>
        </w:tblBorders>
        <w:tblLayout w:type="fixed"/>
        <w:tblCellMar>
          <w:top w:w="0" w:type="dxa"/>
          <w:left w:w="108" w:type="dxa"/>
          <w:bottom w:w="0" w:type="dxa"/>
          <w:right w:w="108" w:type="dxa"/>
        </w:tblCellMar>
      </w:tblPr>
      <w:tblGrid>
        <w:gridCol w:w="1790"/>
        <w:gridCol w:w="2044"/>
        <w:gridCol w:w="1922"/>
        <w:gridCol w:w="1343"/>
        <w:gridCol w:w="1343"/>
        <w:gridCol w:w="1208"/>
      </w:tblGrid>
      <w:tr>
        <w:tblPrEx>
          <w:tblBorders>
            <w:top w:val="single" w:color="231F20" w:sz="4" w:space="0"/>
            <w:left w:val="single" w:color="231F20" w:sz="4" w:space="0"/>
            <w:bottom w:val="single" w:color="231F20" w:sz="4" w:space="0"/>
            <w:right w:val="single" w:color="231F20" w:sz="4" w:space="0"/>
            <w:insideH w:val="single" w:color="231F20" w:sz="6" w:space="0"/>
            <w:insideV w:val="single" w:color="231F20" w:sz="6" w:space="0"/>
          </w:tblBorders>
          <w:tblLayout w:type="fixed"/>
          <w:tblCellMar>
            <w:top w:w="0" w:type="dxa"/>
            <w:left w:w="108" w:type="dxa"/>
            <w:bottom w:w="0" w:type="dxa"/>
            <w:right w:w="108" w:type="dxa"/>
          </w:tblCellMar>
        </w:tblPrEx>
        <w:trPr>
          <w:trHeight w:val="284" w:hRule="atLeast"/>
          <w:tblHeader/>
        </w:trPr>
        <w:tc>
          <w:tcPr>
            <w:tcW w:w="1790" w:type="dxa"/>
            <w:shd w:val="clear" w:color="auto" w:fill="D8D8D8" w:themeFill="background1" w:themeFillShade="D9"/>
            <w:vAlign w:val="center"/>
          </w:tcPr>
          <w:p>
            <w:pPr>
              <w:widowControl/>
              <w:adjustRightInd w:val="0"/>
              <w:snapToGrid w:val="0"/>
              <w:jc w:val="center"/>
              <w:rPr>
                <w:rFonts w:ascii="Times New Roman" w:hAnsi="Times New Roman" w:eastAsia="仿宋" w:cs="Times New Roman"/>
                <w:b/>
                <w:bCs/>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bCs/>
                <w:color w:val="0D0D0D" w:themeColor="text1" w:themeTint="F2"/>
                <w:sz w:val="24"/>
                <w:szCs w:val="24"/>
                <w14:textFill>
                  <w14:solidFill>
                    <w14:schemeClr w14:val="tx1">
                      <w14:lumMod w14:val="95000"/>
                      <w14:lumOff w14:val="5000"/>
                    </w14:schemeClr>
                  </w14:solidFill>
                </w14:textFill>
              </w:rPr>
              <w:t>保护区</w:t>
            </w:r>
          </w:p>
        </w:tc>
        <w:tc>
          <w:tcPr>
            <w:tcW w:w="2044" w:type="dxa"/>
            <w:shd w:val="clear" w:color="auto" w:fill="D8D8D8" w:themeFill="background1" w:themeFillShade="D9"/>
            <w:vAlign w:val="center"/>
          </w:tcPr>
          <w:p>
            <w:pPr>
              <w:widowControl/>
              <w:adjustRightInd w:val="0"/>
              <w:snapToGrid w:val="0"/>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平均土壤侵蚀模数（t/km</w:t>
            </w:r>
            <w:r>
              <w:rPr>
                <w:rFonts w:ascii="Times New Roman" w:hAnsi="Times New Roman" w:eastAsia="仿宋" w:cs="Times New Roman"/>
                <w:b/>
                <w:color w:val="0D0D0D" w:themeColor="text1" w:themeTint="F2"/>
                <w:sz w:val="24"/>
                <w:szCs w:val="24"/>
                <w:vertAlign w:val="superscript"/>
                <w14:textFill>
                  <w14:solidFill>
                    <w14:schemeClr w14:val="tx1">
                      <w14:lumMod w14:val="95000"/>
                      <w14:lumOff w14:val="5000"/>
                    </w14:schemeClr>
                  </w14:solidFill>
                </w14:textFill>
              </w:rPr>
              <w:t>2</w:t>
            </w:r>
            <w: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·a）</w:t>
            </w:r>
          </w:p>
        </w:tc>
        <w:tc>
          <w:tcPr>
            <w:tcW w:w="1922" w:type="dxa"/>
            <w:shd w:val="clear" w:color="auto" w:fill="D8D8D8" w:themeFill="background1" w:themeFillShade="D9"/>
            <w:vAlign w:val="center"/>
          </w:tcPr>
          <w:p>
            <w:pPr>
              <w:widowControl/>
              <w:adjustRightInd w:val="0"/>
              <w:snapToGrid w:val="0"/>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年均土壤流失量（t/a）</w:t>
            </w:r>
          </w:p>
        </w:tc>
        <w:tc>
          <w:tcPr>
            <w:tcW w:w="1343" w:type="dxa"/>
            <w:shd w:val="clear" w:color="auto" w:fill="D8D8D8" w:themeFill="background1" w:themeFillShade="D9"/>
            <w:vAlign w:val="center"/>
          </w:tcPr>
          <w:p>
            <w:pPr>
              <w:widowControl/>
              <w:adjustRightInd w:val="0"/>
              <w:snapToGrid w:val="0"/>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COD</w:t>
            </w:r>
          </w:p>
          <w:p>
            <w:pPr>
              <w:widowControl/>
              <w:adjustRightInd w:val="0"/>
              <w:snapToGrid w:val="0"/>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（t/a）</w:t>
            </w:r>
          </w:p>
        </w:tc>
        <w:tc>
          <w:tcPr>
            <w:tcW w:w="1343" w:type="dxa"/>
            <w:shd w:val="clear" w:color="auto" w:fill="D8D8D8" w:themeFill="background1" w:themeFillShade="D9"/>
            <w:vAlign w:val="center"/>
          </w:tcPr>
          <w:p>
            <w:pPr>
              <w:widowControl/>
              <w:adjustRightInd w:val="0"/>
              <w:snapToGrid w:val="0"/>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TN</w:t>
            </w:r>
          </w:p>
          <w:p>
            <w:pPr>
              <w:widowControl/>
              <w:adjustRightInd w:val="0"/>
              <w:snapToGrid w:val="0"/>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（t/a）</w:t>
            </w:r>
          </w:p>
        </w:tc>
        <w:tc>
          <w:tcPr>
            <w:tcW w:w="1208" w:type="dxa"/>
            <w:shd w:val="clear" w:color="auto" w:fill="D8D8D8" w:themeFill="background1" w:themeFillShade="D9"/>
            <w:vAlign w:val="center"/>
          </w:tcPr>
          <w:p>
            <w:pPr>
              <w:widowControl/>
              <w:adjustRightInd w:val="0"/>
              <w:snapToGrid w:val="0"/>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TP</w:t>
            </w:r>
          </w:p>
          <w:p>
            <w:pPr>
              <w:widowControl/>
              <w:adjustRightInd w:val="0"/>
              <w:snapToGrid w:val="0"/>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（t/a）</w:t>
            </w:r>
          </w:p>
        </w:tc>
      </w:tr>
      <w:tr>
        <w:tblPrEx>
          <w:tblBorders>
            <w:top w:val="single" w:color="231F20" w:sz="4" w:space="0"/>
            <w:left w:val="single" w:color="231F20" w:sz="4" w:space="0"/>
            <w:bottom w:val="single" w:color="231F20" w:sz="4" w:space="0"/>
            <w:right w:val="single" w:color="231F20" w:sz="4" w:space="0"/>
            <w:insideH w:val="single" w:color="231F20" w:sz="6" w:space="0"/>
            <w:insideV w:val="single" w:color="231F20" w:sz="6" w:space="0"/>
          </w:tblBorders>
          <w:tblLayout w:type="fixed"/>
          <w:tblCellMar>
            <w:top w:w="0" w:type="dxa"/>
            <w:left w:w="108" w:type="dxa"/>
            <w:bottom w:w="0" w:type="dxa"/>
            <w:right w:w="108" w:type="dxa"/>
          </w:tblCellMar>
        </w:tblPrEx>
        <w:trPr>
          <w:trHeight w:val="284" w:hRule="atLeast"/>
        </w:trPr>
        <w:tc>
          <w:tcPr>
            <w:tcW w:w="1790" w:type="dxa"/>
            <w:shd w:val="clear" w:color="auto" w:fill="auto"/>
            <w:vAlign w:val="center"/>
          </w:tcPr>
          <w:p>
            <w:pPr>
              <w:widowControl/>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一级保护区</w:t>
            </w:r>
          </w:p>
        </w:tc>
        <w:tc>
          <w:tcPr>
            <w:tcW w:w="2044" w:type="dxa"/>
            <w:vAlign w:val="center"/>
          </w:tcPr>
          <w:p>
            <w:pPr>
              <w:widowControl/>
              <w:adjustRightInd w:val="0"/>
              <w:snapToGrid w:val="0"/>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1967.96</w:t>
            </w:r>
          </w:p>
        </w:tc>
        <w:tc>
          <w:tcPr>
            <w:tcW w:w="1922"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1432.43</w:t>
            </w:r>
          </w:p>
        </w:tc>
        <w:tc>
          <w:tcPr>
            <w:tcW w:w="1343" w:type="dxa"/>
            <w:vAlign w:val="center"/>
          </w:tcPr>
          <w:p>
            <w:pPr>
              <w:widowControl/>
              <w:adjustRightInd w:val="0"/>
              <w:snapToGrid w:val="0"/>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6.102</w:t>
            </w:r>
          </w:p>
        </w:tc>
        <w:tc>
          <w:tcPr>
            <w:tcW w:w="1343"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0.378</w:t>
            </w:r>
          </w:p>
        </w:tc>
        <w:tc>
          <w:tcPr>
            <w:tcW w:w="1208"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0.006</w:t>
            </w:r>
          </w:p>
        </w:tc>
      </w:tr>
    </w:tbl>
    <w:p>
      <w:pPr>
        <w:keepNext/>
        <w:keepLines/>
        <w:spacing w:before="260" w:after="260" w:line="416" w:lineRule="auto"/>
        <w:outlineLvl w:val="2"/>
        <w:rPr>
          <w:rFonts w:ascii="Times New Roman" w:hAnsi="Times New Roman" w:eastAsia="仿宋"/>
          <w:b/>
          <w:bCs/>
          <w:color w:val="0D0D0D" w:themeColor="text1" w:themeTint="F2"/>
          <w:sz w:val="30"/>
          <w:szCs w:val="32"/>
          <w14:textFill>
            <w14:solidFill>
              <w14:schemeClr w14:val="tx1">
                <w14:lumMod w14:val="95000"/>
                <w14:lumOff w14:val="5000"/>
              </w14:schemeClr>
            </w14:solidFill>
          </w14:textFill>
        </w:rPr>
      </w:pPr>
      <w:bookmarkStart w:id="84" w:name="_Toc18506528"/>
      <w:bookmarkStart w:id="85" w:name="_Toc27522199"/>
      <w:bookmarkStart w:id="86" w:name="_Toc25679063"/>
      <w:r>
        <w:rPr>
          <w:rFonts w:ascii="Times New Roman" w:hAnsi="Times New Roman" w:eastAsia="仿宋"/>
          <w:b/>
          <w:bCs/>
          <w:color w:val="0D0D0D" w:themeColor="text1" w:themeTint="F2"/>
          <w:sz w:val="30"/>
          <w:szCs w:val="32"/>
          <w14:textFill>
            <w14:solidFill>
              <w14:schemeClr w14:val="tx1">
                <w14:lumMod w14:val="95000"/>
                <w14:lumOff w14:val="5000"/>
              </w14:schemeClr>
            </w14:solidFill>
          </w14:textFill>
        </w:rPr>
        <w:t>2.</w:t>
      </w:r>
      <w:r>
        <w:rPr>
          <w:rFonts w:hint="eastAsia" w:ascii="Times New Roman" w:hAnsi="Times New Roman" w:eastAsia="仿宋"/>
          <w:b/>
          <w:bCs/>
          <w:color w:val="0D0D0D" w:themeColor="text1" w:themeTint="F2"/>
          <w:sz w:val="30"/>
          <w:szCs w:val="32"/>
          <w14:textFill>
            <w14:solidFill>
              <w14:schemeClr w14:val="tx1">
                <w14:lumMod w14:val="95000"/>
                <w14:lumOff w14:val="5000"/>
              </w14:schemeClr>
            </w14:solidFill>
          </w14:textFill>
        </w:rPr>
        <w:t>7</w:t>
      </w:r>
      <w:r>
        <w:rPr>
          <w:rFonts w:ascii="Times New Roman" w:hAnsi="Times New Roman" w:eastAsia="仿宋"/>
          <w:b/>
          <w:bCs/>
          <w:color w:val="0D0D0D" w:themeColor="text1" w:themeTint="F2"/>
          <w:sz w:val="30"/>
          <w:szCs w:val="32"/>
          <w14:textFill>
            <w14:solidFill>
              <w14:schemeClr w14:val="tx1">
                <w14:lumMod w14:val="95000"/>
                <w14:lumOff w14:val="5000"/>
              </w14:schemeClr>
            </w14:solidFill>
          </w14:textFill>
        </w:rPr>
        <w:t>.</w:t>
      </w:r>
      <w:r>
        <w:rPr>
          <w:rFonts w:hint="eastAsia" w:ascii="Times New Roman" w:hAnsi="Times New Roman" w:eastAsia="仿宋"/>
          <w:b/>
          <w:bCs/>
          <w:color w:val="0D0D0D" w:themeColor="text1" w:themeTint="F2"/>
          <w:sz w:val="30"/>
          <w:szCs w:val="32"/>
          <w14:textFill>
            <w14:solidFill>
              <w14:schemeClr w14:val="tx1">
                <w14:lumMod w14:val="95000"/>
                <w14:lumOff w14:val="5000"/>
              </w14:schemeClr>
            </w14:solidFill>
          </w14:textFill>
        </w:rPr>
        <w:t>3</w:t>
      </w:r>
      <w:r>
        <w:rPr>
          <w:rFonts w:ascii="Times New Roman" w:hAnsi="Times New Roman" w:eastAsia="仿宋"/>
          <w:b/>
          <w:bCs/>
          <w:color w:val="0D0D0D" w:themeColor="text1" w:themeTint="F2"/>
          <w:sz w:val="30"/>
          <w:szCs w:val="32"/>
          <w14:textFill>
            <w14:solidFill>
              <w14:schemeClr w14:val="tx1">
                <w14:lumMod w14:val="95000"/>
                <w14:lumOff w14:val="5000"/>
              </w14:schemeClr>
            </w14:solidFill>
          </w14:textFill>
        </w:rPr>
        <w:t xml:space="preserve"> </w:t>
      </w:r>
      <w:bookmarkEnd w:id="84"/>
      <w:r>
        <w:rPr>
          <w:rFonts w:hint="eastAsia" w:ascii="Times New Roman" w:hAnsi="Times New Roman" w:eastAsia="仿宋"/>
          <w:b/>
          <w:bCs/>
          <w:color w:val="0D0D0D" w:themeColor="text1" w:themeTint="F2"/>
          <w:sz w:val="30"/>
          <w:szCs w:val="32"/>
          <w14:textFill>
            <w14:solidFill>
              <w14:schemeClr w14:val="tx1">
                <w14:lumMod w14:val="95000"/>
                <w14:lumOff w14:val="5000"/>
              </w14:schemeClr>
            </w14:solidFill>
          </w14:textFill>
        </w:rPr>
        <w:t>流动源</w:t>
      </w:r>
      <w:bookmarkEnd w:id="85"/>
      <w:bookmarkEnd w:id="86"/>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亦佐水库保护区范围内</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现状</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仅有乡村道路</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穿过</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，在水库北侧一级保护边界道路长约0.53km，主要为进入库区的道路，道路车辆较少且无危险化学品运输</w:t>
      </w:r>
      <w:r>
        <w:rPr>
          <w:rFonts w:hint="eastAsia" w:ascii="Times New Roman" w:hAnsi="Times New Roman" w:eastAsia="仿宋" w:cs="仿宋"/>
          <w:color w:val="0D0D0D" w:themeColor="text1" w:themeTint="F2"/>
          <w:kern w:val="0"/>
          <w:sz w:val="28"/>
          <w:szCs w:val="28"/>
          <w:shd w:val="clear" w:color="auto" w:fill="FFFFFF"/>
          <w14:textFill>
            <w14:solidFill>
              <w14:schemeClr w14:val="tx1">
                <w14:lumMod w14:val="95000"/>
                <w14:lumOff w14:val="5000"/>
              </w14:schemeClr>
            </w14:solidFill>
          </w14:textFill>
        </w:rPr>
        <w:t>。</w:t>
      </w:r>
    </w:p>
    <w:bookmarkEnd w:id="77"/>
    <w:p>
      <w:pPr>
        <w:keepNext/>
        <w:keepLines/>
        <w:spacing w:before="260" w:after="260" w:line="416" w:lineRule="auto"/>
        <w:outlineLvl w:val="2"/>
        <w:rPr>
          <w:rFonts w:ascii="Times New Roman" w:hAnsi="Times New Roman" w:eastAsia="仿宋"/>
          <w:b/>
          <w:bCs/>
          <w:color w:val="0D0D0D" w:themeColor="text1" w:themeTint="F2"/>
          <w:sz w:val="30"/>
          <w:szCs w:val="32"/>
          <w14:textFill>
            <w14:solidFill>
              <w14:schemeClr w14:val="tx1">
                <w14:lumMod w14:val="95000"/>
                <w14:lumOff w14:val="5000"/>
              </w14:schemeClr>
            </w14:solidFill>
          </w14:textFill>
        </w:rPr>
      </w:pPr>
      <w:bookmarkStart w:id="87" w:name="_Toc18506529"/>
      <w:bookmarkStart w:id="88" w:name="_Toc25679064"/>
      <w:bookmarkStart w:id="89" w:name="_Toc27522200"/>
      <w:bookmarkStart w:id="90" w:name="_Toc25162356"/>
      <w:bookmarkStart w:id="91" w:name="_Toc12621594"/>
      <w:r>
        <w:rPr>
          <w:rFonts w:ascii="Times New Roman" w:hAnsi="Times New Roman" w:eastAsia="仿宋"/>
          <w:b/>
          <w:bCs/>
          <w:color w:val="0D0D0D" w:themeColor="text1" w:themeTint="F2"/>
          <w:sz w:val="30"/>
          <w:szCs w:val="32"/>
          <w14:textFill>
            <w14:solidFill>
              <w14:schemeClr w14:val="tx1">
                <w14:lumMod w14:val="95000"/>
                <w14:lumOff w14:val="5000"/>
              </w14:schemeClr>
            </w14:solidFill>
          </w14:textFill>
        </w:rPr>
        <w:t>2.</w:t>
      </w:r>
      <w:r>
        <w:rPr>
          <w:rFonts w:hint="eastAsia" w:ascii="Times New Roman" w:hAnsi="Times New Roman" w:eastAsia="仿宋"/>
          <w:b/>
          <w:bCs/>
          <w:color w:val="0D0D0D" w:themeColor="text1" w:themeTint="F2"/>
          <w:sz w:val="30"/>
          <w:szCs w:val="32"/>
          <w14:textFill>
            <w14:solidFill>
              <w14:schemeClr w14:val="tx1">
                <w14:lumMod w14:val="95000"/>
                <w14:lumOff w14:val="5000"/>
              </w14:schemeClr>
            </w14:solidFill>
          </w14:textFill>
        </w:rPr>
        <w:t>7</w:t>
      </w:r>
      <w:r>
        <w:rPr>
          <w:rFonts w:ascii="Times New Roman" w:hAnsi="Times New Roman" w:eastAsia="仿宋"/>
          <w:b/>
          <w:bCs/>
          <w:color w:val="0D0D0D" w:themeColor="text1" w:themeTint="F2"/>
          <w:sz w:val="30"/>
          <w:szCs w:val="32"/>
          <w14:textFill>
            <w14:solidFill>
              <w14:schemeClr w14:val="tx1">
                <w14:lumMod w14:val="95000"/>
                <w14:lumOff w14:val="5000"/>
              </w14:schemeClr>
            </w14:solidFill>
          </w14:textFill>
        </w:rPr>
        <w:t>.</w:t>
      </w:r>
      <w:r>
        <w:rPr>
          <w:rFonts w:hint="eastAsia" w:ascii="Times New Roman" w:hAnsi="Times New Roman" w:eastAsia="仿宋"/>
          <w:b/>
          <w:bCs/>
          <w:color w:val="0D0D0D" w:themeColor="text1" w:themeTint="F2"/>
          <w:sz w:val="30"/>
          <w:szCs w:val="32"/>
          <w14:textFill>
            <w14:solidFill>
              <w14:schemeClr w14:val="tx1">
                <w14:lumMod w14:val="95000"/>
                <w14:lumOff w14:val="5000"/>
              </w14:schemeClr>
            </w14:solidFill>
          </w14:textFill>
        </w:rPr>
        <w:t>4</w:t>
      </w:r>
      <w:r>
        <w:rPr>
          <w:rFonts w:ascii="Times New Roman" w:hAnsi="Times New Roman" w:eastAsia="仿宋"/>
          <w:b/>
          <w:bCs/>
          <w:color w:val="0D0D0D" w:themeColor="text1" w:themeTint="F2"/>
          <w:sz w:val="30"/>
          <w:szCs w:val="32"/>
          <w14:textFill>
            <w14:solidFill>
              <w14:schemeClr w14:val="tx1">
                <w14:lumMod w14:val="95000"/>
                <w14:lumOff w14:val="5000"/>
              </w14:schemeClr>
            </w14:solidFill>
          </w14:textFill>
        </w:rPr>
        <w:t xml:space="preserve"> </w:t>
      </w:r>
      <w:r>
        <w:rPr>
          <w:rFonts w:hint="eastAsia" w:ascii="Times New Roman" w:hAnsi="Times New Roman" w:eastAsia="仿宋"/>
          <w:b/>
          <w:bCs/>
          <w:color w:val="0D0D0D" w:themeColor="text1" w:themeTint="F2"/>
          <w:sz w:val="30"/>
          <w:szCs w:val="32"/>
          <w14:textFill>
            <w14:solidFill>
              <w14:schemeClr w14:val="tx1">
                <w14:lumMod w14:val="95000"/>
                <w14:lumOff w14:val="5000"/>
              </w14:schemeClr>
            </w14:solidFill>
          </w14:textFill>
        </w:rPr>
        <w:t>污染源汇总</w:t>
      </w:r>
      <w:bookmarkEnd w:id="87"/>
      <w:bookmarkEnd w:id="88"/>
      <w:bookmarkEnd w:id="89"/>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综合以上</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统计分析</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，亦佐水库各级保护区内各类污染源情况见表2.7-6</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widowControl/>
        <w:adjustRightInd w:val="0"/>
        <w:snapToGrid w:val="0"/>
        <w:spacing w:line="360" w:lineRule="auto"/>
        <w:ind w:firstLine="560"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从各污染源分析，在一级保护区内主要为农业种植及水土流失污染，化学需氧量主要污染源是水土流失，贡献率为92.29</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%；氨氮主要污染源是农业种植，贡献率为100%；总氮主要污染源是水土流失、农业种植，贡献率分别达到57.47%、42.53%；总磷主要污染源是农业种植，贡献率为85.37%</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w:t>
      </w:r>
    </w:p>
    <w:p>
      <w:pPr>
        <w:widowControl/>
        <w:adjustRightInd w:val="0"/>
        <w:snapToGrid w:val="0"/>
        <w:spacing w:line="360" w:lineRule="auto"/>
        <w:ind w:firstLine="560"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综上分析，亦佐水库保护区范围内水污染防治重点为农业种植及水土流失</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adjustRightInd w:val="0"/>
        <w:snapToGrid w:val="0"/>
        <w:spacing w:line="240" w:lineRule="atLeast"/>
        <w:jc w:val="cente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表</w:t>
      </w: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2.7-6</w:t>
      </w:r>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 xml:space="preserve">  </w:t>
      </w: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亦佐水库保护区范围内</w:t>
      </w:r>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污染源</w:t>
      </w: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汇总</w:t>
      </w:r>
    </w:p>
    <w:tbl>
      <w:tblPr>
        <w:tblStyle w:val="44"/>
        <w:tblW w:w="9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974"/>
        <w:gridCol w:w="1793"/>
        <w:gridCol w:w="1764"/>
        <w:gridCol w:w="1368"/>
        <w:gridCol w:w="1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blHeader/>
        </w:trPr>
        <w:tc>
          <w:tcPr>
            <w:tcW w:w="1417" w:type="dxa"/>
            <w:shd w:val="clear" w:color="auto" w:fill="D8D8D8" w:themeFill="background1" w:themeFillShade="D9"/>
            <w:noWrap/>
            <w:vAlign w:val="center"/>
          </w:tcPr>
          <w:p>
            <w:pPr>
              <w:widowControl/>
              <w:jc w:val="cente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保护区</w:t>
            </w:r>
          </w:p>
        </w:tc>
        <w:tc>
          <w:tcPr>
            <w:tcW w:w="1974" w:type="dxa"/>
            <w:shd w:val="clear" w:color="auto" w:fill="D8D8D8" w:themeFill="background1" w:themeFillShade="D9"/>
            <w:noWrap/>
            <w:vAlign w:val="center"/>
          </w:tcPr>
          <w:p>
            <w:pPr>
              <w:widowControl/>
              <w:jc w:val="cente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污染源构成</w:t>
            </w:r>
          </w:p>
        </w:tc>
        <w:tc>
          <w:tcPr>
            <w:tcW w:w="1793" w:type="dxa"/>
            <w:shd w:val="clear" w:color="auto" w:fill="D8D8D8" w:themeFill="background1" w:themeFillShade="D9"/>
            <w:noWrap/>
            <w:vAlign w:val="center"/>
          </w:tcPr>
          <w:p>
            <w:pPr>
              <w:widowControl/>
              <w:jc w:val="cente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COD（t/a）</w:t>
            </w:r>
          </w:p>
        </w:tc>
        <w:tc>
          <w:tcPr>
            <w:tcW w:w="1764" w:type="dxa"/>
            <w:shd w:val="clear" w:color="auto" w:fill="D8D8D8" w:themeFill="background1" w:themeFillShade="D9"/>
            <w:noWrap/>
            <w:vAlign w:val="center"/>
          </w:tcPr>
          <w:p>
            <w:pPr>
              <w:widowControl/>
              <w:jc w:val="cente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NH</w:t>
            </w:r>
            <w:r>
              <w:rPr>
                <w:rFonts w:ascii="Times New Roman" w:hAnsi="Times New Roman" w:eastAsia="仿宋" w:cs="Times New Roman"/>
                <w:b/>
                <w:color w:val="0D0D0D" w:themeColor="text1" w:themeTint="F2"/>
                <w:kern w:val="0"/>
                <w:sz w:val="24"/>
                <w:szCs w:val="24"/>
                <w:vertAlign w:val="subscript"/>
                <w14:textFill>
                  <w14:solidFill>
                    <w14:schemeClr w14:val="tx1">
                      <w14:lumMod w14:val="95000"/>
                      <w14:lumOff w14:val="5000"/>
                    </w14:schemeClr>
                  </w14:solidFill>
                </w14:textFill>
              </w:rPr>
              <w:t>3</w:t>
            </w: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-N（t/a）</w:t>
            </w:r>
          </w:p>
        </w:tc>
        <w:tc>
          <w:tcPr>
            <w:tcW w:w="1368" w:type="dxa"/>
            <w:shd w:val="clear" w:color="auto" w:fill="D8D8D8" w:themeFill="background1" w:themeFillShade="D9"/>
            <w:noWrap/>
            <w:vAlign w:val="center"/>
          </w:tcPr>
          <w:p>
            <w:pPr>
              <w:widowControl/>
              <w:jc w:val="cente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TN（t/a）</w:t>
            </w:r>
          </w:p>
        </w:tc>
        <w:tc>
          <w:tcPr>
            <w:tcW w:w="1334" w:type="dxa"/>
            <w:shd w:val="clear" w:color="auto" w:fill="D8D8D8" w:themeFill="background1" w:themeFillShade="D9"/>
            <w:noWrap/>
            <w:vAlign w:val="center"/>
          </w:tcPr>
          <w:p>
            <w:pPr>
              <w:widowControl/>
              <w:jc w:val="cente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TP（t/a）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417" w:type="dxa"/>
            <w:vMerge w:val="restart"/>
            <w:shd w:val="clear" w:color="auto" w:fill="auto"/>
            <w:noWrap/>
            <w:vAlign w:val="center"/>
          </w:tcPr>
          <w:p>
            <w:pPr>
              <w:widowControl/>
              <w:jc w:val="center"/>
              <w:rPr>
                <w:rFonts w:ascii="Times New Roman" w:hAnsi="Times New Roman" w:eastAsia="仿宋" w:cs="Times New Roman"/>
                <w:bCs/>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kern w:val="0"/>
                <w:sz w:val="24"/>
                <w:szCs w:val="24"/>
                <w14:textFill>
                  <w14:solidFill>
                    <w14:schemeClr w14:val="tx1">
                      <w14:lumMod w14:val="95000"/>
                      <w14:lumOff w14:val="5000"/>
                    </w14:schemeClr>
                  </w14:solidFill>
                </w14:textFill>
              </w:rPr>
              <w:t>一级保护区</w:t>
            </w:r>
          </w:p>
        </w:tc>
        <w:tc>
          <w:tcPr>
            <w:tcW w:w="1974" w:type="dxa"/>
            <w:shd w:val="clear" w:color="auto" w:fill="auto"/>
            <w:noWrap/>
            <w:vAlign w:val="center"/>
          </w:tcPr>
          <w:p>
            <w:pPr>
              <w:widowControl/>
              <w:jc w:val="center"/>
              <w:rPr>
                <w:rFonts w:ascii="Times New Roman" w:hAnsi="Times New Roman" w:eastAsia="仿宋" w:cs="Times New Roman"/>
                <w:bCs/>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kern w:val="0"/>
                <w:sz w:val="24"/>
                <w:szCs w:val="24"/>
                <w14:textFill>
                  <w14:solidFill>
                    <w14:schemeClr w14:val="tx1">
                      <w14:lumMod w14:val="95000"/>
                      <w14:lumOff w14:val="5000"/>
                    </w14:schemeClr>
                  </w14:solidFill>
                </w14:textFill>
              </w:rPr>
              <w:t>农业种植</w:t>
            </w:r>
          </w:p>
        </w:tc>
        <w:tc>
          <w:tcPr>
            <w:tcW w:w="1793" w:type="dxa"/>
            <w:shd w:val="clear" w:color="auto" w:fill="auto"/>
            <w:noWrap/>
            <w:vAlign w:val="center"/>
          </w:tcPr>
          <w:p>
            <w:pPr>
              <w:widowControl/>
              <w:jc w:val="cente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0.509</w:t>
            </w:r>
          </w:p>
        </w:tc>
        <w:tc>
          <w:tcPr>
            <w:tcW w:w="1764" w:type="dxa"/>
            <w:shd w:val="clear" w:color="auto" w:fill="auto"/>
            <w:noWrap/>
            <w:vAlign w:val="center"/>
          </w:tcPr>
          <w:p>
            <w:pPr>
              <w:widowControl/>
              <w:jc w:val="cente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0.036</w:t>
            </w:r>
          </w:p>
        </w:tc>
        <w:tc>
          <w:tcPr>
            <w:tcW w:w="1368" w:type="dxa"/>
            <w:shd w:val="clear" w:color="auto" w:fill="auto"/>
            <w:noWrap/>
            <w:vAlign w:val="center"/>
          </w:tcPr>
          <w:p>
            <w:pPr>
              <w:widowControl/>
              <w:jc w:val="cente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0.280</w:t>
            </w:r>
          </w:p>
        </w:tc>
        <w:tc>
          <w:tcPr>
            <w:tcW w:w="1334" w:type="dxa"/>
            <w:shd w:val="clear" w:color="auto" w:fill="auto"/>
            <w:noWrap/>
            <w:vAlign w:val="center"/>
          </w:tcPr>
          <w:p>
            <w:pPr>
              <w:widowControl/>
              <w:jc w:val="cente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0.032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417" w:type="dxa"/>
            <w:vMerge w:val="continue"/>
            <w:shd w:val="clear" w:color="auto" w:fill="auto"/>
            <w:noWrap/>
            <w:vAlign w:val="center"/>
          </w:tcPr>
          <w:p>
            <w:pPr>
              <w:widowControl/>
              <w:jc w:val="center"/>
              <w:rPr>
                <w:rFonts w:ascii="Times New Roman" w:hAnsi="Times New Roman" w:eastAsia="仿宋" w:cs="Times New Roman"/>
                <w:bCs/>
                <w:color w:val="0D0D0D" w:themeColor="text1" w:themeTint="F2"/>
                <w:kern w:val="0"/>
                <w:sz w:val="24"/>
                <w:szCs w:val="24"/>
                <w14:textFill>
                  <w14:solidFill>
                    <w14:schemeClr w14:val="tx1">
                      <w14:lumMod w14:val="95000"/>
                      <w14:lumOff w14:val="5000"/>
                    </w14:schemeClr>
                  </w14:solidFill>
                </w14:textFill>
              </w:rPr>
            </w:pPr>
          </w:p>
        </w:tc>
        <w:tc>
          <w:tcPr>
            <w:tcW w:w="1974" w:type="dxa"/>
            <w:shd w:val="clear" w:color="auto" w:fill="auto"/>
            <w:noWrap/>
            <w:vAlign w:val="center"/>
          </w:tcPr>
          <w:p>
            <w:pPr>
              <w:widowControl/>
              <w:jc w:val="center"/>
              <w:rPr>
                <w:rFonts w:ascii="Times New Roman" w:hAnsi="Times New Roman" w:eastAsia="仿宋" w:cs="Times New Roman"/>
                <w:bCs/>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kern w:val="0"/>
                <w:sz w:val="24"/>
                <w:szCs w:val="24"/>
                <w14:textFill>
                  <w14:solidFill>
                    <w14:schemeClr w14:val="tx1">
                      <w14:lumMod w14:val="95000"/>
                      <w14:lumOff w14:val="5000"/>
                    </w14:schemeClr>
                  </w14:solidFill>
                </w14:textFill>
              </w:rPr>
              <w:t>水土流失</w:t>
            </w:r>
          </w:p>
        </w:tc>
        <w:tc>
          <w:tcPr>
            <w:tcW w:w="1793" w:type="dxa"/>
            <w:noWrap/>
            <w:vAlign w:val="center"/>
          </w:tcPr>
          <w:p>
            <w:pPr>
              <w:widowControl/>
              <w:jc w:val="cente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6.102</w:t>
            </w:r>
          </w:p>
        </w:tc>
        <w:tc>
          <w:tcPr>
            <w:tcW w:w="1764" w:type="dxa"/>
            <w:shd w:val="clear" w:color="auto" w:fill="auto"/>
            <w:noWrap/>
            <w:vAlign w:val="center"/>
          </w:tcPr>
          <w:p>
            <w:pPr>
              <w:widowControl/>
              <w:jc w:val="cente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 w:val="24"/>
                <w:szCs w:val="24"/>
                <w14:textFill>
                  <w14:solidFill>
                    <w14:schemeClr w14:val="tx1">
                      <w14:lumMod w14:val="95000"/>
                      <w14:lumOff w14:val="5000"/>
                    </w14:schemeClr>
                  </w14:solidFill>
                </w14:textFill>
              </w:rPr>
              <w:t>——</w:t>
            </w:r>
          </w:p>
        </w:tc>
        <w:tc>
          <w:tcPr>
            <w:tcW w:w="1368" w:type="dxa"/>
            <w:shd w:val="clear" w:color="auto" w:fill="auto"/>
            <w:noWrap/>
            <w:vAlign w:val="center"/>
          </w:tcPr>
          <w:p>
            <w:pPr>
              <w:widowControl/>
              <w:jc w:val="cente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0.378</w:t>
            </w:r>
          </w:p>
        </w:tc>
        <w:tc>
          <w:tcPr>
            <w:tcW w:w="1334" w:type="dxa"/>
            <w:shd w:val="clear" w:color="auto" w:fill="auto"/>
            <w:noWrap/>
            <w:vAlign w:val="center"/>
          </w:tcPr>
          <w:p>
            <w:pPr>
              <w:widowControl/>
              <w:jc w:val="cente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417" w:type="dxa"/>
            <w:vMerge w:val="continue"/>
            <w:shd w:val="clear" w:color="auto" w:fill="auto"/>
            <w:noWrap/>
            <w:vAlign w:val="center"/>
          </w:tcPr>
          <w:p>
            <w:pPr>
              <w:widowControl/>
              <w:jc w:val="center"/>
              <w:rPr>
                <w:rFonts w:ascii="Times New Roman" w:hAnsi="Times New Roman" w:eastAsia="仿宋" w:cs="Times New Roman"/>
                <w:bCs/>
                <w:color w:val="0D0D0D" w:themeColor="text1" w:themeTint="F2"/>
                <w:kern w:val="0"/>
                <w:sz w:val="24"/>
                <w:szCs w:val="24"/>
                <w14:textFill>
                  <w14:solidFill>
                    <w14:schemeClr w14:val="tx1">
                      <w14:lumMod w14:val="95000"/>
                      <w14:lumOff w14:val="5000"/>
                    </w14:schemeClr>
                  </w14:solidFill>
                </w14:textFill>
              </w:rPr>
            </w:pPr>
          </w:p>
        </w:tc>
        <w:tc>
          <w:tcPr>
            <w:tcW w:w="1974" w:type="dxa"/>
            <w:shd w:val="clear" w:color="auto" w:fill="auto"/>
            <w:noWrap/>
            <w:vAlign w:val="center"/>
          </w:tcPr>
          <w:p>
            <w:pPr>
              <w:widowControl/>
              <w:jc w:val="center"/>
              <w:rPr>
                <w:rFonts w:ascii="Times New Roman" w:hAnsi="Times New Roman" w:eastAsia="仿宋" w:cs="Times New Roman"/>
                <w:bCs/>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bCs/>
                <w:color w:val="0D0D0D" w:themeColor="text1" w:themeTint="F2"/>
                <w:kern w:val="0"/>
                <w:sz w:val="24"/>
                <w:szCs w:val="24"/>
                <w14:textFill>
                  <w14:solidFill>
                    <w14:schemeClr w14:val="tx1">
                      <w14:lumMod w14:val="95000"/>
                      <w14:lumOff w14:val="5000"/>
                    </w14:schemeClr>
                  </w14:solidFill>
                </w14:textFill>
              </w:rPr>
              <w:t>合计</w:t>
            </w:r>
          </w:p>
        </w:tc>
        <w:tc>
          <w:tcPr>
            <w:tcW w:w="1793" w:type="dxa"/>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6.612</w:t>
            </w:r>
          </w:p>
        </w:tc>
        <w:tc>
          <w:tcPr>
            <w:tcW w:w="1764" w:type="dxa"/>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0.036</w:t>
            </w:r>
          </w:p>
        </w:tc>
        <w:tc>
          <w:tcPr>
            <w:tcW w:w="1368" w:type="dxa"/>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0.658</w:t>
            </w:r>
          </w:p>
        </w:tc>
        <w:tc>
          <w:tcPr>
            <w:tcW w:w="1334" w:type="dxa"/>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eastAsia="仿宋" w:cs="Times New Roman"/>
                <w:bCs/>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0.038</w:t>
            </w:r>
          </w:p>
        </w:tc>
      </w:tr>
    </w:tbl>
    <w:p>
      <w:pPr>
        <w:adjustRightInd w:val="0"/>
        <w:snapToGrid w:val="0"/>
        <w:spacing w:line="360" w:lineRule="auto"/>
        <w:jc w:val="center"/>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drawing>
          <wp:inline distT="0" distB="0" distL="0" distR="0">
            <wp:extent cx="4533900" cy="28098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533900" cy="2809875"/>
                    </a:xfrm>
                    <a:prstGeom prst="rect">
                      <a:avLst/>
                    </a:prstGeom>
                    <a:noFill/>
                    <a:ln>
                      <a:noFill/>
                    </a:ln>
                  </pic:spPr>
                </pic:pic>
              </a:graphicData>
            </a:graphic>
          </wp:inline>
        </w:drawing>
      </w:r>
    </w:p>
    <w:p>
      <w:pPr>
        <w:adjustRightInd w:val="0"/>
        <w:snapToGrid w:val="0"/>
        <w:spacing w:line="240" w:lineRule="atLeast"/>
        <w:jc w:val="cente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图2.7-1</w:t>
      </w:r>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 xml:space="preserve">  </w:t>
      </w: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亦佐水库一级保护区内各</w:t>
      </w:r>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污染源</w:t>
      </w: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贡献率</w:t>
      </w:r>
    </w:p>
    <w:p>
      <w:pPr>
        <w:pStyle w:val="2"/>
        <w:jc w:val="center"/>
        <w:rPr>
          <w:color w:val="0D0D0D" w:themeColor="text1" w:themeTint="F2"/>
          <w14:textFill>
            <w14:solidFill>
              <w14:schemeClr w14:val="tx1">
                <w14:lumMod w14:val="95000"/>
                <w14:lumOff w14:val="5000"/>
              </w14:schemeClr>
            </w14:solidFill>
          </w14:textFill>
        </w:rPr>
        <w:sectPr>
          <w:pgSz w:w="11906" w:h="16838"/>
          <w:pgMar w:top="1440" w:right="1236" w:bottom="1440" w:left="1236" w:header="851" w:footer="992" w:gutter="0"/>
          <w:pgNumType w:fmt="numberInDash"/>
          <w:cols w:space="0" w:num="1"/>
          <w:docGrid w:type="lines" w:linePitch="312" w:charSpace="0"/>
        </w:sectPr>
      </w:pPr>
    </w:p>
    <w:p>
      <w:pPr>
        <w:pStyle w:val="3"/>
        <w:rPr>
          <w:color w:val="0D0D0D" w:themeColor="text1" w:themeTint="F2"/>
          <w14:textFill>
            <w14:solidFill>
              <w14:schemeClr w14:val="tx1">
                <w14:lumMod w14:val="95000"/>
                <w14:lumOff w14:val="5000"/>
              </w14:schemeClr>
            </w14:solidFill>
          </w14:textFill>
        </w:rPr>
      </w:pPr>
      <w:bookmarkStart w:id="92" w:name="_Toc25679065"/>
      <w:bookmarkStart w:id="93" w:name="_Toc27522201"/>
      <w:r>
        <w:rPr>
          <w:rFonts w:hint="eastAsia"/>
          <w:color w:val="0D0D0D" w:themeColor="text1" w:themeTint="F2"/>
          <w14:textFill>
            <w14:solidFill>
              <w14:schemeClr w14:val="tx1">
                <w14:lumMod w14:val="95000"/>
                <w14:lumOff w14:val="5000"/>
              </w14:schemeClr>
            </w14:solidFill>
          </w14:textFill>
        </w:rPr>
        <w:t>2.8 饮用水水源地水环境风险分析</w:t>
      </w:r>
      <w:bookmarkEnd w:id="90"/>
      <w:bookmarkEnd w:id="92"/>
      <w:bookmarkEnd w:id="93"/>
    </w:p>
    <w:p>
      <w:pPr>
        <w:widowControl/>
        <w:adjustRightInd w:val="0"/>
        <w:snapToGrid w:val="0"/>
        <w:spacing w:line="360" w:lineRule="auto"/>
        <w:ind w:firstLine="560"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按照《集中式饮用水水源环境保护指南（试行）》要求，采用风险值定性评价方法评价亦佐水库饮用水水源地的环境风险。根据风险源所在保护区的影响程度和影响范围，按照固定源、流动源和非点源分别对水源存在的风险进行源项分析及评价。计算方法如下：</w:t>
      </w:r>
    </w:p>
    <w:p>
      <w:pPr>
        <w:widowControl/>
        <w:adjustRightInd w:val="0"/>
        <w:snapToGrid w:val="0"/>
        <w:spacing w:line="360" w:lineRule="auto"/>
        <w:ind w:firstLine="560"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固定源：Rp=P1+P2+P3；流动源：Rf=F1+F2+F3；非点源：Ry=Y1+Y2+Y3；</w:t>
      </w:r>
    </w:p>
    <w:p>
      <w:pPr>
        <w:widowControl/>
        <w:adjustRightInd w:val="0"/>
        <w:snapToGrid w:val="0"/>
        <w:spacing w:line="360" w:lineRule="auto"/>
        <w:ind w:firstLine="560"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式中：P、F、Y分别为固定源、流动源、非点源的评分值。</w:t>
      </w:r>
    </w:p>
    <w:p>
      <w:pPr>
        <w:widowControl/>
        <w:adjustRightInd w:val="0"/>
        <w:snapToGrid w:val="0"/>
        <w:spacing w:line="360" w:lineRule="auto"/>
        <w:ind w:firstLine="560"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一般来说，当Rp（或Rf、Ry）≤3时，作为可接受程度的背景值；当3＜Rp（或Rf、Ry）≤7时，应采取风险防范措施；当7＜Rp（或Rf、Ry）≤9时，应采取风险预警措施；当Rp（或Rf、Ry）＞9时，应采取风险应急措施。</w:t>
      </w:r>
    </w:p>
    <w:p>
      <w:pPr>
        <w:widowControl/>
        <w:adjustRightInd w:val="0"/>
        <w:snapToGrid w:val="0"/>
        <w:spacing w:line="360" w:lineRule="auto"/>
        <w:ind w:firstLine="560"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评价方法根据风险源指标及评分值，按照评分值叠加法对饮用水水源保护区内风险源进行定性评价，评价结果见表2.8-1。</w:t>
      </w:r>
    </w:p>
    <w:p>
      <w:pPr>
        <w:adjustRightInd w:val="0"/>
        <w:snapToGrid w:val="0"/>
        <w:spacing w:line="240" w:lineRule="atLeast"/>
        <w:jc w:val="cente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表</w:t>
      </w: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2.8-1</w:t>
      </w:r>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 xml:space="preserve"> </w:t>
      </w: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 xml:space="preserve"> 亦佐水库饮用水水源地环境风险评价结果</w:t>
      </w:r>
    </w:p>
    <w:tbl>
      <w:tblPr>
        <w:tblStyle w:val="45"/>
        <w:tblW w:w="965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72"/>
        <w:gridCol w:w="3146"/>
        <w:gridCol w:w="1696"/>
        <w:gridCol w:w="1698"/>
        <w:gridCol w:w="143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blHeader/>
        </w:trPr>
        <w:tc>
          <w:tcPr>
            <w:tcW w:w="1672" w:type="dxa"/>
            <w:vMerge w:val="restart"/>
            <w:shd w:val="clear" w:color="auto" w:fill="D8D8D8" w:themeFill="background1" w:themeFillShade="D9"/>
            <w:vAlign w:val="center"/>
          </w:tcPr>
          <w:p>
            <w:pPr>
              <w:widowControl/>
              <w:adjustRightInd w:val="0"/>
              <w:snapToGrid w:val="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b/>
                <w:color w:val="0D0D0D" w:themeColor="text1" w:themeTint="F2"/>
                <w:sz w:val="24"/>
                <w:szCs w:val="24"/>
                <w14:textFill>
                  <w14:solidFill>
                    <w14:schemeClr w14:val="tx1">
                      <w14:lumMod w14:val="95000"/>
                      <w14:lumOff w14:val="5000"/>
                    </w14:schemeClr>
                  </w14:solidFill>
                </w14:textFill>
              </w:rPr>
              <w:t>源</w:t>
            </w:r>
            <w: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t>项</w:t>
            </w:r>
          </w:p>
          <w:p>
            <w:pPr>
              <w:widowControl/>
              <w:adjustRightInd w:val="0"/>
              <w:snapToGrid w:val="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t>类型</w:t>
            </w:r>
          </w:p>
        </w:tc>
        <w:tc>
          <w:tcPr>
            <w:tcW w:w="3146" w:type="dxa"/>
            <w:vMerge w:val="restart"/>
            <w:shd w:val="clear" w:color="auto" w:fill="D8D8D8" w:themeFill="background1" w:themeFillShade="D9"/>
            <w:vAlign w:val="center"/>
          </w:tcPr>
          <w:p>
            <w:pPr>
              <w:widowControl/>
              <w:adjustRightInd w:val="0"/>
              <w:snapToGrid w:val="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b/>
                <w:color w:val="0D0D0D" w:themeColor="text1" w:themeTint="F2"/>
                <w:sz w:val="24"/>
                <w:szCs w:val="24"/>
                <w14:textFill>
                  <w14:solidFill>
                    <w14:schemeClr w14:val="tx1">
                      <w14:lumMod w14:val="95000"/>
                      <w14:lumOff w14:val="5000"/>
                    </w14:schemeClr>
                  </w14:solidFill>
                </w14:textFill>
              </w:rPr>
              <w:t>风险源</w:t>
            </w:r>
          </w:p>
        </w:tc>
        <w:tc>
          <w:tcPr>
            <w:tcW w:w="3394" w:type="dxa"/>
            <w:gridSpan w:val="2"/>
            <w:shd w:val="clear" w:color="auto" w:fill="D8D8D8" w:themeFill="background1" w:themeFillShade="D9"/>
            <w:vAlign w:val="center"/>
          </w:tcPr>
          <w:p>
            <w:pPr>
              <w:widowControl/>
              <w:adjustRightInd w:val="0"/>
              <w:snapToGrid w:val="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b/>
                <w:color w:val="0D0D0D" w:themeColor="text1" w:themeTint="F2"/>
                <w:sz w:val="24"/>
                <w:szCs w:val="24"/>
                <w14:textFill>
                  <w14:solidFill>
                    <w14:schemeClr w14:val="tx1">
                      <w14:lumMod w14:val="95000"/>
                      <w14:lumOff w14:val="5000"/>
                    </w14:schemeClr>
                  </w14:solidFill>
                </w14:textFill>
              </w:rPr>
              <w:t>一级保护区</w:t>
            </w:r>
          </w:p>
        </w:tc>
        <w:tc>
          <w:tcPr>
            <w:tcW w:w="1438" w:type="dxa"/>
            <w:vMerge w:val="restart"/>
            <w:shd w:val="clear" w:color="auto" w:fill="D8D8D8" w:themeFill="background1" w:themeFillShade="D9"/>
            <w:vAlign w:val="center"/>
          </w:tcPr>
          <w:p>
            <w:pPr>
              <w:widowControl/>
              <w:adjustRightInd w:val="0"/>
              <w:snapToGrid w:val="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b/>
                <w:color w:val="0D0D0D" w:themeColor="text1" w:themeTint="F2"/>
                <w:sz w:val="24"/>
                <w:szCs w:val="24"/>
                <w14:textFill>
                  <w14:solidFill>
                    <w14:schemeClr w14:val="tx1">
                      <w14:lumMod w14:val="95000"/>
                      <w14:lumOff w14:val="5000"/>
                    </w14:schemeClr>
                  </w14:solidFill>
                </w14:textFill>
              </w:rPr>
              <w:t>总分值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blHeader/>
        </w:trPr>
        <w:tc>
          <w:tcPr>
            <w:tcW w:w="1672" w:type="dxa"/>
            <w:vMerge w:val="continue"/>
            <w:shd w:val="clear" w:color="auto" w:fill="D8D8D8" w:themeFill="background1" w:themeFillShade="D9"/>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c>
          <w:tcPr>
            <w:tcW w:w="3146" w:type="dxa"/>
            <w:vMerge w:val="continue"/>
            <w:shd w:val="clear" w:color="auto" w:fill="D8D8D8" w:themeFill="background1" w:themeFillShade="D9"/>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c>
          <w:tcPr>
            <w:tcW w:w="1696" w:type="dxa"/>
            <w:tcBorders>
              <w:right w:val="single" w:color="auto" w:sz="4" w:space="0"/>
            </w:tcBorders>
            <w:shd w:val="clear" w:color="auto" w:fill="D8D8D8" w:themeFill="background1" w:themeFillShade="D9"/>
            <w:vAlign w:val="center"/>
          </w:tcPr>
          <w:p>
            <w:pPr>
              <w:widowControl/>
              <w:adjustRightInd w:val="0"/>
              <w:snapToGrid w:val="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b/>
                <w:color w:val="0D0D0D" w:themeColor="text1" w:themeTint="F2"/>
                <w:sz w:val="24"/>
                <w:szCs w:val="24"/>
                <w14:textFill>
                  <w14:solidFill>
                    <w14:schemeClr w14:val="tx1">
                      <w14:lumMod w14:val="95000"/>
                      <w14:lumOff w14:val="5000"/>
                    </w14:schemeClr>
                  </w14:solidFill>
                </w14:textFill>
              </w:rPr>
              <w:t>指标值</w:t>
            </w:r>
          </w:p>
        </w:tc>
        <w:tc>
          <w:tcPr>
            <w:tcW w:w="1698" w:type="dxa"/>
            <w:tcBorders>
              <w:left w:val="single" w:color="auto" w:sz="4" w:space="0"/>
            </w:tcBorders>
            <w:shd w:val="clear" w:color="auto" w:fill="D8D8D8" w:themeFill="background1" w:themeFillShade="D9"/>
            <w:vAlign w:val="center"/>
          </w:tcPr>
          <w:p>
            <w:pPr>
              <w:widowControl/>
              <w:adjustRightInd w:val="0"/>
              <w:snapToGrid w:val="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b/>
                <w:color w:val="0D0D0D" w:themeColor="text1" w:themeTint="F2"/>
                <w:sz w:val="24"/>
                <w:szCs w:val="24"/>
                <w14:textFill>
                  <w14:solidFill>
                    <w14:schemeClr w14:val="tx1">
                      <w14:lumMod w14:val="95000"/>
                      <w14:lumOff w14:val="5000"/>
                    </w14:schemeClr>
                  </w14:solidFill>
                </w14:textFill>
              </w:rPr>
              <w:t>得分值</w:t>
            </w:r>
          </w:p>
        </w:tc>
        <w:tc>
          <w:tcPr>
            <w:tcW w:w="1438" w:type="dxa"/>
            <w:vMerge w:val="continue"/>
            <w:shd w:val="clear" w:color="auto" w:fill="D8D8D8" w:themeFill="background1" w:themeFillShade="D9"/>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rPr>
        <w:tc>
          <w:tcPr>
            <w:tcW w:w="1672" w:type="dxa"/>
            <w:vMerge w:val="restart"/>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固定源（</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Rp</w:t>
            </w: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w:t>
            </w:r>
          </w:p>
        </w:tc>
        <w:tc>
          <w:tcPr>
            <w:tcW w:w="3146"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石油</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化工行业（</w:t>
            </w: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个</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w:t>
            </w:r>
          </w:p>
        </w:tc>
        <w:tc>
          <w:tcPr>
            <w:tcW w:w="1696"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无</w:t>
            </w:r>
          </w:p>
        </w:tc>
        <w:tc>
          <w:tcPr>
            <w:tcW w:w="1698"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w:t>
            </w:r>
          </w:p>
        </w:tc>
        <w:tc>
          <w:tcPr>
            <w:tcW w:w="1438"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rPr>
        <w:tc>
          <w:tcPr>
            <w:tcW w:w="1672" w:type="dxa"/>
            <w:vMerge w:val="continue"/>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c>
          <w:tcPr>
            <w:tcW w:w="3146"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垃圾</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填埋场（</w:t>
            </w: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处</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w:t>
            </w:r>
          </w:p>
        </w:tc>
        <w:tc>
          <w:tcPr>
            <w:tcW w:w="1696"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无</w:t>
            </w:r>
          </w:p>
        </w:tc>
        <w:tc>
          <w:tcPr>
            <w:tcW w:w="1698"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w:t>
            </w:r>
          </w:p>
        </w:tc>
        <w:tc>
          <w:tcPr>
            <w:tcW w:w="1438"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rPr>
        <w:tc>
          <w:tcPr>
            <w:tcW w:w="1672" w:type="dxa"/>
            <w:vMerge w:val="continue"/>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c>
          <w:tcPr>
            <w:tcW w:w="3146"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危险</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废弃物填埋场（</w:t>
            </w: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处</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w:t>
            </w:r>
          </w:p>
        </w:tc>
        <w:tc>
          <w:tcPr>
            <w:tcW w:w="1696"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无</w:t>
            </w:r>
          </w:p>
        </w:tc>
        <w:tc>
          <w:tcPr>
            <w:tcW w:w="1698"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w:t>
            </w:r>
          </w:p>
        </w:tc>
        <w:tc>
          <w:tcPr>
            <w:tcW w:w="1438"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rPr>
        <w:tc>
          <w:tcPr>
            <w:tcW w:w="1672" w:type="dxa"/>
            <w:vMerge w:val="continue"/>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c>
          <w:tcPr>
            <w:tcW w:w="3146"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尾矿库</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w:t>
            </w: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座</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w:t>
            </w:r>
          </w:p>
        </w:tc>
        <w:tc>
          <w:tcPr>
            <w:tcW w:w="1696"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无</w:t>
            </w:r>
          </w:p>
        </w:tc>
        <w:tc>
          <w:tcPr>
            <w:tcW w:w="1698"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w:t>
            </w:r>
          </w:p>
        </w:tc>
        <w:tc>
          <w:tcPr>
            <w:tcW w:w="1438"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rPr>
        <w:tc>
          <w:tcPr>
            <w:tcW w:w="1672" w:type="dxa"/>
            <w:vMerge w:val="continue"/>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c>
          <w:tcPr>
            <w:tcW w:w="3146"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加油站</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w:t>
            </w: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座</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w:t>
            </w:r>
          </w:p>
        </w:tc>
        <w:tc>
          <w:tcPr>
            <w:tcW w:w="1696"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无</w:t>
            </w:r>
          </w:p>
        </w:tc>
        <w:tc>
          <w:tcPr>
            <w:tcW w:w="1698"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w:t>
            </w:r>
          </w:p>
        </w:tc>
        <w:tc>
          <w:tcPr>
            <w:tcW w:w="1438"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rPr>
        <w:tc>
          <w:tcPr>
            <w:tcW w:w="1672" w:type="dxa"/>
            <w:vMerge w:val="continue"/>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c>
          <w:tcPr>
            <w:tcW w:w="3146"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油品</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储罐（</w:t>
            </w: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座</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w:t>
            </w:r>
          </w:p>
        </w:tc>
        <w:tc>
          <w:tcPr>
            <w:tcW w:w="1696"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无</w:t>
            </w:r>
          </w:p>
        </w:tc>
        <w:tc>
          <w:tcPr>
            <w:tcW w:w="1698"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w:t>
            </w:r>
          </w:p>
        </w:tc>
        <w:tc>
          <w:tcPr>
            <w:tcW w:w="1438"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rPr>
        <w:tc>
          <w:tcPr>
            <w:tcW w:w="1672" w:type="dxa"/>
            <w:vMerge w:val="continue"/>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c>
          <w:tcPr>
            <w:tcW w:w="3146"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码头</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吞吐量（</w:t>
            </w: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万吨/年</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w:t>
            </w:r>
          </w:p>
        </w:tc>
        <w:tc>
          <w:tcPr>
            <w:tcW w:w="1696"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无</w:t>
            </w:r>
          </w:p>
        </w:tc>
        <w:tc>
          <w:tcPr>
            <w:tcW w:w="1698"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w:t>
            </w:r>
          </w:p>
        </w:tc>
        <w:tc>
          <w:tcPr>
            <w:tcW w:w="1438"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rPr>
        <w:tc>
          <w:tcPr>
            <w:tcW w:w="1672" w:type="dxa"/>
            <w:vMerge w:val="continue"/>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c>
          <w:tcPr>
            <w:tcW w:w="3146"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污/废水</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处理设施（</w:t>
            </w: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万吨/日</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w:t>
            </w:r>
          </w:p>
        </w:tc>
        <w:tc>
          <w:tcPr>
            <w:tcW w:w="1696"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无</w:t>
            </w:r>
          </w:p>
        </w:tc>
        <w:tc>
          <w:tcPr>
            <w:tcW w:w="1698"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w:t>
            </w:r>
          </w:p>
        </w:tc>
        <w:tc>
          <w:tcPr>
            <w:tcW w:w="1438"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rPr>
        <w:tc>
          <w:tcPr>
            <w:tcW w:w="1672" w:type="dxa"/>
            <w:vMerge w:val="restart"/>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流动源</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w:t>
            </w: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Rf</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w:t>
            </w:r>
          </w:p>
        </w:tc>
        <w:tc>
          <w:tcPr>
            <w:tcW w:w="3146"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陆运</w:t>
            </w:r>
          </w:p>
        </w:tc>
        <w:tc>
          <w:tcPr>
            <w:tcW w:w="1696"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L&lt;2rd</w:t>
            </w:r>
          </w:p>
        </w:tc>
        <w:tc>
          <w:tcPr>
            <w:tcW w:w="1698" w:type="dxa"/>
            <w:tcBorders>
              <w:bottom w:val="single" w:color="auto" w:sz="4" w:space="0"/>
            </w:tcBorders>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9</w:t>
            </w:r>
          </w:p>
        </w:tc>
        <w:tc>
          <w:tcPr>
            <w:tcW w:w="1438" w:type="dxa"/>
            <w:vMerge w:val="restart"/>
            <w:vAlign w:val="center"/>
          </w:tcPr>
          <w:p>
            <w:pPr>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rPr>
        <w:tc>
          <w:tcPr>
            <w:tcW w:w="1672" w:type="dxa"/>
            <w:vMerge w:val="continue"/>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c>
          <w:tcPr>
            <w:tcW w:w="3146"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船舶</w:t>
            </w:r>
          </w:p>
        </w:tc>
        <w:tc>
          <w:tcPr>
            <w:tcW w:w="1696"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无</w:t>
            </w:r>
          </w:p>
        </w:tc>
        <w:tc>
          <w:tcPr>
            <w:tcW w:w="1698" w:type="dxa"/>
            <w:tcBorders>
              <w:top w:val="single" w:color="auto" w:sz="4" w:space="0"/>
            </w:tcBorders>
            <w:vAlign w:val="center"/>
          </w:tcPr>
          <w:p>
            <w:pPr>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w:t>
            </w:r>
          </w:p>
        </w:tc>
        <w:tc>
          <w:tcPr>
            <w:tcW w:w="1438" w:type="dxa"/>
            <w:vMerge w:val="continue"/>
            <w:vAlign w:val="center"/>
          </w:tcPr>
          <w:p>
            <w:pPr>
              <w:widowControl/>
              <w:adjustRightInd w:val="0"/>
              <w:snapToGrid w:val="0"/>
              <w:jc w:val="center"/>
              <w:rPr>
                <w:rFonts w:ascii="Times New Roman" w:hAnsi="Times New Roman" w:eastAsia="仿宋"/>
                <w:color w:val="0D0D0D" w:themeColor="text1" w:themeTint="F2"/>
                <w:sz w:val="24"/>
                <w:szCs w:val="24"/>
                <w:highlight w:val="yellow"/>
                <w14:textFill>
                  <w14:solidFill>
                    <w14:schemeClr w14:val="tx1">
                      <w14:lumMod w14:val="95000"/>
                      <w14:lumOff w14:val="5000"/>
                    </w14:schemeClr>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rPr>
        <w:tc>
          <w:tcPr>
            <w:tcW w:w="1672" w:type="dxa"/>
            <w:vMerge w:val="restart"/>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非点源</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（Ry）</w:t>
            </w:r>
          </w:p>
        </w:tc>
        <w:tc>
          <w:tcPr>
            <w:tcW w:w="3146"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耕地面积</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所占比例</w:t>
            </w:r>
          </w:p>
        </w:tc>
        <w:tc>
          <w:tcPr>
            <w:tcW w:w="1696"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存在（31.11%）</w:t>
            </w:r>
          </w:p>
        </w:tc>
        <w:tc>
          <w:tcPr>
            <w:tcW w:w="1698"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10</w:t>
            </w:r>
          </w:p>
        </w:tc>
        <w:tc>
          <w:tcPr>
            <w:tcW w:w="1438"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rPr>
        <w:tc>
          <w:tcPr>
            <w:tcW w:w="1672" w:type="dxa"/>
            <w:vMerge w:val="continue"/>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c>
          <w:tcPr>
            <w:tcW w:w="3146"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生态</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缓冲</w:t>
            </w: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带</w:t>
            </w:r>
          </w:p>
        </w:tc>
        <w:tc>
          <w:tcPr>
            <w:tcW w:w="1696"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无</w:t>
            </w:r>
          </w:p>
        </w:tc>
        <w:tc>
          <w:tcPr>
            <w:tcW w:w="1698"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w:t>
            </w:r>
          </w:p>
        </w:tc>
        <w:tc>
          <w:tcPr>
            <w:tcW w:w="1438"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w:t>
            </w:r>
          </w:p>
        </w:tc>
      </w:tr>
    </w:tbl>
    <w:p>
      <w:pPr>
        <w:widowControl/>
        <w:adjustRightInd w:val="0"/>
        <w:snapToGrid w:val="0"/>
        <w:spacing w:line="360" w:lineRule="auto"/>
        <w:ind w:firstLine="562" w:firstLineChars="200"/>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（1）固定源</w:t>
      </w:r>
    </w:p>
    <w:p>
      <w:pPr>
        <w:widowControl/>
        <w:adjustRightInd w:val="0"/>
        <w:snapToGrid w:val="0"/>
        <w:spacing w:line="360" w:lineRule="auto"/>
        <w:ind w:firstLine="560" w:firstLineChars="200"/>
        <w:rPr>
          <w:rFonts w:ascii="Times New Roman" w:hAnsi="Times New Roman" w:eastAsia="仿宋" w:cs="仿宋"/>
          <w:color w:val="0D0D0D" w:themeColor="text1" w:themeTint="F2"/>
          <w:kern w:val="0"/>
          <w:sz w:val="28"/>
          <w:szCs w:val="28"/>
          <w:shd w:val="clear" w:color="auto" w:fill="FFFFFF"/>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根据现场调查，亦佐水库保护区范围内</w:t>
      </w:r>
      <w:r>
        <w:rPr>
          <w:rFonts w:hint="eastAsia" w:ascii="Times New Roman" w:hAnsi="Times New Roman" w:eastAsia="仿宋" w:cs="仿宋"/>
          <w:color w:val="0D0D0D" w:themeColor="text1" w:themeTint="F2"/>
          <w:kern w:val="0"/>
          <w:sz w:val="28"/>
          <w:szCs w:val="28"/>
          <w:shd w:val="clear" w:color="auto" w:fill="FFFFFF"/>
          <w14:textFill>
            <w14:solidFill>
              <w14:schemeClr w14:val="tx1">
                <w14:lumMod w14:val="95000"/>
                <w14:lumOff w14:val="5000"/>
              </w14:schemeClr>
            </w14:solidFill>
          </w14:textFill>
        </w:rPr>
        <w:t>无固定风险源。</w:t>
      </w:r>
    </w:p>
    <w:p>
      <w:pPr>
        <w:widowControl/>
        <w:adjustRightInd w:val="0"/>
        <w:snapToGrid w:val="0"/>
        <w:spacing w:line="360" w:lineRule="auto"/>
        <w:ind w:firstLine="560"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亦佐水库饮用水水源地固定源环境风险低，水库保护区范围内</w:t>
      </w:r>
      <w:r>
        <w:rPr>
          <w:rFonts w:hint="eastAsia" w:ascii="Times New Roman" w:hAnsi="Times New Roman" w:eastAsia="仿宋" w:cs="仿宋"/>
          <w:color w:val="0D0D0D" w:themeColor="text1" w:themeTint="F2"/>
          <w:kern w:val="0"/>
          <w:sz w:val="28"/>
          <w:szCs w:val="28"/>
          <w:shd w:val="clear" w:color="auto" w:fill="FFFFFF"/>
          <w14:textFill>
            <w14:solidFill>
              <w14:schemeClr w14:val="tx1">
                <w14:lumMod w14:val="95000"/>
                <w14:lumOff w14:val="5000"/>
              </w14:schemeClr>
            </w14:solidFill>
          </w14:textFill>
        </w:rPr>
        <w:t>无固定污染源，固定源总分值为0，评分值</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Rp＜3，为可接受程度的背景值。</w:t>
      </w:r>
    </w:p>
    <w:p>
      <w:pPr>
        <w:widowControl/>
        <w:adjustRightInd w:val="0"/>
        <w:snapToGrid w:val="0"/>
        <w:spacing w:line="360" w:lineRule="auto"/>
        <w:ind w:firstLine="562" w:firstLineChars="200"/>
        <w:rPr>
          <w:rFonts w:ascii="Times New Roman" w:hAnsi="Times New Roman" w:eastAsia="仿宋" w:cs="仿宋"/>
          <w:b/>
          <w:color w:val="0D0D0D" w:themeColor="text1" w:themeTint="F2"/>
          <w:kern w:val="0"/>
          <w:sz w:val="28"/>
          <w:szCs w:val="28"/>
          <w:shd w:val="clear" w:color="auto" w:fill="FFFFFF"/>
          <w14:textFill>
            <w14:solidFill>
              <w14:schemeClr w14:val="tx1">
                <w14:lumMod w14:val="95000"/>
                <w14:lumOff w14:val="5000"/>
              </w14:schemeClr>
            </w14:solidFill>
          </w14:textFill>
        </w:rPr>
      </w:pPr>
      <w:r>
        <w:rPr>
          <w:rFonts w:hint="eastAsia" w:ascii="Times New Roman" w:hAnsi="Times New Roman" w:eastAsia="仿宋" w:cs="仿宋"/>
          <w:b/>
          <w:color w:val="0D0D0D" w:themeColor="text1" w:themeTint="F2"/>
          <w:kern w:val="0"/>
          <w:sz w:val="28"/>
          <w:szCs w:val="28"/>
          <w:shd w:val="clear" w:color="auto" w:fill="FFFFFF"/>
          <w14:textFill>
            <w14:solidFill>
              <w14:schemeClr w14:val="tx1">
                <w14:lumMod w14:val="95000"/>
                <w14:lumOff w14:val="5000"/>
              </w14:schemeClr>
            </w14:solidFill>
          </w14:textFill>
        </w:rPr>
        <w:t>（2）流动源</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亦佐水库保护区范围内</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现状</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仅有乡村道路</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穿过</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，在水库北侧一级保护边界道路长约0.53km，道路两侧主要为林地。</w:t>
      </w:r>
    </w:p>
    <w:p>
      <w:pPr>
        <w:adjustRightInd w:val="0"/>
        <w:snapToGrid w:val="0"/>
        <w:spacing w:line="360" w:lineRule="auto"/>
        <w:ind w:firstLine="561"/>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亦佐水库保护区范围内流动源总分值为9，</w:t>
      </w:r>
      <w:r>
        <w:rPr>
          <w:rFonts w:hint="eastAsia" w:ascii="Times New Roman" w:hAnsi="Times New Roman" w:eastAsia="仿宋" w:cs="仿宋"/>
          <w:color w:val="0D0D0D" w:themeColor="text1" w:themeTint="F2"/>
          <w:kern w:val="0"/>
          <w:sz w:val="28"/>
          <w:szCs w:val="28"/>
          <w:shd w:val="clear" w:color="auto" w:fill="FFFFFF"/>
          <w14:textFill>
            <w14:solidFill>
              <w14:schemeClr w14:val="tx1">
                <w14:lumMod w14:val="95000"/>
                <w14:lumOff w14:val="5000"/>
              </w14:schemeClr>
            </w14:solidFill>
          </w14:textFill>
        </w:rPr>
        <w:t>评分值</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在7＜Rf≤9时，应采取风险预警措施。加强水库周边道路车辆通行监管，严格禁止运输危险化学品，限制运输可能对水库水质造成污染的其他物品。</w:t>
      </w:r>
    </w:p>
    <w:p>
      <w:pPr>
        <w:widowControl/>
        <w:adjustRightInd w:val="0"/>
        <w:snapToGrid w:val="0"/>
        <w:spacing w:line="360" w:lineRule="auto"/>
        <w:ind w:firstLine="562" w:firstLineChars="200"/>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（3）非点源</w:t>
      </w:r>
    </w:p>
    <w:p>
      <w:pPr>
        <w:widowControl/>
        <w:adjustRightInd w:val="0"/>
        <w:snapToGrid w:val="0"/>
        <w:spacing w:line="360" w:lineRule="auto"/>
        <w:ind w:firstLine="560"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根据调查，亦佐水库保护区范围内现状非点源主要有农业种植及水土流失面源污染等，具体源强详见2</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.7.2</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节。</w:t>
      </w:r>
    </w:p>
    <w:p>
      <w:pPr>
        <w:widowControl/>
        <w:adjustRightInd w:val="0"/>
        <w:snapToGrid w:val="0"/>
        <w:spacing w:line="360" w:lineRule="auto"/>
        <w:ind w:firstLine="560"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亦佐水库一级保护区范围内耕地面积占比为31.11%。根据非点源风险值计算，非点源风险值为10，</w:t>
      </w:r>
      <w:r>
        <w:rPr>
          <w:rFonts w:hint="eastAsia" w:ascii="Times New Roman" w:hAnsi="Times New Roman" w:eastAsia="仿宋" w:cs="仿宋"/>
          <w:color w:val="0D0D0D" w:themeColor="text1" w:themeTint="F2"/>
          <w:kern w:val="0"/>
          <w:sz w:val="28"/>
          <w:szCs w:val="28"/>
          <w:shd w:val="clear" w:color="auto" w:fill="FFFFFF"/>
          <w14:textFill>
            <w14:solidFill>
              <w14:schemeClr w14:val="tx1">
                <w14:lumMod w14:val="95000"/>
                <w14:lumOff w14:val="5000"/>
              </w14:schemeClr>
            </w14:solidFill>
          </w14:textFill>
        </w:rPr>
        <w:t>评分值</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Ry&gt;9，应采取风险应急措施，环境风险较高。此外，根据实地踏勘，亦佐水库保护区范围内还存在水土流失污染。通过识别环境风险因素，应重点对非点源风险采取应急措施，加快农业面源治理及水土流失治理，降低水源保护区环境风险，保证饮用水水质安全。</w:t>
      </w:r>
    </w:p>
    <w:p>
      <w:pPr>
        <w:pStyle w:val="3"/>
        <w:rPr>
          <w:color w:val="0D0D0D" w:themeColor="text1" w:themeTint="F2"/>
          <w14:textFill>
            <w14:solidFill>
              <w14:schemeClr w14:val="tx1">
                <w14:lumMod w14:val="95000"/>
                <w14:lumOff w14:val="5000"/>
              </w14:schemeClr>
            </w14:solidFill>
          </w14:textFill>
        </w:rPr>
      </w:pPr>
      <w:bookmarkStart w:id="94" w:name="_Toc25679066"/>
      <w:bookmarkStart w:id="95" w:name="_Toc27522202"/>
      <w:r>
        <w:rPr>
          <w:rFonts w:hint="eastAsia"/>
          <w:color w:val="0D0D0D" w:themeColor="text1" w:themeTint="F2"/>
          <w14:textFill>
            <w14:solidFill>
              <w14:schemeClr w14:val="tx1">
                <w14:lumMod w14:val="95000"/>
                <w14:lumOff w14:val="5000"/>
              </w14:schemeClr>
            </w14:solidFill>
          </w14:textFill>
        </w:rPr>
        <w:t>2.9 饮用水水源保护区规范化建设</w:t>
      </w:r>
      <w:bookmarkEnd w:id="91"/>
      <w:r>
        <w:rPr>
          <w:rFonts w:hint="eastAsia"/>
          <w:color w:val="0D0D0D" w:themeColor="text1" w:themeTint="F2"/>
          <w14:textFill>
            <w14:solidFill>
              <w14:schemeClr w14:val="tx1">
                <w14:lumMod w14:val="95000"/>
                <w14:lumOff w14:val="5000"/>
              </w14:schemeClr>
            </w14:solidFill>
          </w14:textFill>
        </w:rPr>
        <w:t>现状及存在问题</w:t>
      </w:r>
      <w:bookmarkEnd w:id="94"/>
      <w:bookmarkEnd w:id="95"/>
    </w:p>
    <w:p>
      <w:pPr>
        <w:keepNext/>
        <w:keepLines/>
        <w:spacing w:before="260" w:after="260" w:line="416" w:lineRule="auto"/>
        <w:outlineLvl w:val="2"/>
        <w:rPr>
          <w:rFonts w:ascii="Times New Roman" w:hAnsi="Times New Roman" w:eastAsia="仿宋"/>
          <w:b/>
          <w:bCs/>
          <w:color w:val="0D0D0D" w:themeColor="text1" w:themeTint="F2"/>
          <w:sz w:val="30"/>
          <w:szCs w:val="32"/>
          <w14:textFill>
            <w14:solidFill>
              <w14:schemeClr w14:val="tx1">
                <w14:lumMod w14:val="95000"/>
                <w14:lumOff w14:val="5000"/>
              </w14:schemeClr>
            </w14:solidFill>
          </w14:textFill>
        </w:rPr>
      </w:pPr>
      <w:bookmarkStart w:id="96" w:name="_Toc27522203"/>
      <w:bookmarkStart w:id="97" w:name="_Toc25679067"/>
      <w:bookmarkStart w:id="98" w:name="_Toc12621595"/>
      <w:r>
        <w:rPr>
          <w:rFonts w:hint="eastAsia" w:ascii="Times New Roman" w:hAnsi="Times New Roman" w:eastAsia="仿宋"/>
          <w:b/>
          <w:bCs/>
          <w:color w:val="0D0D0D" w:themeColor="text1" w:themeTint="F2"/>
          <w:sz w:val="30"/>
          <w:szCs w:val="32"/>
          <w14:textFill>
            <w14:solidFill>
              <w14:schemeClr w14:val="tx1">
                <w14:lumMod w14:val="95000"/>
                <w14:lumOff w14:val="5000"/>
              </w14:schemeClr>
            </w14:solidFill>
          </w14:textFill>
        </w:rPr>
        <w:t>2.9.1 保护区规范化建设及管理现状</w:t>
      </w:r>
      <w:bookmarkEnd w:id="96"/>
      <w:bookmarkEnd w:id="97"/>
      <w:bookmarkEnd w:id="98"/>
    </w:p>
    <w:p>
      <w:pPr>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亦佐水库作为在用水源，但未严格按《集中式饮用水源地规范化建设环境保护技术要求》（HJ773-2015）开展水源地保护相关保护工作。根据现场调查及资料收集，目前已开展的保护工作主要有：</w:t>
      </w:r>
    </w:p>
    <w:p>
      <w:pPr>
        <w:adjustRightInd w:val="0"/>
        <w:snapToGrid w:val="0"/>
        <w:spacing w:line="360" w:lineRule="auto"/>
        <w:ind w:firstLine="562" w:firstLineChars="200"/>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（1）管理机构设置</w:t>
      </w:r>
    </w:p>
    <w:p>
      <w:pPr>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亦佐水库主管部门为富源县富村镇人民政府，管理单位为富源县富村镇农业综合服务中心。</w:t>
      </w:r>
    </w:p>
    <w:p>
      <w:pPr>
        <w:adjustRightInd w:val="0"/>
        <w:snapToGrid w:val="0"/>
        <w:spacing w:line="360" w:lineRule="auto"/>
        <w:ind w:firstLine="562" w:firstLineChars="200"/>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（2）监测能力</w:t>
      </w:r>
    </w:p>
    <w:p>
      <w:pPr>
        <w:adjustRightInd w:val="0"/>
        <w:snapToGrid w:val="0"/>
        <w:spacing w:line="360" w:lineRule="auto"/>
        <w:ind w:firstLine="560" w:firstLineChars="200"/>
        <w:rPr>
          <w:rFonts w:ascii="Times New Roman" w:hAnsi="Times New Roman" w:cs="Times New Roman"/>
          <w:color w:val="0D0D0D" w:themeColor="text1" w:themeTint="F2"/>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8"/>
          <w:szCs w:val="28"/>
          <w14:textFill>
            <w14:solidFill>
              <w14:schemeClr w14:val="tx1">
                <w14:lumMod w14:val="95000"/>
                <w14:lumOff w14:val="5000"/>
              </w14:schemeClr>
            </w14:solidFill>
          </w14:textFill>
        </w:rPr>
        <w:t>亦佐水库</w:t>
      </w:r>
      <w:r>
        <w:rPr>
          <w:rFonts w:hint="eastAsia" w:ascii="Times New Roman" w:hAnsi="Times New Roman" w:eastAsia="仿宋" w:cs="Times New Roman"/>
          <w:bCs/>
          <w:color w:val="0D0D0D" w:themeColor="text1" w:themeTint="F2"/>
          <w:sz w:val="28"/>
          <w:szCs w:val="28"/>
          <w14:textFill>
            <w14:solidFill>
              <w14:schemeClr w14:val="tx1">
                <w14:lumMod w14:val="95000"/>
                <w14:lumOff w14:val="5000"/>
              </w14:schemeClr>
            </w14:solidFill>
          </w14:textFill>
        </w:rPr>
        <w:t>未进行例行水质监测，于2011年12月、2012年8月、2013年7月按照《地表水环境质量标准》（</w:t>
      </w:r>
      <w:r>
        <w:rPr>
          <w:rFonts w:ascii="Times New Roman" w:hAnsi="Times New Roman" w:eastAsia="仿宋" w:cs="Times New Roman"/>
          <w:bCs/>
          <w:color w:val="0D0D0D" w:themeColor="text1" w:themeTint="F2"/>
          <w:sz w:val="28"/>
          <w:szCs w:val="28"/>
          <w14:textFill>
            <w14:solidFill>
              <w14:schemeClr w14:val="tx1">
                <w14:lumMod w14:val="95000"/>
                <w14:lumOff w14:val="5000"/>
              </w14:schemeClr>
            </w14:solidFill>
          </w14:textFill>
        </w:rPr>
        <w:t>GB3838-2002</w:t>
      </w:r>
      <w:r>
        <w:rPr>
          <w:rFonts w:hint="eastAsia" w:ascii="Times New Roman" w:hAnsi="Times New Roman" w:eastAsia="仿宋" w:cs="Times New Roman"/>
          <w:bCs/>
          <w:color w:val="0D0D0D" w:themeColor="text1" w:themeTint="F2"/>
          <w:sz w:val="28"/>
          <w:szCs w:val="28"/>
          <w14:textFill>
            <w14:solidFill>
              <w14:schemeClr w14:val="tx1">
                <w14:lumMod w14:val="95000"/>
                <w14:lumOff w14:val="5000"/>
              </w14:schemeClr>
            </w14:solidFill>
          </w14:textFill>
        </w:rPr>
        <w:t>）分别开展了水质监测，主要对pH、溶解氧、高锰酸盐指数、五日生化需氧量、氨氮、化学需氧量、砷、汞、六价铬、镉、铅、挥发酚、总氮、总磷、粪大肠菌群、氰化物、石油类、氟化物及饮用水源地集中式生活饮用水源地补充项目硫酸盐、氯化物、硝酸盐、铁、锰进行监测。</w:t>
      </w:r>
    </w:p>
    <w:p>
      <w:pPr>
        <w:keepNext/>
        <w:keepLines/>
        <w:spacing w:before="260" w:after="260" w:line="416" w:lineRule="auto"/>
        <w:outlineLvl w:val="2"/>
        <w:rPr>
          <w:rFonts w:ascii="Times New Roman" w:hAnsi="Times New Roman" w:eastAsia="仿宋"/>
          <w:b/>
          <w:bCs/>
          <w:color w:val="0D0D0D" w:themeColor="text1" w:themeTint="F2"/>
          <w:sz w:val="30"/>
          <w:szCs w:val="32"/>
          <w14:textFill>
            <w14:solidFill>
              <w14:schemeClr w14:val="tx1">
                <w14:lumMod w14:val="95000"/>
                <w14:lumOff w14:val="5000"/>
              </w14:schemeClr>
            </w14:solidFill>
          </w14:textFill>
        </w:rPr>
      </w:pPr>
      <w:bookmarkStart w:id="99" w:name="_Toc12621596"/>
      <w:bookmarkStart w:id="100" w:name="_Toc25679068"/>
      <w:bookmarkStart w:id="101" w:name="_Toc27522204"/>
      <w:r>
        <w:rPr>
          <w:rFonts w:hint="eastAsia" w:ascii="Times New Roman" w:hAnsi="Times New Roman" w:eastAsia="仿宋"/>
          <w:b/>
          <w:bCs/>
          <w:color w:val="0D0D0D" w:themeColor="text1" w:themeTint="F2"/>
          <w:sz w:val="30"/>
          <w:szCs w:val="32"/>
          <w14:textFill>
            <w14:solidFill>
              <w14:schemeClr w14:val="tx1">
                <w14:lumMod w14:val="95000"/>
                <w14:lumOff w14:val="5000"/>
              </w14:schemeClr>
            </w14:solidFill>
          </w14:textFill>
        </w:rPr>
        <w:t>2.9.2 保护区</w:t>
      </w:r>
      <w:bookmarkEnd w:id="99"/>
      <w:r>
        <w:rPr>
          <w:rFonts w:hint="eastAsia" w:ascii="Times New Roman" w:hAnsi="Times New Roman" w:eastAsia="仿宋"/>
          <w:b/>
          <w:bCs/>
          <w:color w:val="0D0D0D" w:themeColor="text1" w:themeTint="F2"/>
          <w:sz w:val="30"/>
          <w:szCs w:val="32"/>
          <w14:textFill>
            <w14:solidFill>
              <w14:schemeClr w14:val="tx1">
                <w14:lumMod w14:val="95000"/>
                <w14:lumOff w14:val="5000"/>
              </w14:schemeClr>
            </w14:solidFill>
          </w14:textFill>
        </w:rPr>
        <w:t>主要环境问题</w:t>
      </w:r>
      <w:bookmarkEnd w:id="100"/>
      <w:bookmarkEnd w:id="101"/>
    </w:p>
    <w:p>
      <w:pPr>
        <w:adjustRightInd w:val="0"/>
        <w:snapToGrid w:val="0"/>
        <w:spacing w:line="360" w:lineRule="auto"/>
        <w:ind w:firstLine="560" w:firstLineChars="200"/>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pPr>
      <w:bookmarkStart w:id="102" w:name="_Hlk20349135"/>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根据《集中式饮用水源地规范化建设环境保护技术要求》（HJ 773-2015）等技术规范，结合现场调查，</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亦佐水库</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水源地规范化建设存在问题如下：</w:t>
      </w:r>
    </w:p>
    <w:bookmarkEnd w:id="102"/>
    <w:p>
      <w:pPr>
        <w:adjustRightInd w:val="0"/>
        <w:snapToGrid w:val="0"/>
        <w:spacing w:line="360" w:lineRule="auto"/>
        <w:ind w:firstLine="562" w:firstLineChars="200"/>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（1）面源污染问题</w:t>
      </w:r>
    </w:p>
    <w:p>
      <w:pPr>
        <w:adjustRightInd w:val="0"/>
        <w:snapToGrid w:val="0"/>
        <w:spacing w:line="360" w:lineRule="auto"/>
        <w:ind w:firstLine="560"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8"/>
          <w:szCs w:val="28"/>
          <w14:textFill>
            <w14:solidFill>
              <w14:schemeClr w14:val="tx1">
                <w14:lumMod w14:val="95000"/>
                <w14:lumOff w14:val="5000"/>
              </w14:schemeClr>
            </w14:solidFill>
          </w14:textFill>
        </w:rPr>
        <w:t>亦佐水库</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保护区</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范围内</w:t>
      </w:r>
      <w:bookmarkStart w:id="103" w:name="_Hlk20349201"/>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无农村生活、畜禽养殖等污染源，但</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存在农业种植污染，</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水源地</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保护区</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内</w:t>
      </w:r>
      <w:bookmarkStart w:id="104" w:name="_Hlk20092038"/>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耕地面积占比达到水库保护区面积的31.11%，</w:t>
      </w:r>
      <w:bookmarkEnd w:id="104"/>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农业生产中大量使用农药化肥导致水体污染。</w:t>
      </w:r>
      <w:r>
        <w:rPr>
          <w:rFonts w:hint="eastAsia" w:ascii="Times New Roman" w:hAnsi="Times New Roman" w:eastAsia="仿宋" w:cs="Times New Roman"/>
          <w:bCs/>
          <w:color w:val="0D0D0D" w:themeColor="text1" w:themeTint="F2"/>
          <w:sz w:val="28"/>
          <w:szCs w:val="28"/>
          <w14:textFill>
            <w14:solidFill>
              <w14:schemeClr w14:val="tx1">
                <w14:lumMod w14:val="95000"/>
                <w14:lumOff w14:val="5000"/>
              </w14:schemeClr>
            </w14:solidFill>
          </w14:textFill>
        </w:rPr>
        <w:t>亦佐</w:t>
      </w:r>
      <w:r>
        <w:rPr>
          <w:rFonts w:ascii="Times New Roman" w:hAnsi="Times New Roman" w:eastAsia="仿宋" w:cs="Times New Roman"/>
          <w:bCs/>
          <w:color w:val="0D0D0D" w:themeColor="text1" w:themeTint="F2"/>
          <w:sz w:val="28"/>
          <w:szCs w:val="28"/>
          <w14:textFill>
            <w14:solidFill>
              <w14:schemeClr w14:val="tx1">
                <w14:lumMod w14:val="95000"/>
                <w14:lumOff w14:val="5000"/>
              </w14:schemeClr>
            </w14:solidFill>
          </w14:textFill>
        </w:rPr>
        <w:t>水库</w:t>
      </w:r>
      <w:r>
        <w:rPr>
          <w:rFonts w:hint="eastAsia" w:ascii="Times New Roman" w:hAnsi="Times New Roman" w:eastAsia="仿宋" w:cs="Times New Roman"/>
          <w:bCs/>
          <w:color w:val="0D0D0D" w:themeColor="text1" w:themeTint="F2"/>
          <w:sz w:val="28"/>
          <w:szCs w:val="28"/>
          <w14:textFill>
            <w14:solidFill>
              <w14:schemeClr w14:val="tx1">
                <w14:lumMod w14:val="95000"/>
                <w14:lumOff w14:val="5000"/>
              </w14:schemeClr>
            </w14:solidFill>
          </w14:textFill>
        </w:rPr>
        <w:t>保护区</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内水土流失面积占比在</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87.48</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中度及以上侵蚀面积占水土流失面积的44.21%，</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水土流失造成一定的面源污染。</w:t>
      </w:r>
    </w:p>
    <w:bookmarkEnd w:id="103"/>
    <w:p>
      <w:pPr>
        <w:adjustRightInd w:val="0"/>
        <w:snapToGrid w:val="0"/>
        <w:spacing w:line="360" w:lineRule="auto"/>
        <w:ind w:firstLine="562" w:firstLineChars="200"/>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pPr>
      <w:bookmarkStart w:id="105" w:name="_Hlk20349559"/>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（2）保护区分级划界问题</w:t>
      </w:r>
    </w:p>
    <w:p>
      <w:pPr>
        <w:adjustRightInd w:val="0"/>
        <w:snapToGrid w:val="0"/>
        <w:spacing w:line="360" w:lineRule="auto"/>
        <w:ind w:firstLine="560" w:firstLineChars="200"/>
        <w:rPr>
          <w:rFonts w:ascii="Times New Roman" w:hAnsi="Times New Roman" w:eastAsia="仿宋"/>
          <w:color w:val="262626" w:themeColor="text1" w:themeTint="D9"/>
          <w:sz w:val="28"/>
          <w:szCs w:val="28"/>
          <w14:textFill>
            <w14:solidFill>
              <w14:schemeClr w14:val="tx1">
                <w14:lumMod w14:val="85000"/>
                <w14:lumOff w14:val="15000"/>
              </w14:schemeClr>
            </w14:solidFill>
          </w14:textFill>
        </w:rPr>
      </w:pP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亦佐水库</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作为在用水源地，</w:t>
      </w:r>
      <w:r>
        <w:rPr>
          <w:rFonts w:hint="eastAsia" w:ascii="Times New Roman" w:hAnsi="Times New Roman" w:eastAsia="仿宋"/>
          <w:color w:val="262626" w:themeColor="text1" w:themeTint="D9"/>
          <w:sz w:val="28"/>
          <w:szCs w:val="28"/>
          <w14:textFill>
            <w14:solidFill>
              <w14:schemeClr w14:val="tx1">
                <w14:lumMod w14:val="85000"/>
                <w14:lumOff w14:val="15000"/>
              </w14:schemeClr>
            </w14:solidFill>
          </w14:textFill>
        </w:rPr>
        <w:t>未按新的技术规范要求划分水源保护区并依法审批并颁布实施，也未按水源保护区边界范围并根据《饮用水水源保护区标志技术要求》（HJ/T433-2008）设置界桩、交通警示牌、宣传牌等标识</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w:t>
      </w:r>
    </w:p>
    <w:p>
      <w:pPr>
        <w:adjustRightInd w:val="0"/>
        <w:snapToGrid w:val="0"/>
        <w:spacing w:line="360" w:lineRule="auto"/>
        <w:ind w:firstLine="562" w:firstLineChars="200"/>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3</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）风险防控与应急能力建设问题</w:t>
      </w:r>
    </w:p>
    <w:p>
      <w:pPr>
        <w:adjustRightInd w:val="0"/>
        <w:snapToGrid w:val="0"/>
        <w:spacing w:line="360" w:lineRule="auto"/>
        <w:ind w:firstLine="560"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饮用水水源地应定期或不定期开展水源地周边安全隐患排查及风险评估，建立水源保护区内风险源名录和风险防控方案。同时制定水库饮用水水源地应急预案，按照生态环境部门要求备案并定期开展应急演练，储备应急物资，设有应急防护工程，具备饮用水水源地突发环境事件应急处置技术方案及应急专家库，并具备应急监测能力。目前，</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根据水环境风险源分析，亦佐水库流动源及非点源环境风险较大，但亦佐水库</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未制定</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相应的</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应急预案，风险防控与应急能力</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还</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待加强。</w:t>
      </w:r>
    </w:p>
    <w:p>
      <w:pPr>
        <w:adjustRightInd w:val="0"/>
        <w:snapToGrid w:val="0"/>
        <w:spacing w:line="360" w:lineRule="auto"/>
        <w:ind w:firstLine="562" w:firstLineChars="200"/>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4</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）管理</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措施不到位</w:t>
      </w:r>
    </w:p>
    <w:p>
      <w:pPr>
        <w:adjustRightInd w:val="0"/>
        <w:snapToGrid w:val="0"/>
        <w:spacing w:line="360" w:lineRule="auto"/>
        <w:ind w:firstLine="560"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按照《集中式饮用水水源编码规范》（HJ 747-2015）要求，应对水源地进行编码，完善水源地档案，做到</w:t>
      </w:r>
      <w:r>
        <w:rPr>
          <w:rFonts w:ascii="仿宋" w:hAnsi="仿宋" w:eastAsia="仿宋" w:cs="Times New Roman"/>
          <w:color w:val="0D0D0D" w:themeColor="text1" w:themeTint="F2"/>
          <w:sz w:val="28"/>
          <w:szCs w:val="28"/>
          <w14:textFill>
            <w14:solidFill>
              <w14:schemeClr w14:val="tx1">
                <w14:lumMod w14:val="95000"/>
                <w14:lumOff w14:val="5000"/>
              </w14:schemeClr>
            </w14:solidFill>
          </w14:textFill>
        </w:rPr>
        <w:t>“一源一档”，</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并按照环境监察要求定期巡查、开展水源地环境状况评估，建立水源地信息化管理平台，定期公开水源地相关信息。</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亦佐水库</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需加强管理，建立完善水源地档案及环境监察。</w:t>
      </w:r>
    </w:p>
    <w:bookmarkEnd w:id="105"/>
    <w:p>
      <w:pPr>
        <w:rPr>
          <w:color w:val="0D0D0D" w:themeColor="text1" w:themeTint="F2"/>
          <w14:textFill>
            <w14:solidFill>
              <w14:schemeClr w14:val="tx1">
                <w14:lumMod w14:val="95000"/>
                <w14:lumOff w14:val="5000"/>
              </w14:schemeClr>
            </w14:solidFill>
          </w14:textFill>
        </w:rPr>
        <w:sectPr>
          <w:pgSz w:w="11906" w:h="16838"/>
          <w:pgMar w:top="1440" w:right="1236" w:bottom="1440" w:left="1236" w:header="851" w:footer="992" w:gutter="0"/>
          <w:pgNumType w:fmt="numberInDash"/>
          <w:cols w:space="0" w:num="1"/>
          <w:docGrid w:type="lines" w:linePitch="312" w:charSpace="0"/>
        </w:sectPr>
      </w:pPr>
    </w:p>
    <w:p>
      <w:pPr>
        <w:keepNext/>
        <w:keepLines/>
        <w:spacing w:before="340" w:after="330" w:line="578" w:lineRule="auto"/>
        <w:jc w:val="center"/>
        <w:outlineLvl w:val="0"/>
        <w:rPr>
          <w:rFonts w:ascii="Times New Roman" w:hAnsi="Times New Roman" w:eastAsia="仿宋"/>
          <w:b/>
          <w:bCs/>
          <w:color w:val="0D0D0D" w:themeColor="text1" w:themeTint="F2"/>
          <w:kern w:val="44"/>
          <w:sz w:val="36"/>
          <w:szCs w:val="44"/>
          <w14:textFill>
            <w14:solidFill>
              <w14:schemeClr w14:val="tx1">
                <w14:lumMod w14:val="95000"/>
                <w14:lumOff w14:val="5000"/>
              </w14:schemeClr>
            </w14:solidFill>
          </w14:textFill>
        </w:rPr>
      </w:pPr>
      <w:bookmarkStart w:id="106" w:name="_Toc20409149"/>
      <w:bookmarkStart w:id="107" w:name="_Toc27522205"/>
      <w:bookmarkStart w:id="108" w:name="_Toc10723878"/>
      <w:bookmarkStart w:id="109" w:name="_Toc12456077"/>
      <w:bookmarkStart w:id="110" w:name="_Toc326180110"/>
      <w:r>
        <w:rPr>
          <w:rFonts w:hint="eastAsia" w:ascii="Times New Roman" w:hAnsi="Times New Roman" w:eastAsia="仿宋"/>
          <w:b/>
          <w:bCs/>
          <w:color w:val="0D0D0D" w:themeColor="text1" w:themeTint="F2"/>
          <w:kern w:val="44"/>
          <w:sz w:val="36"/>
          <w:szCs w:val="44"/>
          <w14:textFill>
            <w14:solidFill>
              <w14:schemeClr w14:val="tx1">
                <w14:lumMod w14:val="95000"/>
                <w14:lumOff w14:val="5000"/>
              </w14:schemeClr>
            </w14:solidFill>
          </w14:textFill>
        </w:rPr>
        <w:t xml:space="preserve">第三章 </w:t>
      </w:r>
      <w:r>
        <w:rPr>
          <w:rFonts w:ascii="Times New Roman" w:hAnsi="Times New Roman" w:eastAsia="仿宋"/>
          <w:b/>
          <w:bCs/>
          <w:color w:val="0D0D0D" w:themeColor="text1" w:themeTint="F2"/>
          <w:kern w:val="44"/>
          <w:sz w:val="36"/>
          <w:szCs w:val="44"/>
          <w14:textFill>
            <w14:solidFill>
              <w14:schemeClr w14:val="tx1">
                <w14:lumMod w14:val="95000"/>
                <w14:lumOff w14:val="5000"/>
              </w14:schemeClr>
            </w14:solidFill>
          </w14:textFill>
        </w:rPr>
        <w:t>保护区</w:t>
      </w:r>
      <w:r>
        <w:rPr>
          <w:rFonts w:hint="eastAsia" w:ascii="Times New Roman" w:hAnsi="Times New Roman" w:eastAsia="仿宋"/>
          <w:b/>
          <w:bCs/>
          <w:color w:val="0D0D0D" w:themeColor="text1" w:themeTint="F2"/>
          <w:kern w:val="44"/>
          <w:sz w:val="36"/>
          <w:szCs w:val="44"/>
          <w14:textFill>
            <w14:solidFill>
              <w14:schemeClr w14:val="tx1">
                <w14:lumMod w14:val="95000"/>
                <w14:lumOff w14:val="5000"/>
              </w14:schemeClr>
            </w14:solidFill>
          </w14:textFill>
        </w:rPr>
        <w:t>划分与定界</w:t>
      </w:r>
      <w:bookmarkEnd w:id="106"/>
      <w:bookmarkEnd w:id="107"/>
    </w:p>
    <w:p>
      <w:pPr>
        <w:keepNext/>
        <w:keepLines/>
        <w:spacing w:before="260" w:after="260" w:line="416" w:lineRule="auto"/>
        <w:outlineLvl w:val="1"/>
        <w:rPr>
          <w:rFonts w:ascii="Times New Roman" w:hAnsi="Times New Roman" w:eastAsia="仿宋" w:cstheme="majorBidi"/>
          <w:b/>
          <w:bCs/>
          <w:color w:val="0D0D0D" w:themeColor="text1" w:themeTint="F2"/>
          <w:sz w:val="32"/>
          <w:szCs w:val="32"/>
          <w14:textFill>
            <w14:solidFill>
              <w14:schemeClr w14:val="tx1">
                <w14:lumMod w14:val="95000"/>
                <w14:lumOff w14:val="5000"/>
              </w14:schemeClr>
            </w14:solidFill>
          </w14:textFill>
        </w:rPr>
      </w:pPr>
      <w:bookmarkStart w:id="111" w:name="_Toc10723880"/>
      <w:bookmarkStart w:id="112" w:name="_Toc12621586"/>
      <w:bookmarkStart w:id="113" w:name="_Toc20409150"/>
      <w:bookmarkStart w:id="114" w:name="_Toc27522206"/>
      <w:r>
        <w:rPr>
          <w:rFonts w:ascii="Times New Roman" w:hAnsi="Times New Roman" w:eastAsia="仿宋" w:cstheme="majorBidi"/>
          <w:b/>
          <w:bCs/>
          <w:color w:val="0D0D0D" w:themeColor="text1" w:themeTint="F2"/>
          <w:sz w:val="32"/>
          <w:szCs w:val="32"/>
          <w14:textFill>
            <w14:solidFill>
              <w14:schemeClr w14:val="tx1">
                <w14:lumMod w14:val="95000"/>
                <w14:lumOff w14:val="5000"/>
              </w14:schemeClr>
            </w14:solidFill>
          </w14:textFill>
        </w:rPr>
        <w:t>3.</w:t>
      </w:r>
      <w:r>
        <w:rPr>
          <w:rFonts w:hint="eastAsia" w:ascii="Times New Roman" w:hAnsi="Times New Roman" w:eastAsia="仿宋" w:cstheme="majorBidi"/>
          <w:b/>
          <w:bCs/>
          <w:color w:val="0D0D0D" w:themeColor="text1" w:themeTint="F2"/>
          <w:sz w:val="32"/>
          <w:szCs w:val="32"/>
          <w14:textFill>
            <w14:solidFill>
              <w14:schemeClr w14:val="tx1">
                <w14:lumMod w14:val="95000"/>
                <w14:lumOff w14:val="5000"/>
              </w14:schemeClr>
            </w14:solidFill>
          </w14:textFill>
        </w:rPr>
        <w:t>1</w:t>
      </w:r>
      <w:r>
        <w:rPr>
          <w:rFonts w:ascii="Times New Roman" w:hAnsi="Times New Roman" w:eastAsia="仿宋" w:cstheme="majorBidi"/>
          <w:b/>
          <w:bCs/>
          <w:color w:val="0D0D0D" w:themeColor="text1" w:themeTint="F2"/>
          <w:sz w:val="32"/>
          <w:szCs w:val="32"/>
          <w14:textFill>
            <w14:solidFill>
              <w14:schemeClr w14:val="tx1">
                <w14:lumMod w14:val="95000"/>
                <w14:lumOff w14:val="5000"/>
              </w14:schemeClr>
            </w14:solidFill>
          </w14:textFill>
        </w:rPr>
        <w:t xml:space="preserve"> 划分方法</w:t>
      </w:r>
      <w:bookmarkEnd w:id="111"/>
      <w:bookmarkEnd w:id="112"/>
      <w:bookmarkEnd w:id="113"/>
      <w:bookmarkEnd w:id="114"/>
    </w:p>
    <w:p>
      <w:pPr>
        <w:adjustRightInd w:val="0"/>
        <w:snapToGrid w:val="0"/>
        <w:spacing w:line="360" w:lineRule="auto"/>
        <w:ind w:firstLine="560" w:firstLineChars="200"/>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pP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按照《饮用水水源保护区划分技术规范》</w:t>
      </w: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HJ 338-2018</w:t>
      </w: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，利用</w:t>
      </w: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区域</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地形图、水系图、土地利用现状图、土地利用规划图，</w:t>
      </w: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采用地形边界法、类比经验法，</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划分</w:t>
      </w: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亦佐水库水源地的</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一级保护区</w:t>
      </w: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和</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二级保护区，对局部区域，根据实际情况进行微调。</w:t>
      </w:r>
    </w:p>
    <w:p>
      <w:pPr>
        <w:adjustRightInd w:val="0"/>
        <w:snapToGrid w:val="0"/>
        <w:spacing w:line="360" w:lineRule="auto"/>
        <w:ind w:firstLine="560" w:firstLineChars="200"/>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pP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亦佐水库属于小型山区型水库，汇水面积较小，部分区域正常水位水平外延200</w:t>
      </w: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m</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区域超出汇水分水岭，故</w:t>
      </w: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只</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设置一级保护区</w:t>
      </w: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w:t>
      </w:r>
    </w:p>
    <w:p>
      <w:pPr>
        <w:keepNext/>
        <w:keepLines/>
        <w:spacing w:before="260" w:after="260" w:line="416" w:lineRule="auto"/>
        <w:outlineLvl w:val="2"/>
        <w:rPr>
          <w:rFonts w:ascii="Times New Roman" w:hAnsi="Times New Roman" w:eastAsia="仿宋"/>
          <w:b/>
          <w:bCs/>
          <w:color w:val="0D0D0D" w:themeColor="text1" w:themeTint="F2"/>
          <w:sz w:val="30"/>
          <w:szCs w:val="32"/>
          <w14:textFill>
            <w14:solidFill>
              <w14:schemeClr w14:val="tx1">
                <w14:lumMod w14:val="95000"/>
                <w14:lumOff w14:val="5000"/>
              </w14:schemeClr>
            </w14:solidFill>
          </w14:textFill>
        </w:rPr>
      </w:pPr>
      <w:bookmarkStart w:id="115" w:name="_Toc530362551"/>
      <w:bookmarkStart w:id="116" w:name="_Toc20409151"/>
      <w:bookmarkStart w:id="117" w:name="_Toc27522207"/>
      <w:r>
        <w:rPr>
          <w:rFonts w:ascii="Times New Roman" w:hAnsi="Times New Roman" w:eastAsia="仿宋"/>
          <w:b/>
          <w:bCs/>
          <w:color w:val="0D0D0D" w:themeColor="text1" w:themeTint="F2"/>
          <w:sz w:val="30"/>
          <w:szCs w:val="32"/>
          <w14:textFill>
            <w14:solidFill>
              <w14:schemeClr w14:val="tx1">
                <w14:lumMod w14:val="95000"/>
                <w14:lumOff w14:val="5000"/>
              </w14:schemeClr>
            </w14:solidFill>
          </w14:textFill>
        </w:rPr>
        <w:t>3.</w:t>
      </w:r>
      <w:r>
        <w:rPr>
          <w:rFonts w:hint="eastAsia" w:ascii="Times New Roman" w:hAnsi="Times New Roman" w:eastAsia="仿宋"/>
          <w:b/>
          <w:bCs/>
          <w:color w:val="0D0D0D" w:themeColor="text1" w:themeTint="F2"/>
          <w:sz w:val="30"/>
          <w:szCs w:val="32"/>
          <w14:textFill>
            <w14:solidFill>
              <w14:schemeClr w14:val="tx1">
                <w14:lumMod w14:val="95000"/>
                <w14:lumOff w14:val="5000"/>
              </w14:schemeClr>
            </w14:solidFill>
          </w14:textFill>
        </w:rPr>
        <w:t>1</w:t>
      </w:r>
      <w:r>
        <w:rPr>
          <w:rFonts w:ascii="Times New Roman" w:hAnsi="Times New Roman" w:eastAsia="仿宋"/>
          <w:b/>
          <w:bCs/>
          <w:color w:val="0D0D0D" w:themeColor="text1" w:themeTint="F2"/>
          <w:sz w:val="30"/>
          <w:szCs w:val="32"/>
          <w14:textFill>
            <w14:solidFill>
              <w14:schemeClr w14:val="tx1">
                <w14:lumMod w14:val="95000"/>
                <w14:lumOff w14:val="5000"/>
              </w14:schemeClr>
            </w14:solidFill>
          </w14:textFill>
        </w:rPr>
        <w:t>.</w:t>
      </w:r>
      <w:r>
        <w:rPr>
          <w:rFonts w:hint="eastAsia" w:ascii="Times New Roman" w:hAnsi="Times New Roman" w:eastAsia="仿宋"/>
          <w:b/>
          <w:bCs/>
          <w:color w:val="0D0D0D" w:themeColor="text1" w:themeTint="F2"/>
          <w:sz w:val="30"/>
          <w:szCs w:val="32"/>
          <w14:textFill>
            <w14:solidFill>
              <w14:schemeClr w14:val="tx1">
                <w14:lumMod w14:val="95000"/>
                <w14:lumOff w14:val="5000"/>
              </w14:schemeClr>
            </w14:solidFill>
          </w14:textFill>
        </w:rPr>
        <w:t>1</w:t>
      </w:r>
      <w:r>
        <w:rPr>
          <w:rFonts w:ascii="Times New Roman" w:hAnsi="Times New Roman" w:eastAsia="仿宋"/>
          <w:b/>
          <w:bCs/>
          <w:color w:val="0D0D0D" w:themeColor="text1" w:themeTint="F2"/>
          <w:sz w:val="30"/>
          <w:szCs w:val="32"/>
          <w14:textFill>
            <w14:solidFill>
              <w14:schemeClr w14:val="tx1">
                <w14:lumMod w14:val="95000"/>
                <w14:lumOff w14:val="5000"/>
              </w14:schemeClr>
            </w14:solidFill>
          </w14:textFill>
        </w:rPr>
        <w:t xml:space="preserve"> 一级保护区划分</w:t>
      </w:r>
      <w:bookmarkEnd w:id="115"/>
      <w:bookmarkEnd w:id="116"/>
      <w:bookmarkEnd w:id="117"/>
    </w:p>
    <w:p>
      <w:pPr>
        <w:adjustRightInd w:val="0"/>
        <w:snapToGrid w:val="0"/>
        <w:spacing w:line="360" w:lineRule="auto"/>
        <w:ind w:firstLine="562" w:firstLineChars="200"/>
        <w:rPr>
          <w:rFonts w:ascii="Times New Roman" w:hAnsi="Times New Roman" w:eastAsia="仿宋" w:cs="Times New Roman"/>
          <w:b/>
          <w:snapToGrid w:val="0"/>
          <w:color w:val="0D0D0D" w:themeColor="text1" w:themeTint="F2"/>
          <w:kern w:val="0"/>
          <w:sz w:val="28"/>
          <w:szCs w:val="28"/>
          <w14:textFill>
            <w14:solidFill>
              <w14:schemeClr w14:val="tx1">
                <w14:lumMod w14:val="95000"/>
                <w14:lumOff w14:val="5000"/>
              </w14:schemeClr>
            </w14:solidFill>
          </w14:textFill>
        </w:rPr>
      </w:pPr>
      <w:r>
        <w:rPr>
          <w:rFonts w:ascii="Times New Roman" w:hAnsi="Times New Roman" w:eastAsia="仿宋" w:cs="Times New Roman"/>
          <w:b/>
          <w:snapToGrid w:val="0"/>
          <w:color w:val="0D0D0D" w:themeColor="text1" w:themeTint="F2"/>
          <w:kern w:val="0"/>
          <w:sz w:val="28"/>
          <w:szCs w:val="28"/>
          <w14:textFill>
            <w14:solidFill>
              <w14:schemeClr w14:val="tx1">
                <w14:lumMod w14:val="95000"/>
                <w14:lumOff w14:val="5000"/>
              </w14:schemeClr>
            </w14:solidFill>
          </w14:textFill>
        </w:rPr>
        <w:t>（1）水域范围</w:t>
      </w:r>
    </w:p>
    <w:p>
      <w:pPr>
        <w:adjustRightInd w:val="0"/>
        <w:snapToGrid w:val="0"/>
        <w:spacing w:line="360" w:lineRule="auto"/>
        <w:ind w:firstLine="560" w:firstLineChars="200"/>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pP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根据《饮用水水源保护区划分技术规范》</w:t>
      </w: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HJ 338-2018</w:t>
      </w: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6.2.1节：</w:t>
      </w:r>
    </w:p>
    <w:p>
      <w:pPr>
        <w:adjustRightInd w:val="0"/>
        <w:snapToGrid w:val="0"/>
        <w:spacing w:line="360" w:lineRule="auto"/>
        <w:ind w:firstLine="560" w:firstLineChars="200"/>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pP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6.2.1.1  小型水库和单一供水功能的湖泊、水库应将多年平均水位对应的高程线以下的全部水域划为一级保护区。</w:t>
      </w:r>
    </w:p>
    <w:p>
      <w:pPr>
        <w:adjustRightInd w:val="0"/>
        <w:snapToGrid w:val="0"/>
        <w:spacing w:line="360" w:lineRule="auto"/>
        <w:ind w:firstLine="562" w:firstLineChars="200"/>
        <w:rPr>
          <w:rFonts w:ascii="Times New Roman" w:hAnsi="Times New Roman" w:eastAsia="仿宋" w:cs="Times New Roman"/>
          <w:b/>
          <w:snapToGrid w:val="0"/>
          <w:color w:val="0D0D0D" w:themeColor="text1" w:themeTint="F2"/>
          <w:kern w:val="0"/>
          <w:sz w:val="28"/>
          <w:szCs w:val="28"/>
          <w14:textFill>
            <w14:solidFill>
              <w14:schemeClr w14:val="tx1">
                <w14:lumMod w14:val="95000"/>
                <w14:lumOff w14:val="5000"/>
              </w14:schemeClr>
            </w14:solidFill>
          </w14:textFill>
        </w:rPr>
      </w:pPr>
      <w:r>
        <w:rPr>
          <w:rFonts w:ascii="Times New Roman" w:hAnsi="Times New Roman" w:eastAsia="仿宋" w:cs="Times New Roman"/>
          <w:b/>
          <w:snapToGrid w:val="0"/>
          <w:color w:val="0D0D0D" w:themeColor="text1" w:themeTint="F2"/>
          <w:kern w:val="0"/>
          <w:sz w:val="28"/>
          <w:szCs w:val="28"/>
          <w14:textFill>
            <w14:solidFill>
              <w14:schemeClr w14:val="tx1">
                <w14:lumMod w14:val="95000"/>
                <w14:lumOff w14:val="5000"/>
              </w14:schemeClr>
            </w14:solidFill>
          </w14:textFill>
        </w:rPr>
        <w:t>（2）陆域范围</w:t>
      </w:r>
    </w:p>
    <w:p>
      <w:pPr>
        <w:adjustRightInd w:val="0"/>
        <w:snapToGrid w:val="0"/>
        <w:spacing w:line="360" w:lineRule="auto"/>
        <w:ind w:firstLine="560" w:firstLineChars="200"/>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pP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根据《饮用水水源保护区划分技术规范》</w:t>
      </w: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HJ 338-2018</w:t>
      </w: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6.2.2节。</w:t>
      </w:r>
    </w:p>
    <w:p>
      <w:pPr>
        <w:adjustRightInd w:val="0"/>
        <w:snapToGrid w:val="0"/>
        <w:spacing w:line="360" w:lineRule="auto"/>
        <w:ind w:firstLine="560" w:firstLineChars="200"/>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pP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6.2.2.1  小型和单一供水功能的湖泊、水库以及中小型水库为一级保护区水域外不小于200 m范围内的陆域，或一定高程线以下的陆域，但不超过流域分水岭范围。</w:t>
      </w:r>
    </w:p>
    <w:p>
      <w:pPr>
        <w:keepNext/>
        <w:keepLines/>
        <w:spacing w:before="260" w:after="260" w:line="416" w:lineRule="auto"/>
        <w:outlineLvl w:val="2"/>
        <w:rPr>
          <w:rFonts w:ascii="Times New Roman" w:hAnsi="Times New Roman" w:eastAsia="仿宋"/>
          <w:b/>
          <w:bCs/>
          <w:color w:val="0D0D0D" w:themeColor="text1" w:themeTint="F2"/>
          <w:sz w:val="30"/>
          <w:szCs w:val="32"/>
          <w14:textFill>
            <w14:solidFill>
              <w14:schemeClr w14:val="tx1">
                <w14:lumMod w14:val="95000"/>
                <w14:lumOff w14:val="5000"/>
              </w14:schemeClr>
            </w14:solidFill>
          </w14:textFill>
        </w:rPr>
      </w:pPr>
      <w:bookmarkStart w:id="118" w:name="_Toc530362552"/>
      <w:bookmarkStart w:id="119" w:name="_Toc20409152"/>
      <w:bookmarkStart w:id="120" w:name="_Toc27522208"/>
      <w:r>
        <w:rPr>
          <w:rFonts w:ascii="Times New Roman" w:hAnsi="Times New Roman" w:eastAsia="仿宋"/>
          <w:b/>
          <w:bCs/>
          <w:color w:val="0D0D0D" w:themeColor="text1" w:themeTint="F2"/>
          <w:sz w:val="30"/>
          <w:szCs w:val="32"/>
          <w14:textFill>
            <w14:solidFill>
              <w14:schemeClr w14:val="tx1">
                <w14:lumMod w14:val="95000"/>
                <w14:lumOff w14:val="5000"/>
              </w14:schemeClr>
            </w14:solidFill>
          </w14:textFill>
        </w:rPr>
        <w:t>3.</w:t>
      </w:r>
      <w:r>
        <w:rPr>
          <w:rFonts w:hint="eastAsia" w:ascii="Times New Roman" w:hAnsi="Times New Roman" w:eastAsia="仿宋"/>
          <w:b/>
          <w:bCs/>
          <w:color w:val="0D0D0D" w:themeColor="text1" w:themeTint="F2"/>
          <w:sz w:val="30"/>
          <w:szCs w:val="32"/>
          <w14:textFill>
            <w14:solidFill>
              <w14:schemeClr w14:val="tx1">
                <w14:lumMod w14:val="95000"/>
                <w14:lumOff w14:val="5000"/>
              </w14:schemeClr>
            </w14:solidFill>
          </w14:textFill>
        </w:rPr>
        <w:t>1</w:t>
      </w:r>
      <w:r>
        <w:rPr>
          <w:rFonts w:ascii="Times New Roman" w:hAnsi="Times New Roman" w:eastAsia="仿宋"/>
          <w:b/>
          <w:bCs/>
          <w:color w:val="0D0D0D" w:themeColor="text1" w:themeTint="F2"/>
          <w:sz w:val="30"/>
          <w:szCs w:val="32"/>
          <w14:textFill>
            <w14:solidFill>
              <w14:schemeClr w14:val="tx1">
                <w14:lumMod w14:val="95000"/>
                <w14:lumOff w14:val="5000"/>
              </w14:schemeClr>
            </w14:solidFill>
          </w14:textFill>
        </w:rPr>
        <w:t>.2 二级保护区划分</w:t>
      </w:r>
      <w:bookmarkEnd w:id="118"/>
      <w:bookmarkEnd w:id="119"/>
      <w:bookmarkEnd w:id="120"/>
    </w:p>
    <w:p>
      <w:pPr>
        <w:adjustRightInd w:val="0"/>
        <w:snapToGrid w:val="0"/>
        <w:spacing w:line="360" w:lineRule="auto"/>
        <w:ind w:firstLine="562" w:firstLineChars="200"/>
        <w:rPr>
          <w:rFonts w:ascii="Times New Roman" w:hAnsi="Times New Roman" w:eastAsia="仿宋" w:cs="Times New Roman"/>
          <w:b/>
          <w:snapToGrid w:val="0"/>
          <w:color w:val="0D0D0D" w:themeColor="text1" w:themeTint="F2"/>
          <w:kern w:val="0"/>
          <w:sz w:val="28"/>
          <w:szCs w:val="28"/>
          <w14:textFill>
            <w14:solidFill>
              <w14:schemeClr w14:val="tx1">
                <w14:lumMod w14:val="95000"/>
                <w14:lumOff w14:val="5000"/>
              </w14:schemeClr>
            </w14:solidFill>
          </w14:textFill>
        </w:rPr>
      </w:pPr>
      <w:r>
        <w:rPr>
          <w:rFonts w:ascii="Times New Roman" w:hAnsi="Times New Roman" w:eastAsia="仿宋" w:cs="Times New Roman"/>
          <w:b/>
          <w:snapToGrid w:val="0"/>
          <w:color w:val="0D0D0D" w:themeColor="text1" w:themeTint="F2"/>
          <w:kern w:val="0"/>
          <w:sz w:val="28"/>
          <w:szCs w:val="28"/>
          <w14:textFill>
            <w14:solidFill>
              <w14:schemeClr w14:val="tx1">
                <w14:lumMod w14:val="95000"/>
                <w14:lumOff w14:val="5000"/>
              </w14:schemeClr>
            </w14:solidFill>
          </w14:textFill>
        </w:rPr>
        <w:t>（1）水域范围</w:t>
      </w:r>
    </w:p>
    <w:p>
      <w:pPr>
        <w:adjustRightInd w:val="0"/>
        <w:snapToGrid w:val="0"/>
        <w:spacing w:line="360" w:lineRule="auto"/>
        <w:ind w:firstLine="560" w:firstLineChars="200"/>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pP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根据《饮用水水源保护区划分技术规范》</w:t>
      </w: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HJ 338-2018</w:t>
      </w: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6.3.1节。</w:t>
      </w:r>
    </w:p>
    <w:p>
      <w:pPr>
        <w:adjustRightInd w:val="0"/>
        <w:snapToGrid w:val="0"/>
        <w:spacing w:line="360" w:lineRule="auto"/>
        <w:ind w:firstLine="560" w:firstLineChars="200"/>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pP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 xml:space="preserve">6.3.1.1 </w:t>
      </w: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 xml:space="preserve"> </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满足条件的水源地，可采用类比经验法确定二级保护区水域范围。</w:t>
      </w:r>
    </w:p>
    <w:p>
      <w:pPr>
        <w:adjustRightInd w:val="0"/>
        <w:snapToGrid w:val="0"/>
        <w:spacing w:line="360" w:lineRule="auto"/>
        <w:ind w:firstLine="560" w:firstLineChars="200"/>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pP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小型湖泊、中小型水库一级保护区边界外的水域面积设定为二级保护区。</w:t>
      </w:r>
    </w:p>
    <w:p>
      <w:pPr>
        <w:adjustRightInd w:val="0"/>
        <w:snapToGrid w:val="0"/>
        <w:spacing w:line="360" w:lineRule="auto"/>
        <w:ind w:firstLine="562" w:firstLineChars="200"/>
        <w:rPr>
          <w:rFonts w:ascii="Times New Roman" w:hAnsi="Times New Roman" w:eastAsia="仿宋" w:cs="Times New Roman"/>
          <w:b/>
          <w:snapToGrid w:val="0"/>
          <w:color w:val="0D0D0D" w:themeColor="text1" w:themeTint="F2"/>
          <w:kern w:val="0"/>
          <w:sz w:val="28"/>
          <w:szCs w:val="28"/>
          <w14:textFill>
            <w14:solidFill>
              <w14:schemeClr w14:val="tx1">
                <w14:lumMod w14:val="95000"/>
                <w14:lumOff w14:val="5000"/>
              </w14:schemeClr>
            </w14:solidFill>
          </w14:textFill>
        </w:rPr>
      </w:pPr>
      <w:r>
        <w:rPr>
          <w:rFonts w:ascii="Times New Roman" w:hAnsi="Times New Roman" w:eastAsia="仿宋" w:cs="Times New Roman"/>
          <w:b/>
          <w:snapToGrid w:val="0"/>
          <w:color w:val="0D0D0D" w:themeColor="text1" w:themeTint="F2"/>
          <w:kern w:val="0"/>
          <w:sz w:val="28"/>
          <w:szCs w:val="28"/>
          <w14:textFill>
            <w14:solidFill>
              <w14:schemeClr w14:val="tx1">
                <w14:lumMod w14:val="95000"/>
                <w14:lumOff w14:val="5000"/>
              </w14:schemeClr>
            </w14:solidFill>
          </w14:textFill>
        </w:rPr>
        <w:t>（2）陆域范围</w:t>
      </w:r>
    </w:p>
    <w:p>
      <w:pPr>
        <w:adjustRightInd w:val="0"/>
        <w:snapToGrid w:val="0"/>
        <w:spacing w:line="360" w:lineRule="auto"/>
        <w:ind w:firstLine="560" w:firstLineChars="200"/>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pP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根据《饮用水水源保护区划分技术规范》</w:t>
      </w: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HJ 338-2018</w:t>
      </w: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6.3.2节。</w:t>
      </w:r>
    </w:p>
    <w:p>
      <w:pPr>
        <w:adjustRightInd w:val="0"/>
        <w:snapToGrid w:val="0"/>
        <w:spacing w:line="360" w:lineRule="auto"/>
        <w:ind w:firstLine="560" w:firstLineChars="200"/>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pP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6.3.2.2  采用地形边界法或类比经验法</w:t>
      </w:r>
    </w:p>
    <w:p>
      <w:pPr>
        <w:adjustRightInd w:val="0"/>
        <w:snapToGrid w:val="0"/>
        <w:spacing w:line="360" w:lineRule="auto"/>
        <w:ind w:firstLine="560" w:firstLineChars="200"/>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pP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小型水库可将上游整个流域（一级保护区陆域外区域）设定为二级保护区。</w:t>
      </w:r>
    </w:p>
    <w:p>
      <w:pPr>
        <w:adjustRightInd w:val="0"/>
        <w:snapToGrid w:val="0"/>
        <w:spacing w:line="360" w:lineRule="auto"/>
        <w:ind w:firstLine="560" w:firstLineChars="200"/>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pP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单一功能的湖泊、水库、小型湖泊和平原型中型水库的二级保护区范围是一级保护区以外水平距离不小于2000 m区域，山区型中型水库二级保护区的范围为水库周边山脊线以内（一级保护区以外）及入库河流上溯不小于3000 m的汇水区域。二级保护区陆域边界不超过相应的流域分水岭。</w:t>
      </w:r>
    </w:p>
    <w:p>
      <w:pPr>
        <w:keepNext/>
        <w:keepLines/>
        <w:spacing w:before="260" w:after="260" w:line="416" w:lineRule="auto"/>
        <w:outlineLvl w:val="1"/>
        <w:rPr>
          <w:rFonts w:ascii="Times New Roman" w:hAnsi="Times New Roman" w:eastAsia="仿宋" w:cstheme="majorBidi"/>
          <w:b/>
          <w:bCs/>
          <w:color w:val="0D0D0D" w:themeColor="text1" w:themeTint="F2"/>
          <w:sz w:val="32"/>
          <w:szCs w:val="32"/>
          <w14:textFill>
            <w14:solidFill>
              <w14:schemeClr w14:val="tx1">
                <w14:lumMod w14:val="95000"/>
                <w14:lumOff w14:val="5000"/>
              </w14:schemeClr>
            </w14:solidFill>
          </w14:textFill>
        </w:rPr>
      </w:pPr>
      <w:bookmarkStart w:id="121" w:name="_Toc10723885"/>
      <w:bookmarkStart w:id="122" w:name="_Toc12621589"/>
      <w:bookmarkStart w:id="123" w:name="_Toc20409153"/>
      <w:bookmarkStart w:id="124" w:name="_Toc27522209"/>
      <w:r>
        <w:rPr>
          <w:rFonts w:ascii="Times New Roman" w:hAnsi="Times New Roman" w:eastAsia="仿宋" w:cstheme="majorBidi"/>
          <w:b/>
          <w:bCs/>
          <w:color w:val="0D0D0D" w:themeColor="text1" w:themeTint="F2"/>
          <w:sz w:val="32"/>
          <w:szCs w:val="32"/>
          <w14:textFill>
            <w14:solidFill>
              <w14:schemeClr w14:val="tx1">
                <w14:lumMod w14:val="95000"/>
                <w14:lumOff w14:val="5000"/>
              </w14:schemeClr>
            </w14:solidFill>
          </w14:textFill>
        </w:rPr>
        <w:t>3.</w:t>
      </w:r>
      <w:r>
        <w:rPr>
          <w:rFonts w:hint="eastAsia" w:ascii="Times New Roman" w:hAnsi="Times New Roman" w:eastAsia="仿宋" w:cstheme="majorBidi"/>
          <w:b/>
          <w:bCs/>
          <w:color w:val="0D0D0D" w:themeColor="text1" w:themeTint="F2"/>
          <w:sz w:val="32"/>
          <w:szCs w:val="32"/>
          <w14:textFill>
            <w14:solidFill>
              <w14:schemeClr w14:val="tx1">
                <w14:lumMod w14:val="95000"/>
                <w14:lumOff w14:val="5000"/>
              </w14:schemeClr>
            </w14:solidFill>
          </w14:textFill>
        </w:rPr>
        <w:t>2</w:t>
      </w:r>
      <w:r>
        <w:rPr>
          <w:rFonts w:ascii="Times New Roman" w:hAnsi="Times New Roman" w:eastAsia="仿宋" w:cstheme="majorBidi"/>
          <w:b/>
          <w:bCs/>
          <w:color w:val="0D0D0D" w:themeColor="text1" w:themeTint="F2"/>
          <w:sz w:val="32"/>
          <w:szCs w:val="32"/>
          <w14:textFill>
            <w14:solidFill>
              <w14:schemeClr w14:val="tx1">
                <w14:lumMod w14:val="95000"/>
                <w14:lumOff w14:val="5000"/>
              </w14:schemeClr>
            </w14:solidFill>
          </w14:textFill>
        </w:rPr>
        <w:t xml:space="preserve"> </w:t>
      </w:r>
      <w:bookmarkEnd w:id="121"/>
      <w:r>
        <w:rPr>
          <w:rFonts w:hint="eastAsia" w:ascii="Times New Roman" w:hAnsi="Times New Roman" w:eastAsia="仿宋" w:cstheme="majorBidi"/>
          <w:b/>
          <w:bCs/>
          <w:color w:val="0D0D0D" w:themeColor="text1" w:themeTint="F2"/>
          <w:sz w:val="32"/>
          <w:szCs w:val="32"/>
          <w14:textFill>
            <w14:solidFill>
              <w14:schemeClr w14:val="tx1">
                <w14:lumMod w14:val="95000"/>
                <w14:lumOff w14:val="5000"/>
              </w14:schemeClr>
            </w14:solidFill>
          </w14:textFill>
        </w:rPr>
        <w:t>初步划分结果与分析</w:t>
      </w:r>
      <w:bookmarkEnd w:id="122"/>
      <w:bookmarkEnd w:id="123"/>
      <w:bookmarkEnd w:id="124"/>
    </w:p>
    <w:p>
      <w:pPr>
        <w:adjustRightInd w:val="0"/>
        <w:snapToGrid w:val="0"/>
        <w:spacing w:line="360" w:lineRule="auto"/>
        <w:ind w:firstLine="560" w:firstLineChars="200"/>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pP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亦佐水库属于小型山区型水库，汇水面积较小，部分区域正常水位水平外延200</w:t>
      </w: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m</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区域超出汇水分水岭，故</w:t>
      </w: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只</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设置一级保护区</w:t>
      </w: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w:t>
      </w:r>
    </w:p>
    <w:p>
      <w:pPr>
        <w:adjustRightInd w:val="0"/>
        <w:snapToGrid w:val="0"/>
        <w:spacing w:line="360" w:lineRule="auto"/>
        <w:ind w:firstLine="562" w:firstLineChars="200"/>
        <w:rPr>
          <w:rFonts w:ascii="Times New Roman" w:hAnsi="Times New Roman" w:eastAsia="仿宋" w:cs="Times New Roman"/>
          <w:b/>
          <w:snapToGrid w:val="0"/>
          <w:color w:val="0D0D0D" w:themeColor="text1" w:themeTint="F2"/>
          <w:kern w:val="0"/>
          <w:sz w:val="28"/>
          <w:szCs w:val="28"/>
          <w14:textFill>
            <w14:solidFill>
              <w14:schemeClr w14:val="tx1">
                <w14:lumMod w14:val="95000"/>
                <w14:lumOff w14:val="5000"/>
              </w14:schemeClr>
            </w14:solidFill>
          </w14:textFill>
        </w:rPr>
      </w:pPr>
      <w:r>
        <w:rPr>
          <w:rFonts w:ascii="Times New Roman" w:hAnsi="Times New Roman" w:eastAsia="仿宋" w:cs="Times New Roman"/>
          <w:b/>
          <w:snapToGrid w:val="0"/>
          <w:color w:val="0D0D0D" w:themeColor="text1" w:themeTint="F2"/>
          <w:kern w:val="0"/>
          <w:sz w:val="28"/>
          <w:szCs w:val="28"/>
          <w14:textFill>
            <w14:solidFill>
              <w14:schemeClr w14:val="tx1">
                <w14:lumMod w14:val="95000"/>
                <w14:lumOff w14:val="5000"/>
              </w14:schemeClr>
            </w14:solidFill>
          </w14:textFill>
        </w:rPr>
        <w:t>（</w:t>
      </w:r>
      <w:r>
        <w:rPr>
          <w:rFonts w:hint="eastAsia" w:ascii="Times New Roman" w:hAnsi="Times New Roman" w:eastAsia="仿宋" w:cs="Times New Roman"/>
          <w:b/>
          <w:snapToGrid w:val="0"/>
          <w:color w:val="0D0D0D" w:themeColor="text1" w:themeTint="F2"/>
          <w:kern w:val="0"/>
          <w:sz w:val="28"/>
          <w:szCs w:val="28"/>
          <w14:textFill>
            <w14:solidFill>
              <w14:schemeClr w14:val="tx1">
                <w14:lumMod w14:val="95000"/>
                <w14:lumOff w14:val="5000"/>
              </w14:schemeClr>
            </w14:solidFill>
          </w14:textFill>
        </w:rPr>
        <w:t>1</w:t>
      </w:r>
      <w:r>
        <w:rPr>
          <w:rFonts w:ascii="Times New Roman" w:hAnsi="Times New Roman" w:eastAsia="仿宋" w:cs="Times New Roman"/>
          <w:b/>
          <w:snapToGrid w:val="0"/>
          <w:color w:val="0D0D0D" w:themeColor="text1" w:themeTint="F2"/>
          <w:kern w:val="0"/>
          <w:sz w:val="28"/>
          <w:szCs w:val="28"/>
          <w14:textFill>
            <w14:solidFill>
              <w14:schemeClr w14:val="tx1">
                <w14:lumMod w14:val="95000"/>
                <w14:lumOff w14:val="5000"/>
              </w14:schemeClr>
            </w14:solidFill>
          </w14:textFill>
        </w:rPr>
        <w:t>）</w:t>
      </w:r>
      <w:r>
        <w:rPr>
          <w:rFonts w:hint="eastAsia" w:ascii="Times New Roman" w:hAnsi="Times New Roman" w:eastAsia="仿宋" w:cs="Times New Roman"/>
          <w:b/>
          <w:snapToGrid w:val="0"/>
          <w:color w:val="0D0D0D" w:themeColor="text1" w:themeTint="F2"/>
          <w:kern w:val="0"/>
          <w:sz w:val="28"/>
          <w:szCs w:val="28"/>
          <w14:textFill>
            <w14:solidFill>
              <w14:schemeClr w14:val="tx1">
                <w14:lumMod w14:val="95000"/>
                <w14:lumOff w14:val="5000"/>
              </w14:schemeClr>
            </w14:solidFill>
          </w14:textFill>
        </w:rPr>
        <w:t>水</w:t>
      </w:r>
      <w:r>
        <w:rPr>
          <w:rFonts w:ascii="Times New Roman" w:hAnsi="Times New Roman" w:eastAsia="仿宋" w:cs="Times New Roman"/>
          <w:b/>
          <w:snapToGrid w:val="0"/>
          <w:color w:val="0D0D0D" w:themeColor="text1" w:themeTint="F2"/>
          <w:kern w:val="0"/>
          <w:sz w:val="28"/>
          <w:szCs w:val="28"/>
          <w14:textFill>
            <w14:solidFill>
              <w14:schemeClr w14:val="tx1">
                <w14:lumMod w14:val="95000"/>
                <w14:lumOff w14:val="5000"/>
              </w14:schemeClr>
            </w14:solidFill>
          </w14:textFill>
        </w:rPr>
        <w:t>域范围</w:t>
      </w:r>
    </w:p>
    <w:p>
      <w:pPr>
        <w:adjustRightInd w:val="0"/>
        <w:snapToGrid w:val="0"/>
        <w:spacing w:line="360" w:lineRule="auto"/>
        <w:ind w:firstLine="560" w:firstLineChars="200"/>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pP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亦佐</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水库正常蓄水位</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2088</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m，相应库容</w:t>
      </w: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46.06</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万</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m</w:t>
      </w:r>
      <w:r>
        <w:rPr>
          <w:rFonts w:ascii="Times New Roman" w:hAnsi="Times New Roman" w:eastAsia="仿宋" w:cs="Times New Roman"/>
          <w:snapToGrid w:val="0"/>
          <w:color w:val="0D0D0D" w:themeColor="text1" w:themeTint="F2"/>
          <w:kern w:val="0"/>
          <w:sz w:val="28"/>
          <w:szCs w:val="28"/>
          <w:vertAlign w:val="superscript"/>
          <w14:textFill>
            <w14:solidFill>
              <w14:schemeClr w14:val="tx1">
                <w14:lumMod w14:val="95000"/>
                <w14:lumOff w14:val="5000"/>
              </w14:schemeClr>
            </w14:solidFill>
          </w14:textFill>
        </w:rPr>
        <w:t>3</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（V＜0.1亿m</w:t>
      </w:r>
      <w:r>
        <w:rPr>
          <w:rFonts w:ascii="Times New Roman" w:hAnsi="Times New Roman" w:eastAsia="仿宋" w:cs="Times New Roman"/>
          <w:snapToGrid w:val="0"/>
          <w:color w:val="0D0D0D" w:themeColor="text1" w:themeTint="F2"/>
          <w:kern w:val="0"/>
          <w:sz w:val="28"/>
          <w:szCs w:val="28"/>
          <w:vertAlign w:val="superscript"/>
          <w14:textFill>
            <w14:solidFill>
              <w14:schemeClr w14:val="tx1">
                <w14:lumMod w14:val="95000"/>
                <w14:lumOff w14:val="5000"/>
              </w14:schemeClr>
            </w14:solidFill>
          </w14:textFill>
        </w:rPr>
        <w:t>3</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w:t>
      </w: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为</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小型水库。水库水面面积不大，因此将</w:t>
      </w: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亦佐</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水库正常蓄水位</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2088</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m以下的全部水域划为一级保护区，面积</w:t>
      </w: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0.0316</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km</w:t>
      </w:r>
      <w:r>
        <w:rPr>
          <w:rFonts w:ascii="Times New Roman" w:hAnsi="Times New Roman" w:eastAsia="仿宋" w:cs="Times New Roman"/>
          <w:snapToGrid w:val="0"/>
          <w:color w:val="0D0D0D" w:themeColor="text1" w:themeTint="F2"/>
          <w:kern w:val="0"/>
          <w:sz w:val="28"/>
          <w:szCs w:val="28"/>
          <w:vertAlign w:val="superscript"/>
          <w14:textFill>
            <w14:solidFill>
              <w14:schemeClr w14:val="tx1">
                <w14:lumMod w14:val="95000"/>
                <w14:lumOff w14:val="5000"/>
              </w14:schemeClr>
            </w14:solidFill>
          </w14:textFill>
        </w:rPr>
        <w:t>2</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w:t>
      </w:r>
    </w:p>
    <w:p>
      <w:pPr>
        <w:adjustRightInd w:val="0"/>
        <w:snapToGrid w:val="0"/>
        <w:spacing w:line="360" w:lineRule="auto"/>
        <w:ind w:firstLine="562" w:firstLineChars="200"/>
        <w:rPr>
          <w:rFonts w:ascii="Times New Roman" w:hAnsi="Times New Roman" w:eastAsia="仿宋" w:cs="Times New Roman"/>
          <w:b/>
          <w:snapToGrid w:val="0"/>
          <w:color w:val="0D0D0D" w:themeColor="text1" w:themeTint="F2"/>
          <w:kern w:val="0"/>
          <w:sz w:val="28"/>
          <w:szCs w:val="28"/>
          <w14:textFill>
            <w14:solidFill>
              <w14:schemeClr w14:val="tx1">
                <w14:lumMod w14:val="95000"/>
                <w14:lumOff w14:val="5000"/>
              </w14:schemeClr>
            </w14:solidFill>
          </w14:textFill>
        </w:rPr>
      </w:pPr>
      <w:r>
        <w:rPr>
          <w:rFonts w:ascii="Times New Roman" w:hAnsi="Times New Roman" w:eastAsia="仿宋" w:cs="Times New Roman"/>
          <w:b/>
          <w:snapToGrid w:val="0"/>
          <w:color w:val="0D0D0D" w:themeColor="text1" w:themeTint="F2"/>
          <w:kern w:val="0"/>
          <w:sz w:val="28"/>
          <w:szCs w:val="28"/>
          <w14:textFill>
            <w14:solidFill>
              <w14:schemeClr w14:val="tx1">
                <w14:lumMod w14:val="95000"/>
                <w14:lumOff w14:val="5000"/>
              </w14:schemeClr>
            </w14:solidFill>
          </w14:textFill>
        </w:rPr>
        <w:t>（2）陆域范围</w:t>
      </w:r>
    </w:p>
    <w:p>
      <w:pPr>
        <w:adjustRightInd w:val="0"/>
        <w:snapToGrid w:val="0"/>
        <w:spacing w:line="360" w:lineRule="auto"/>
        <w:ind w:firstLine="560" w:firstLineChars="200"/>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pP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流域分水岭范围内一级保护区外的其他区域，</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面积</w:t>
      </w: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0.6963</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km</w:t>
      </w:r>
      <w:r>
        <w:rPr>
          <w:rFonts w:ascii="Times New Roman" w:hAnsi="Times New Roman" w:eastAsia="仿宋" w:cs="Times New Roman"/>
          <w:snapToGrid w:val="0"/>
          <w:color w:val="0D0D0D" w:themeColor="text1" w:themeTint="F2"/>
          <w:kern w:val="0"/>
          <w:sz w:val="28"/>
          <w:szCs w:val="28"/>
          <w:vertAlign w:val="superscript"/>
          <w14:textFill>
            <w14:solidFill>
              <w14:schemeClr w14:val="tx1">
                <w14:lumMod w14:val="95000"/>
                <w14:lumOff w14:val="5000"/>
              </w14:schemeClr>
            </w14:solidFill>
          </w14:textFill>
        </w:rPr>
        <w:t>2</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w:t>
      </w:r>
    </w:p>
    <w:p>
      <w:pPr>
        <w:adjustRightInd w:val="0"/>
        <w:snapToGrid w:val="0"/>
        <w:spacing w:line="240" w:lineRule="atLeast"/>
        <w:jc w:val="cente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表3.</w:t>
      </w: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1</w:t>
      </w:r>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 xml:space="preserve">-1  </w:t>
      </w: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亦佐</w:t>
      </w:r>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水库饮用水水源保护区组成</w:t>
      </w:r>
    </w:p>
    <w:tbl>
      <w:tblPr>
        <w:tblStyle w:val="44"/>
        <w:tblW w:w="9650"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56"/>
        <w:gridCol w:w="456"/>
        <w:gridCol w:w="5492"/>
        <w:gridCol w:w="2005"/>
        <w:gridCol w:w="124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blHeader/>
        </w:trPr>
        <w:tc>
          <w:tcPr>
            <w:tcW w:w="912" w:type="dxa"/>
            <w:gridSpan w:val="2"/>
            <w:shd w:val="clear" w:color="auto" w:fill="D8D8D8" w:themeFill="background1" w:themeFillShade="D9"/>
            <w:vAlign w:val="center"/>
          </w:tcPr>
          <w:p>
            <w:pPr>
              <w:adjustRightInd w:val="0"/>
              <w:snapToGrid w:val="0"/>
              <w:spacing w:line="360" w:lineRule="auto"/>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区划</w:t>
            </w:r>
          </w:p>
        </w:tc>
        <w:tc>
          <w:tcPr>
            <w:tcW w:w="5492" w:type="dxa"/>
            <w:shd w:val="clear" w:color="auto" w:fill="D8D8D8" w:themeFill="background1" w:themeFillShade="D9"/>
            <w:vAlign w:val="center"/>
          </w:tcPr>
          <w:p>
            <w:pPr>
              <w:adjustRightInd w:val="0"/>
              <w:snapToGrid w:val="0"/>
              <w:spacing w:line="360" w:lineRule="auto"/>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依据HJ 338-2018</w:t>
            </w:r>
          </w:p>
        </w:tc>
        <w:tc>
          <w:tcPr>
            <w:tcW w:w="2005" w:type="dxa"/>
            <w:shd w:val="clear" w:color="auto" w:fill="D8D8D8" w:themeFill="background1" w:themeFillShade="D9"/>
            <w:vAlign w:val="center"/>
          </w:tcPr>
          <w:p>
            <w:pPr>
              <w:adjustRightInd w:val="0"/>
              <w:snapToGrid w:val="0"/>
              <w:spacing w:line="360" w:lineRule="auto"/>
              <w:jc w:val="cente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24"/>
                <w:szCs w:val="24"/>
                <w14:textFill>
                  <w14:solidFill>
                    <w14:schemeClr w14:val="tx1">
                      <w14:lumMod w14:val="95000"/>
                      <w14:lumOff w14:val="5000"/>
                    </w14:schemeClr>
                  </w14:solidFill>
                </w14:textFill>
              </w:rPr>
              <w:t>控制范围</w:t>
            </w:r>
          </w:p>
        </w:tc>
        <w:tc>
          <w:tcPr>
            <w:tcW w:w="1241" w:type="dxa"/>
            <w:shd w:val="clear" w:color="auto" w:fill="D8D8D8" w:themeFill="background1" w:themeFillShade="D9"/>
            <w:vAlign w:val="center"/>
          </w:tcPr>
          <w:p>
            <w:pPr>
              <w:widowControl/>
              <w:jc w:val="cente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面积（km</w:t>
            </w:r>
            <w:r>
              <w:rPr>
                <w:rFonts w:ascii="Times New Roman" w:hAnsi="Times New Roman" w:eastAsia="仿宋" w:cs="Times New Roman"/>
                <w:b/>
                <w:color w:val="0D0D0D" w:themeColor="text1" w:themeTint="F2"/>
                <w:kern w:val="0"/>
                <w:sz w:val="24"/>
                <w:szCs w:val="24"/>
                <w:vertAlign w:val="superscript"/>
                <w14:textFill>
                  <w14:solidFill>
                    <w14:schemeClr w14:val="tx1">
                      <w14:lumMod w14:val="95000"/>
                      <w14:lumOff w14:val="5000"/>
                    </w14:schemeClr>
                  </w14:solidFill>
                </w14:textFill>
              </w:rPr>
              <w:t>2</w:t>
            </w: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456" w:type="dxa"/>
            <w:vMerge w:val="restart"/>
            <w:vAlign w:val="center"/>
          </w:tcPr>
          <w:p>
            <w:pPr>
              <w:adjustRightInd w:val="0"/>
              <w:snapToGrid w:val="0"/>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一</w:t>
            </w:r>
          </w:p>
          <w:p>
            <w:pPr>
              <w:adjustRightInd w:val="0"/>
              <w:snapToGrid w:val="0"/>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级</w:t>
            </w:r>
          </w:p>
          <w:p>
            <w:pPr>
              <w:adjustRightInd w:val="0"/>
              <w:snapToGrid w:val="0"/>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保</w:t>
            </w:r>
          </w:p>
          <w:p>
            <w:pPr>
              <w:adjustRightInd w:val="0"/>
              <w:snapToGrid w:val="0"/>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护</w:t>
            </w:r>
          </w:p>
          <w:p>
            <w:pPr>
              <w:adjustRightInd w:val="0"/>
              <w:snapToGrid w:val="0"/>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区</w:t>
            </w:r>
          </w:p>
        </w:tc>
        <w:tc>
          <w:tcPr>
            <w:tcW w:w="456" w:type="dxa"/>
            <w:vAlign w:val="center"/>
          </w:tcPr>
          <w:p>
            <w:pPr>
              <w:adjustRightInd w:val="0"/>
              <w:snapToGrid w:val="0"/>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水</w:t>
            </w:r>
          </w:p>
          <w:p>
            <w:pPr>
              <w:adjustRightInd w:val="0"/>
              <w:snapToGrid w:val="0"/>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域</w:t>
            </w:r>
          </w:p>
        </w:tc>
        <w:tc>
          <w:tcPr>
            <w:tcW w:w="5492" w:type="dxa"/>
            <w:vAlign w:val="center"/>
          </w:tcPr>
          <w:p>
            <w:pPr>
              <w:adjustRightInd w:val="0"/>
              <w:snapToGrid w:val="0"/>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6.2.1.1  小型水库和单一供水功能的湖泊、水库应将多年平均水位对应的高程线以下的全部水域划为一级保护区。</w:t>
            </w:r>
          </w:p>
        </w:tc>
        <w:tc>
          <w:tcPr>
            <w:tcW w:w="2005" w:type="dxa"/>
            <w:vAlign w:val="center"/>
          </w:tcPr>
          <w:p>
            <w:pPr>
              <w:adjustRightInd w:val="0"/>
              <w:snapToGrid w:val="0"/>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亦佐</w:t>
            </w: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水库正常蓄水位</w:t>
            </w: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2088</w:t>
            </w: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m以下的全部水域。</w:t>
            </w:r>
          </w:p>
        </w:tc>
        <w:tc>
          <w:tcPr>
            <w:tcW w:w="1241" w:type="dxa"/>
            <w:vAlign w:val="center"/>
          </w:tcPr>
          <w:p>
            <w:pPr>
              <w:adjustRightInd w:val="0"/>
              <w:snapToGrid w:val="0"/>
              <w:jc w:val="center"/>
              <w:rPr>
                <w:rFonts w:ascii="Times New Roman" w:hAnsi="Times New Roman" w:eastAsia="仿宋" w:cs="Times New Roman"/>
                <w:snapToGrid w:val="0"/>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snapToGrid w:val="0"/>
                <w:color w:val="0D0D0D" w:themeColor="text1" w:themeTint="F2"/>
                <w:kern w:val="0"/>
                <w:sz w:val="24"/>
                <w:szCs w:val="24"/>
                <w14:textFill>
                  <w14:solidFill>
                    <w14:schemeClr w14:val="tx1">
                      <w14:lumMod w14:val="95000"/>
                      <w14:lumOff w14:val="5000"/>
                    </w14:schemeClr>
                  </w14:solidFill>
                </w14:textFill>
              </w:rPr>
              <w:t>0.0316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456" w:type="dxa"/>
            <w:vMerge w:val="continue"/>
            <w:vAlign w:val="center"/>
          </w:tcPr>
          <w:p>
            <w:pPr>
              <w:spacing w:line="400" w:lineRule="exact"/>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p>
        </w:tc>
        <w:tc>
          <w:tcPr>
            <w:tcW w:w="456" w:type="dxa"/>
            <w:vAlign w:val="center"/>
          </w:tcPr>
          <w:p>
            <w:pPr>
              <w:adjustRightInd w:val="0"/>
              <w:snapToGrid w:val="0"/>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陆</w:t>
            </w:r>
          </w:p>
          <w:p>
            <w:pPr>
              <w:adjustRightInd w:val="0"/>
              <w:snapToGrid w:val="0"/>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域</w:t>
            </w:r>
          </w:p>
        </w:tc>
        <w:tc>
          <w:tcPr>
            <w:tcW w:w="5492" w:type="dxa"/>
            <w:vAlign w:val="center"/>
          </w:tcPr>
          <w:p>
            <w:pPr>
              <w:adjustRightInd w:val="0"/>
              <w:snapToGrid w:val="0"/>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6.2.2.1  小型和单一供水功能的湖泊、水库以及中小型水库为一级保护区水域外不小于200 m范围内的陆域，或一定高程线以下的陆域，但不超过流域分水岭范围。</w:t>
            </w:r>
          </w:p>
        </w:tc>
        <w:tc>
          <w:tcPr>
            <w:tcW w:w="2005" w:type="dxa"/>
            <w:vAlign w:val="center"/>
          </w:tcPr>
          <w:p>
            <w:pPr>
              <w:adjustRightInd w:val="0"/>
              <w:snapToGrid w:val="0"/>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流域分水岭范围内一级保护区外的其他区域</w:t>
            </w:r>
          </w:p>
        </w:tc>
        <w:tc>
          <w:tcPr>
            <w:tcW w:w="1241" w:type="dxa"/>
            <w:vAlign w:val="center"/>
          </w:tcPr>
          <w:p>
            <w:pPr>
              <w:adjustRightInd w:val="0"/>
              <w:snapToGrid w:val="0"/>
              <w:jc w:val="center"/>
              <w:rPr>
                <w:rFonts w:ascii="Times New Roman" w:hAnsi="Times New Roman" w:eastAsia="仿宋" w:cs="Times New Roman"/>
                <w:snapToGrid w:val="0"/>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snapToGrid w:val="0"/>
                <w:color w:val="0D0D0D" w:themeColor="text1" w:themeTint="F2"/>
                <w:kern w:val="0"/>
                <w:sz w:val="24"/>
                <w:szCs w:val="24"/>
                <w14:textFill>
                  <w14:solidFill>
                    <w14:schemeClr w14:val="tx1">
                      <w14:lumMod w14:val="95000"/>
                      <w14:lumOff w14:val="5000"/>
                    </w14:schemeClr>
                  </w14:solidFill>
                </w14:textFill>
              </w:rPr>
              <w:t>0.6963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8409" w:type="dxa"/>
            <w:gridSpan w:val="4"/>
            <w:vAlign w:val="center"/>
          </w:tcPr>
          <w:p>
            <w:pPr>
              <w:adjustRightInd w:val="0"/>
              <w:snapToGrid w:val="0"/>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小计</w:t>
            </w:r>
          </w:p>
        </w:tc>
        <w:tc>
          <w:tcPr>
            <w:tcW w:w="1241" w:type="dxa"/>
            <w:vAlign w:val="center"/>
          </w:tcPr>
          <w:p>
            <w:pPr>
              <w:adjustRightInd w:val="0"/>
              <w:snapToGrid w:val="0"/>
              <w:jc w:val="center"/>
              <w:rPr>
                <w:rFonts w:ascii="Times New Roman" w:hAnsi="Times New Roman" w:eastAsia="仿宋" w:cs="Times New Roman"/>
                <w:snapToGrid w:val="0"/>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snapToGrid w:val="0"/>
                <w:color w:val="0D0D0D" w:themeColor="text1" w:themeTint="F2"/>
                <w:kern w:val="0"/>
                <w:sz w:val="24"/>
                <w:szCs w:val="24"/>
                <w14:textFill>
                  <w14:solidFill>
                    <w14:schemeClr w14:val="tx1">
                      <w14:lumMod w14:val="95000"/>
                      <w14:lumOff w14:val="5000"/>
                    </w14:schemeClr>
                  </w14:solidFill>
                </w14:textFill>
              </w:rPr>
              <w:t>0.7279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8409" w:type="dxa"/>
            <w:gridSpan w:val="4"/>
            <w:vAlign w:val="center"/>
          </w:tcPr>
          <w:p>
            <w:pPr>
              <w:adjustRightInd w:val="0"/>
              <w:snapToGrid w:val="0"/>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合计</w:t>
            </w:r>
          </w:p>
        </w:tc>
        <w:tc>
          <w:tcPr>
            <w:tcW w:w="1241" w:type="dxa"/>
            <w:vAlign w:val="center"/>
          </w:tcPr>
          <w:p>
            <w:pPr>
              <w:adjustRightInd w:val="0"/>
              <w:snapToGrid w:val="0"/>
              <w:jc w:val="center"/>
              <w:rPr>
                <w:rFonts w:ascii="Times New Roman" w:hAnsi="Times New Roman" w:eastAsia="仿宋" w:cs="Times New Roman"/>
                <w:snapToGrid w:val="0"/>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snapToGrid w:val="0"/>
                <w:color w:val="0D0D0D" w:themeColor="text1" w:themeTint="F2"/>
                <w:kern w:val="0"/>
                <w:sz w:val="24"/>
                <w:szCs w:val="24"/>
                <w14:textFill>
                  <w14:solidFill>
                    <w14:schemeClr w14:val="tx1">
                      <w14:lumMod w14:val="95000"/>
                      <w14:lumOff w14:val="5000"/>
                    </w14:schemeClr>
                  </w14:solidFill>
                </w14:textFill>
              </w:rPr>
              <w:t>0.7279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650" w:type="dxa"/>
            <w:gridSpan w:val="5"/>
            <w:vAlign w:val="center"/>
          </w:tcPr>
          <w:p>
            <w:pPr>
              <w:adjustRightInd w:val="0"/>
              <w:snapToGrid w:val="0"/>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备注：水位线高程为1985国家高程基准，采用2000国家大地坐标系计算面积。</w:t>
            </w:r>
          </w:p>
        </w:tc>
      </w:tr>
    </w:tbl>
    <w:p>
      <w:pPr>
        <w:keepNext/>
        <w:keepLines/>
        <w:spacing w:before="260" w:after="260" w:line="416" w:lineRule="auto"/>
        <w:outlineLvl w:val="1"/>
        <w:rPr>
          <w:rFonts w:ascii="Times New Roman" w:hAnsi="Times New Roman" w:eastAsia="仿宋" w:cstheme="majorBidi"/>
          <w:b/>
          <w:bCs/>
          <w:color w:val="0D0D0D" w:themeColor="text1" w:themeTint="F2"/>
          <w:sz w:val="32"/>
          <w:szCs w:val="32"/>
          <w14:textFill>
            <w14:solidFill>
              <w14:schemeClr w14:val="tx1">
                <w14:lumMod w14:val="95000"/>
                <w14:lumOff w14:val="5000"/>
              </w14:schemeClr>
            </w14:solidFill>
          </w14:textFill>
        </w:rPr>
      </w:pPr>
      <w:bookmarkStart w:id="125" w:name="_Toc20409156"/>
      <w:bookmarkStart w:id="126" w:name="_Toc12621593"/>
      <w:bookmarkStart w:id="127" w:name="_Toc27522210"/>
      <w:r>
        <w:rPr>
          <w:rFonts w:ascii="Times New Roman" w:hAnsi="Times New Roman" w:eastAsia="仿宋" w:cstheme="majorBidi"/>
          <w:b/>
          <w:bCs/>
          <w:color w:val="0D0D0D" w:themeColor="text1" w:themeTint="F2"/>
          <w:sz w:val="32"/>
          <w:szCs w:val="32"/>
          <w14:textFill>
            <w14:solidFill>
              <w14:schemeClr w14:val="tx1">
                <w14:lumMod w14:val="95000"/>
                <w14:lumOff w14:val="5000"/>
              </w14:schemeClr>
            </w14:solidFill>
          </w14:textFill>
        </w:rPr>
        <w:t>3.</w:t>
      </w:r>
      <w:r>
        <w:rPr>
          <w:rFonts w:hint="eastAsia" w:ascii="Times New Roman" w:hAnsi="Times New Roman" w:eastAsia="仿宋" w:cstheme="majorBidi"/>
          <w:b/>
          <w:bCs/>
          <w:color w:val="0D0D0D" w:themeColor="text1" w:themeTint="F2"/>
          <w:sz w:val="32"/>
          <w:szCs w:val="32"/>
          <w14:textFill>
            <w14:solidFill>
              <w14:schemeClr w14:val="tx1">
                <w14:lumMod w14:val="95000"/>
                <w14:lumOff w14:val="5000"/>
              </w14:schemeClr>
            </w14:solidFill>
          </w14:textFill>
        </w:rPr>
        <w:t>3</w:t>
      </w:r>
      <w:r>
        <w:rPr>
          <w:rFonts w:ascii="Times New Roman" w:hAnsi="Times New Roman" w:eastAsia="仿宋" w:cstheme="majorBidi"/>
          <w:b/>
          <w:bCs/>
          <w:color w:val="0D0D0D" w:themeColor="text1" w:themeTint="F2"/>
          <w:sz w:val="32"/>
          <w:szCs w:val="32"/>
          <w14:textFill>
            <w14:solidFill>
              <w14:schemeClr w14:val="tx1">
                <w14:lumMod w14:val="95000"/>
                <w14:lumOff w14:val="5000"/>
              </w14:schemeClr>
            </w14:solidFill>
          </w14:textFill>
        </w:rPr>
        <w:t xml:space="preserve"> </w:t>
      </w:r>
      <w:r>
        <w:rPr>
          <w:rFonts w:hint="eastAsia" w:ascii="Times New Roman" w:hAnsi="Times New Roman" w:eastAsia="仿宋" w:cstheme="majorBidi"/>
          <w:b/>
          <w:bCs/>
          <w:color w:val="0D0D0D" w:themeColor="text1" w:themeTint="F2"/>
          <w:sz w:val="32"/>
          <w:szCs w:val="32"/>
          <w14:textFill>
            <w14:solidFill>
              <w14:schemeClr w14:val="tx1">
                <w14:lumMod w14:val="95000"/>
                <w14:lumOff w14:val="5000"/>
              </w14:schemeClr>
            </w14:solidFill>
          </w14:textFill>
        </w:rPr>
        <w:t>保护区定界的</w:t>
      </w:r>
      <w:bookmarkEnd w:id="125"/>
      <w:bookmarkEnd w:id="126"/>
      <w:r>
        <w:rPr>
          <w:rFonts w:hint="eastAsia" w:ascii="Times New Roman" w:hAnsi="Times New Roman" w:eastAsia="仿宋" w:cstheme="majorBidi"/>
          <w:b/>
          <w:bCs/>
          <w:color w:val="0D0D0D" w:themeColor="text1" w:themeTint="F2"/>
          <w:sz w:val="32"/>
          <w:szCs w:val="32"/>
          <w14:textFill>
            <w14:solidFill>
              <w14:schemeClr w14:val="tx1">
                <w14:lumMod w14:val="95000"/>
                <w14:lumOff w14:val="5000"/>
              </w14:schemeClr>
            </w14:solidFill>
          </w14:textFill>
        </w:rPr>
        <w:t>依据</w:t>
      </w:r>
      <w:bookmarkEnd w:id="127"/>
    </w:p>
    <w:p>
      <w:pPr>
        <w:adjustRightInd w:val="0"/>
        <w:snapToGrid w:val="0"/>
        <w:spacing w:line="360" w:lineRule="auto"/>
        <w:ind w:firstLine="560" w:firstLineChars="200"/>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pP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（1）为便于开展日常环境管理工作，依据保护区划分的分析、计算结果，结合水源保护区的地形、地标、地物特点，最终确定各级保护区的界线。</w:t>
      </w:r>
    </w:p>
    <w:p>
      <w:pPr>
        <w:adjustRightInd w:val="0"/>
        <w:snapToGrid w:val="0"/>
        <w:spacing w:line="360" w:lineRule="auto"/>
        <w:ind w:firstLine="560" w:firstLineChars="200"/>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pP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（2）充分利用具有永久性的明显标志如水分线、行政区界线、公路、铁路、桥梁、大型建筑物、水库大坝、水工建筑物、河流汊口、输电线、通讯线等标示保护区界线。</w:t>
      </w:r>
    </w:p>
    <w:p>
      <w:pPr>
        <w:adjustRightInd w:val="0"/>
        <w:snapToGrid w:val="0"/>
        <w:spacing w:line="360" w:lineRule="auto"/>
        <w:ind w:firstLine="560" w:firstLineChars="200"/>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pP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（3）最终确定的各级保护区坐标红线图、表，作为政府部门审批的依据，也作为规划国土、环保部门土地开发审批的依据。</w:t>
      </w:r>
    </w:p>
    <w:p>
      <w:pPr>
        <w:adjustRightInd w:val="0"/>
        <w:snapToGrid w:val="0"/>
        <w:spacing w:line="360" w:lineRule="auto"/>
        <w:ind w:firstLine="560" w:firstLineChars="200"/>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pP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（4）应按照国家规定设置饮用水水源地保护标志。</w:t>
      </w:r>
    </w:p>
    <w:p>
      <w:pPr>
        <w:rPr>
          <w:rFonts w:ascii="Times New Roman" w:hAnsi="Times New Roman" w:eastAsia="仿宋" w:cs="Times New Roman"/>
          <w:b/>
          <w:color w:val="0D0D0D" w:themeColor="text1" w:themeTint="F2"/>
          <w:sz w:val="36"/>
          <w:szCs w:val="36"/>
          <w14:textFill>
            <w14:solidFill>
              <w14:schemeClr w14:val="tx1">
                <w14:lumMod w14:val="95000"/>
                <w14:lumOff w14:val="5000"/>
              </w14:schemeClr>
            </w14:solidFill>
          </w14:textFill>
        </w:rPr>
        <w:sectPr>
          <w:pgSz w:w="11906" w:h="16838"/>
          <w:pgMar w:top="1440" w:right="1236" w:bottom="1440" w:left="1236" w:header="851" w:footer="992" w:gutter="0"/>
          <w:pgNumType w:fmt="numberInDash"/>
          <w:cols w:space="0" w:num="1"/>
          <w:docGrid w:type="lines" w:linePitch="312" w:charSpace="0"/>
        </w:sectPr>
      </w:pPr>
      <w:bookmarkStart w:id="128" w:name="_Toc12621607"/>
      <w:bookmarkStart w:id="129" w:name="_Toc20409172"/>
    </w:p>
    <w:p>
      <w:pPr>
        <w:widowControl/>
        <w:snapToGrid w:val="0"/>
        <w:spacing w:line="360" w:lineRule="auto"/>
        <w:jc w:val="center"/>
        <w:outlineLvl w:val="0"/>
        <w:rPr>
          <w:rFonts w:ascii="Times New Roman" w:hAnsi="Times New Roman" w:eastAsia="仿宋" w:cs="Times New Roman"/>
          <w:b/>
          <w:color w:val="0D0D0D" w:themeColor="text1" w:themeTint="F2"/>
          <w:sz w:val="36"/>
          <w:szCs w:val="36"/>
          <w14:textFill>
            <w14:solidFill>
              <w14:schemeClr w14:val="tx1">
                <w14:lumMod w14:val="95000"/>
                <w14:lumOff w14:val="5000"/>
              </w14:schemeClr>
            </w14:solidFill>
          </w14:textFill>
        </w:rPr>
      </w:pPr>
      <w:bookmarkStart w:id="130" w:name="_Toc12621597"/>
      <w:bookmarkStart w:id="131" w:name="_Toc25844364"/>
      <w:bookmarkStart w:id="132" w:name="_Toc27522211"/>
      <w:r>
        <w:rPr>
          <w:rFonts w:hint="eastAsia" w:ascii="Times New Roman" w:hAnsi="Times New Roman" w:eastAsia="仿宋" w:cs="Times New Roman"/>
          <w:b/>
          <w:color w:val="0D0D0D" w:themeColor="text1" w:themeTint="F2"/>
          <w:sz w:val="36"/>
          <w:szCs w:val="36"/>
          <w14:textFill>
            <w14:solidFill>
              <w14:schemeClr w14:val="tx1">
                <w14:lumMod w14:val="95000"/>
                <w14:lumOff w14:val="5000"/>
              </w14:schemeClr>
            </w14:solidFill>
          </w14:textFill>
        </w:rPr>
        <w:t>第四章</w:t>
      </w:r>
      <w:r>
        <w:rPr>
          <w:rFonts w:ascii="Times New Roman" w:hAnsi="Times New Roman" w:eastAsia="仿宋" w:cs="Times New Roman"/>
          <w:b/>
          <w:color w:val="0D0D0D" w:themeColor="text1" w:themeTint="F2"/>
          <w:sz w:val="36"/>
          <w:szCs w:val="36"/>
          <w14:textFill>
            <w14:solidFill>
              <w14:schemeClr w14:val="tx1">
                <w14:lumMod w14:val="95000"/>
                <w14:lumOff w14:val="5000"/>
              </w14:schemeClr>
            </w14:solidFill>
          </w14:textFill>
        </w:rPr>
        <w:t xml:space="preserve"> </w:t>
      </w:r>
      <w:r>
        <w:rPr>
          <w:rFonts w:hint="eastAsia" w:ascii="Times New Roman" w:hAnsi="Times New Roman" w:eastAsia="仿宋" w:cs="Times New Roman"/>
          <w:b/>
          <w:color w:val="0D0D0D" w:themeColor="text1" w:themeTint="F2"/>
          <w:sz w:val="36"/>
          <w:szCs w:val="36"/>
          <w14:textFill>
            <w14:solidFill>
              <w14:schemeClr w14:val="tx1">
                <w14:lumMod w14:val="95000"/>
                <w14:lumOff w14:val="5000"/>
              </w14:schemeClr>
            </w14:solidFill>
          </w14:textFill>
        </w:rPr>
        <w:t>饮用水水源</w:t>
      </w:r>
      <w:r>
        <w:rPr>
          <w:rFonts w:ascii="Times New Roman" w:hAnsi="Times New Roman" w:eastAsia="仿宋" w:cs="Times New Roman"/>
          <w:b/>
          <w:color w:val="0D0D0D" w:themeColor="text1" w:themeTint="F2"/>
          <w:sz w:val="36"/>
          <w:szCs w:val="36"/>
          <w14:textFill>
            <w14:solidFill>
              <w14:schemeClr w14:val="tx1">
                <w14:lumMod w14:val="95000"/>
                <w14:lumOff w14:val="5000"/>
              </w14:schemeClr>
            </w14:solidFill>
          </w14:textFill>
        </w:rPr>
        <w:t>保护区</w:t>
      </w:r>
      <w:r>
        <w:rPr>
          <w:rFonts w:hint="eastAsia" w:ascii="Times New Roman" w:hAnsi="Times New Roman" w:eastAsia="仿宋" w:cs="Times New Roman"/>
          <w:b/>
          <w:color w:val="0D0D0D" w:themeColor="text1" w:themeTint="F2"/>
          <w:sz w:val="36"/>
          <w:szCs w:val="36"/>
          <w14:textFill>
            <w14:solidFill>
              <w14:schemeClr w14:val="tx1">
                <w14:lumMod w14:val="95000"/>
                <w14:lumOff w14:val="5000"/>
              </w14:schemeClr>
            </w14:solidFill>
          </w14:textFill>
        </w:rPr>
        <w:t>建设投资估算</w:t>
      </w:r>
      <w:bookmarkEnd w:id="130"/>
      <w:bookmarkEnd w:id="131"/>
      <w:bookmarkEnd w:id="132"/>
    </w:p>
    <w:p>
      <w:pPr>
        <w:pStyle w:val="3"/>
        <w:rPr>
          <w:color w:val="0D0D0D" w:themeColor="text1" w:themeTint="F2"/>
          <w14:textFill>
            <w14:solidFill>
              <w14:schemeClr w14:val="tx1">
                <w14:lumMod w14:val="95000"/>
                <w14:lumOff w14:val="5000"/>
              </w14:schemeClr>
            </w14:solidFill>
          </w14:textFill>
        </w:rPr>
      </w:pPr>
      <w:bookmarkStart w:id="133" w:name="_Toc12621598"/>
      <w:bookmarkStart w:id="134" w:name="_Toc25844365"/>
      <w:bookmarkStart w:id="135" w:name="_Toc27522212"/>
      <w:bookmarkStart w:id="136" w:name="_Toc12536221"/>
      <w:r>
        <w:rPr>
          <w:rFonts w:hint="eastAsia"/>
          <w:color w:val="0D0D0D" w:themeColor="text1" w:themeTint="F2"/>
          <w14:textFill>
            <w14:solidFill>
              <w14:schemeClr w14:val="tx1">
                <w14:lumMod w14:val="95000"/>
                <w14:lumOff w14:val="5000"/>
              </w14:schemeClr>
            </w14:solidFill>
          </w14:textFill>
        </w:rPr>
        <w:t>4</w:t>
      </w:r>
      <w:r>
        <w:rPr>
          <w:color w:val="0D0D0D" w:themeColor="text1" w:themeTint="F2"/>
          <w14:textFill>
            <w14:solidFill>
              <w14:schemeClr w14:val="tx1">
                <w14:lumMod w14:val="95000"/>
                <w14:lumOff w14:val="5000"/>
              </w14:schemeClr>
            </w14:solidFill>
          </w14:textFill>
        </w:rPr>
        <w:t>.1</w:t>
      </w:r>
      <w:r>
        <w:rPr>
          <w:rFonts w:hint="eastAsia"/>
          <w:color w:val="0D0D0D" w:themeColor="text1" w:themeTint="F2"/>
          <w14:textFill>
            <w14:solidFill>
              <w14:schemeClr w14:val="tx1">
                <w14:lumMod w14:val="95000"/>
                <w14:lumOff w14:val="5000"/>
              </w14:schemeClr>
            </w14:solidFill>
          </w14:textFill>
        </w:rPr>
        <w:t xml:space="preserve"> 保护区规范化建设项目投资估算</w:t>
      </w:r>
      <w:bookmarkEnd w:id="133"/>
      <w:bookmarkEnd w:id="134"/>
      <w:bookmarkEnd w:id="135"/>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依据《集中式饮用水水源地规范化建设环境保护技术要求》（H</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J773-2015</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），结合亦佐水库水源保护区规范化建设及管理现状、存在问题分析，针对亦佐水库保护区提出规范化建设项目。</w:t>
      </w:r>
      <w:bookmarkStart w:id="137" w:name="_Toc524596456"/>
    </w:p>
    <w:bookmarkEnd w:id="137"/>
    <w:p>
      <w:pPr>
        <w:pStyle w:val="4"/>
        <w:spacing w:before="120" w:after="120" w:line="415" w:lineRule="auto"/>
        <w:rPr>
          <w:color w:val="0D0D0D" w:themeColor="text1" w:themeTint="F2"/>
          <w:sz w:val="28"/>
          <w:szCs w:val="28"/>
          <w14:textFill>
            <w14:solidFill>
              <w14:schemeClr w14:val="tx1">
                <w14:lumMod w14:val="95000"/>
                <w14:lumOff w14:val="5000"/>
              </w14:schemeClr>
            </w14:solidFill>
          </w14:textFill>
        </w:rPr>
      </w:pPr>
      <w:bookmarkStart w:id="138" w:name="_Toc17982536"/>
      <w:bookmarkStart w:id="139" w:name="_Toc25844366"/>
      <w:bookmarkStart w:id="140" w:name="_Toc27522213"/>
      <w:r>
        <w:rPr>
          <w:rFonts w:hint="eastAsia"/>
          <w:color w:val="0D0D0D" w:themeColor="text1" w:themeTint="F2"/>
          <w:sz w:val="28"/>
          <w:szCs w:val="28"/>
          <w14:textFill>
            <w14:solidFill>
              <w14:schemeClr w14:val="tx1">
                <w14:lumMod w14:val="95000"/>
                <w14:lumOff w14:val="5000"/>
              </w14:schemeClr>
            </w14:solidFill>
          </w14:textFill>
        </w:rPr>
        <w:t>4.1.1 保护区范围划定工程</w:t>
      </w:r>
      <w:bookmarkEnd w:id="138"/>
      <w:bookmarkEnd w:id="139"/>
      <w:bookmarkEnd w:id="140"/>
    </w:p>
    <w:p>
      <w:pPr>
        <w:widowControl/>
        <w:adjustRightInd w:val="0"/>
        <w:snapToGrid w:val="0"/>
        <w:spacing w:line="360" w:lineRule="auto"/>
        <w:ind w:firstLine="560"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根据保护区建设要求，饮用水水源保护区应依据</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《饮用水水源保护区标志技术要求》（HJT433-2008）</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设置</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界桩</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、交通警示牌、宣传牌等标识，在一级保护区周边人类活动频繁区域设置隔离防护设施。</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亦佐水库</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应根据划定的保护区范围设置标识、建设隔离防护设施。</w:t>
      </w:r>
    </w:p>
    <w:p>
      <w:pPr>
        <w:adjustRightInd w:val="0"/>
        <w:snapToGrid w:val="0"/>
        <w:spacing w:line="360" w:lineRule="auto"/>
        <w:ind w:firstLine="561"/>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pPr>
      <w:bookmarkStart w:id="141" w:name="_Toc452322606"/>
      <w:bookmarkStart w:id="142" w:name="_Toc478742845"/>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（1）</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一级保护区围网</w:t>
      </w:r>
      <w:bookmarkEnd w:id="141"/>
      <w:bookmarkEnd w:id="142"/>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工程</w:t>
      </w:r>
    </w:p>
    <w:p>
      <w:pPr>
        <w:adjustRightInd w:val="0"/>
        <w:snapToGrid w:val="0"/>
        <w:spacing w:line="360" w:lineRule="auto"/>
        <w:ind w:firstLine="561"/>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亦佐水库一级保护区陆域边界长3755m，根据水库周边林地分布及道路情况，主要沿水库大坝及水库北侧道路设置围网，需设围网的边界长约690m。</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围网高1.8m，每3m设置一个立柱，单价以200元/m计（包含制作费、运输费和施工等），总投资约</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13.80</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万元。</w:t>
      </w:r>
    </w:p>
    <w:p>
      <w:pPr>
        <w:adjustRightInd w:val="0"/>
        <w:snapToGrid w:val="0"/>
        <w:spacing w:line="360" w:lineRule="auto"/>
        <w:ind w:firstLine="561"/>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（2）</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一级保护区</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界桩</w:t>
      </w:r>
    </w:p>
    <w:p>
      <w:pPr>
        <w:adjustRightInd w:val="0"/>
        <w:snapToGrid w:val="0"/>
        <w:spacing w:line="360" w:lineRule="auto"/>
        <w:ind w:firstLine="561"/>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亦佐水库一级保护区陆域边界长约3755m，陆域边界主要经过林地、耕地，隔离防护围网已沿水库道路人类活动的区域设置，在一级保护区陆域边界设置界桩，以明确一级保护区范围。界桩</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采用50cm×25cm×10cm的水泥混凝土</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界桩</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，单价以500元/个（包含</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测绘、</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制作费、运输费和埋设费等）计</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。经测算，亦佐水库一级保护区边界长3755</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m</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，共设拐点20个，需投资1.00万元。</w:t>
      </w:r>
    </w:p>
    <w:p>
      <w:pPr>
        <w:adjustRightInd w:val="0"/>
        <w:snapToGrid w:val="0"/>
        <w:spacing w:line="360" w:lineRule="auto"/>
        <w:ind w:firstLine="561"/>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（3）</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交通警示牌、宣传牌</w:t>
      </w:r>
    </w:p>
    <w:p>
      <w:pPr>
        <w:adjustRightInd w:val="0"/>
        <w:snapToGrid w:val="0"/>
        <w:spacing w:line="360" w:lineRule="auto"/>
        <w:ind w:firstLine="561"/>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在进出亦佐水库保护区的道路沿线设置交通警示牌，共计4块；同时，为加强宣传保护，在保护区内进出道路口及水库保护区外南侧马白勒村设置水源保护宣传牌，共计2块。</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交通警示牌、宣传牌依据《饮用水水源保护区标志技术要求》（HJ/T433-2008）设置</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交通警示牌0.5万元/个，宣传牌0.5万元/个。</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设置1块水库大坝告示碑，钢筋混凝土，200cm×50cm×250cm，估价2万元/座。</w:t>
      </w:r>
    </w:p>
    <w:p>
      <w:pPr>
        <w:adjustRightInd w:val="0"/>
        <w:snapToGrid w:val="0"/>
        <w:spacing w:line="360" w:lineRule="auto"/>
        <w:ind w:firstLine="561"/>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亦佐水库饮用水源保护区边界及</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标志标牌投资估算见表</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4.1</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-1。</w:t>
      </w:r>
    </w:p>
    <w:p>
      <w:pPr>
        <w:spacing w:line="360" w:lineRule="auto"/>
        <w:jc w:val="cente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表</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4.1</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 xml:space="preserve">-1  </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亦佐水库饮用水源保护区边界及</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标志标牌投资估算表</w:t>
      </w:r>
    </w:p>
    <w:tbl>
      <w:tblPr>
        <w:tblStyle w:val="44"/>
        <w:tblW w:w="9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1"/>
        <w:gridCol w:w="2538"/>
        <w:gridCol w:w="1334"/>
        <w:gridCol w:w="1399"/>
        <w:gridCol w:w="1822"/>
        <w:gridCol w:w="1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blHeader/>
        </w:trPr>
        <w:tc>
          <w:tcPr>
            <w:tcW w:w="1221" w:type="dxa"/>
            <w:shd w:val="clear" w:color="auto" w:fill="D9D9D9"/>
            <w:noWrap/>
            <w:vAlign w:val="center"/>
          </w:tcPr>
          <w:p>
            <w:pPr>
              <w:widowControl/>
              <w:snapToGrid w:val="0"/>
              <w:jc w:val="cente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b/>
                <w:bCs/>
                <w:color w:val="0D0D0D" w:themeColor="text1" w:themeTint="F2"/>
                <w:sz w:val="24"/>
                <w:szCs w:val="24"/>
                <w14:textFill>
                  <w14:solidFill>
                    <w14:schemeClr w14:val="tx1">
                      <w14:lumMod w14:val="95000"/>
                      <w14:lumOff w14:val="5000"/>
                    </w14:schemeClr>
                  </w14:solidFill>
                </w14:textFill>
              </w:rPr>
              <w:t>水库</w:t>
            </w:r>
          </w:p>
        </w:tc>
        <w:tc>
          <w:tcPr>
            <w:tcW w:w="2538" w:type="dxa"/>
            <w:shd w:val="clear" w:color="auto" w:fill="D9D9D9"/>
            <w:vAlign w:val="center"/>
          </w:tcPr>
          <w:p>
            <w:pPr>
              <w:widowControl/>
              <w:snapToGrid w:val="0"/>
              <w:jc w:val="cente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b/>
                <w:bCs/>
                <w:color w:val="0D0D0D" w:themeColor="text1" w:themeTint="F2"/>
                <w:sz w:val="24"/>
                <w:szCs w:val="24"/>
                <w14:textFill>
                  <w14:solidFill>
                    <w14:schemeClr w14:val="tx1">
                      <w14:lumMod w14:val="95000"/>
                      <w14:lumOff w14:val="5000"/>
                    </w14:schemeClr>
                  </w14:solidFill>
                </w14:textFill>
              </w:rPr>
              <w:t>工程内容</w:t>
            </w:r>
          </w:p>
        </w:tc>
        <w:tc>
          <w:tcPr>
            <w:tcW w:w="1334" w:type="dxa"/>
            <w:shd w:val="clear" w:color="auto" w:fill="D9D9D9"/>
            <w:noWrap/>
            <w:vAlign w:val="center"/>
          </w:tcPr>
          <w:p>
            <w:pPr>
              <w:widowControl/>
              <w:snapToGrid w:val="0"/>
              <w:jc w:val="cente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t>边界长</w:t>
            </w:r>
          </w:p>
          <w:p>
            <w:pPr>
              <w:snapToGrid w:val="0"/>
              <w:jc w:val="cente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b/>
                <w:bCs/>
                <w:color w:val="0D0D0D" w:themeColor="text1" w:themeTint="F2"/>
                <w:sz w:val="24"/>
                <w:szCs w:val="24"/>
                <w14:textFill>
                  <w14:solidFill>
                    <w14:schemeClr w14:val="tx1">
                      <w14:lumMod w14:val="95000"/>
                      <w14:lumOff w14:val="5000"/>
                    </w14:schemeClr>
                  </w14:solidFill>
                </w14:textFill>
              </w:rPr>
              <w:t>（</w:t>
            </w:r>
            <w: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t>m</w:t>
            </w:r>
            <w:r>
              <w:rPr>
                <w:rFonts w:hint="eastAsia" w:ascii="Times New Roman" w:hAnsi="Times New Roman" w:eastAsia="仿宋"/>
                <w:b/>
                <w:bCs/>
                <w:color w:val="0D0D0D" w:themeColor="text1" w:themeTint="F2"/>
                <w:sz w:val="24"/>
                <w:szCs w:val="24"/>
                <w14:textFill>
                  <w14:solidFill>
                    <w14:schemeClr w14:val="tx1">
                      <w14:lumMod w14:val="95000"/>
                      <w14:lumOff w14:val="5000"/>
                    </w14:schemeClr>
                  </w14:solidFill>
                </w14:textFill>
              </w:rPr>
              <w:t>）</w:t>
            </w:r>
          </w:p>
        </w:tc>
        <w:tc>
          <w:tcPr>
            <w:tcW w:w="1399" w:type="dxa"/>
            <w:shd w:val="clear" w:color="auto" w:fill="D9D9D9"/>
            <w:noWrap/>
            <w:vAlign w:val="center"/>
          </w:tcPr>
          <w:p>
            <w:pPr>
              <w:widowControl/>
              <w:snapToGrid w:val="0"/>
              <w:jc w:val="cente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b/>
                <w:bCs/>
                <w:color w:val="0D0D0D" w:themeColor="text1" w:themeTint="F2"/>
                <w:sz w:val="24"/>
                <w:szCs w:val="24"/>
                <w14:textFill>
                  <w14:solidFill>
                    <w14:schemeClr w14:val="tx1">
                      <w14:lumMod w14:val="95000"/>
                      <w14:lumOff w14:val="5000"/>
                    </w14:schemeClr>
                  </w14:solidFill>
                </w14:textFill>
              </w:rPr>
              <w:t>工程数量</w:t>
            </w:r>
          </w:p>
        </w:tc>
        <w:tc>
          <w:tcPr>
            <w:tcW w:w="1822" w:type="dxa"/>
            <w:shd w:val="clear" w:color="auto" w:fill="D9D9D9"/>
            <w:vAlign w:val="center"/>
          </w:tcPr>
          <w:p>
            <w:pPr>
              <w:widowControl/>
              <w:snapToGrid w:val="0"/>
              <w:jc w:val="cente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t>单价</w:t>
            </w:r>
          </w:p>
        </w:tc>
        <w:tc>
          <w:tcPr>
            <w:tcW w:w="1336" w:type="dxa"/>
            <w:shd w:val="clear" w:color="auto" w:fill="D9D9D9"/>
            <w:noWrap/>
            <w:vAlign w:val="center"/>
          </w:tcPr>
          <w:p>
            <w:pPr>
              <w:widowControl/>
              <w:snapToGrid w:val="0"/>
              <w:jc w:val="cente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t>投资</w:t>
            </w:r>
          </w:p>
          <w:p>
            <w:pPr>
              <w:snapToGrid w:val="0"/>
              <w:jc w:val="cente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b/>
                <w:bCs/>
                <w:color w:val="0D0D0D" w:themeColor="text1" w:themeTint="F2"/>
                <w:sz w:val="24"/>
                <w:szCs w:val="24"/>
                <w14:textFill>
                  <w14:solidFill>
                    <w14:schemeClr w14:val="tx1">
                      <w14:lumMod w14:val="95000"/>
                      <w14:lumOff w14:val="5000"/>
                    </w14:schemeClr>
                  </w14:solidFill>
                </w14:textFill>
              </w:rPr>
              <w:t>（</w:t>
            </w:r>
            <w: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t>万元</w:t>
            </w:r>
            <w:r>
              <w:rPr>
                <w:rFonts w:hint="eastAsia" w:ascii="Times New Roman" w:hAnsi="Times New Roman" w:eastAsia="仿宋"/>
                <w:b/>
                <w:bCs/>
                <w:color w:val="0D0D0D" w:themeColor="text1" w:themeTint="F2"/>
                <w:sz w:val="24"/>
                <w:szCs w:val="24"/>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21" w:type="dxa"/>
            <w:vMerge w:val="restart"/>
            <w:shd w:val="clear" w:color="auto" w:fill="auto"/>
            <w:vAlign w:val="center"/>
          </w:tcPr>
          <w:p>
            <w:pPr>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亦佐</w:t>
            </w:r>
          </w:p>
          <w:p>
            <w:pPr>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水库</w:t>
            </w:r>
          </w:p>
        </w:tc>
        <w:tc>
          <w:tcPr>
            <w:tcW w:w="2538" w:type="dxa"/>
            <w:vAlign w:val="center"/>
          </w:tcPr>
          <w:p>
            <w:pPr>
              <w:widowControl/>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一级保护区围网</w:t>
            </w:r>
          </w:p>
        </w:tc>
        <w:tc>
          <w:tcPr>
            <w:tcW w:w="1334" w:type="dxa"/>
            <w:shd w:val="clear" w:color="auto" w:fill="auto"/>
            <w:vAlign w:val="center"/>
          </w:tcPr>
          <w:p>
            <w:pPr>
              <w:widowControl/>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3755</w:t>
            </w:r>
          </w:p>
        </w:tc>
        <w:tc>
          <w:tcPr>
            <w:tcW w:w="1399" w:type="dxa"/>
            <w:shd w:val="clear" w:color="auto" w:fill="auto"/>
            <w:noWrap/>
            <w:vAlign w:val="center"/>
          </w:tcPr>
          <w:p>
            <w:pPr>
              <w:widowControl/>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690m</w:t>
            </w:r>
          </w:p>
        </w:tc>
        <w:tc>
          <w:tcPr>
            <w:tcW w:w="1822" w:type="dxa"/>
            <w:vAlign w:val="center"/>
          </w:tcPr>
          <w:p>
            <w:pPr>
              <w:widowControl/>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0.02万元/</w:t>
            </w: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m</w:t>
            </w:r>
          </w:p>
        </w:tc>
        <w:tc>
          <w:tcPr>
            <w:tcW w:w="1336" w:type="dxa"/>
            <w:shd w:val="clear" w:color="auto" w:fill="auto"/>
            <w:noWrap/>
            <w:vAlign w:val="center"/>
          </w:tcPr>
          <w:p>
            <w:pPr>
              <w:widowControl/>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13.80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21" w:type="dxa"/>
            <w:vMerge w:val="continue"/>
            <w:shd w:val="clear" w:color="auto" w:fill="auto"/>
            <w:vAlign w:val="center"/>
          </w:tcPr>
          <w:p>
            <w:pPr>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c>
          <w:tcPr>
            <w:tcW w:w="2538" w:type="dxa"/>
            <w:vAlign w:val="center"/>
          </w:tcPr>
          <w:p>
            <w:pPr>
              <w:widowControl/>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一</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级保护区</w:t>
            </w: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界桩</w:t>
            </w:r>
          </w:p>
        </w:tc>
        <w:tc>
          <w:tcPr>
            <w:tcW w:w="1334" w:type="dxa"/>
            <w:shd w:val="clear" w:color="auto" w:fill="auto"/>
            <w:vAlign w:val="center"/>
          </w:tcPr>
          <w:p>
            <w:pPr>
              <w:widowControl/>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3755</w:t>
            </w:r>
          </w:p>
        </w:tc>
        <w:tc>
          <w:tcPr>
            <w:tcW w:w="1399" w:type="dxa"/>
            <w:shd w:val="clear" w:color="auto" w:fill="auto"/>
            <w:noWrap/>
            <w:vAlign w:val="center"/>
          </w:tcPr>
          <w:p>
            <w:pPr>
              <w:widowControl/>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20个</w:t>
            </w:r>
          </w:p>
        </w:tc>
        <w:tc>
          <w:tcPr>
            <w:tcW w:w="1822" w:type="dxa"/>
            <w:vAlign w:val="center"/>
          </w:tcPr>
          <w:p>
            <w:pPr>
              <w:widowControl/>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0.05</w:t>
            </w:r>
            <w:r>
              <w:rPr>
                <w:rFonts w:ascii="Times New Roman" w:hAnsi="Times New Roman" w:eastAsia="仿宋"/>
                <w:bCs/>
                <w:color w:val="0D0D0D" w:themeColor="text1" w:themeTint="F2"/>
                <w:sz w:val="24"/>
                <w:szCs w:val="24"/>
                <w14:textFill>
                  <w14:solidFill>
                    <w14:schemeClr w14:val="tx1">
                      <w14:lumMod w14:val="95000"/>
                      <w14:lumOff w14:val="5000"/>
                    </w14:schemeClr>
                  </w14:solidFill>
                </w14:textFill>
              </w:rPr>
              <w:t>万元/个</w:t>
            </w:r>
          </w:p>
        </w:tc>
        <w:tc>
          <w:tcPr>
            <w:tcW w:w="1336" w:type="dxa"/>
            <w:shd w:val="clear" w:color="auto" w:fill="auto"/>
            <w:noWrap/>
            <w:vAlign w:val="center"/>
          </w:tcPr>
          <w:p>
            <w:pPr>
              <w:widowControl/>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21" w:type="dxa"/>
            <w:vMerge w:val="continue"/>
            <w:shd w:val="clear" w:color="auto" w:fill="auto"/>
            <w:vAlign w:val="center"/>
          </w:tcPr>
          <w:p>
            <w:pPr>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c>
          <w:tcPr>
            <w:tcW w:w="2538" w:type="dxa"/>
            <w:vAlign w:val="center"/>
          </w:tcPr>
          <w:p>
            <w:pPr>
              <w:widowControl/>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交通警示牌</w:t>
            </w:r>
          </w:p>
        </w:tc>
        <w:tc>
          <w:tcPr>
            <w:tcW w:w="1334" w:type="dxa"/>
            <w:shd w:val="clear" w:color="auto" w:fill="auto"/>
            <w:vAlign w:val="center"/>
          </w:tcPr>
          <w:p>
            <w:pPr>
              <w:widowControl/>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c>
          <w:tcPr>
            <w:tcW w:w="1399" w:type="dxa"/>
            <w:shd w:val="clear" w:color="auto" w:fill="auto"/>
            <w:noWrap/>
            <w:vAlign w:val="center"/>
          </w:tcPr>
          <w:p>
            <w:pPr>
              <w:widowControl/>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4块</w:t>
            </w:r>
          </w:p>
        </w:tc>
        <w:tc>
          <w:tcPr>
            <w:tcW w:w="1822" w:type="dxa"/>
            <w:vAlign w:val="center"/>
          </w:tcPr>
          <w:p>
            <w:pPr>
              <w:widowControl/>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.5</w:t>
            </w: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万元/块</w:t>
            </w:r>
          </w:p>
        </w:tc>
        <w:tc>
          <w:tcPr>
            <w:tcW w:w="1336" w:type="dxa"/>
            <w:shd w:val="clear" w:color="auto" w:fill="auto"/>
            <w:noWrap/>
            <w:vAlign w:val="center"/>
          </w:tcPr>
          <w:p>
            <w:pPr>
              <w:widowControl/>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21" w:type="dxa"/>
            <w:vMerge w:val="continue"/>
            <w:shd w:val="clear" w:color="auto" w:fill="auto"/>
            <w:vAlign w:val="center"/>
          </w:tcPr>
          <w:p>
            <w:pPr>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c>
          <w:tcPr>
            <w:tcW w:w="2538" w:type="dxa"/>
            <w:vAlign w:val="center"/>
          </w:tcPr>
          <w:p>
            <w:pPr>
              <w:widowControl/>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宣传牌</w:t>
            </w:r>
          </w:p>
        </w:tc>
        <w:tc>
          <w:tcPr>
            <w:tcW w:w="1334" w:type="dxa"/>
            <w:shd w:val="clear" w:color="auto" w:fill="auto"/>
            <w:vAlign w:val="center"/>
          </w:tcPr>
          <w:p>
            <w:pPr>
              <w:widowControl/>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c>
          <w:tcPr>
            <w:tcW w:w="1399" w:type="dxa"/>
            <w:shd w:val="clear" w:color="auto" w:fill="auto"/>
            <w:noWrap/>
            <w:vAlign w:val="center"/>
          </w:tcPr>
          <w:p>
            <w:pPr>
              <w:widowControl/>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2块</w:t>
            </w:r>
          </w:p>
        </w:tc>
        <w:tc>
          <w:tcPr>
            <w:tcW w:w="1822" w:type="dxa"/>
            <w:vAlign w:val="center"/>
          </w:tcPr>
          <w:p>
            <w:pPr>
              <w:widowControl/>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.5</w:t>
            </w: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万元/块</w:t>
            </w:r>
          </w:p>
        </w:tc>
        <w:tc>
          <w:tcPr>
            <w:tcW w:w="1336" w:type="dxa"/>
            <w:shd w:val="clear" w:color="auto" w:fill="auto"/>
            <w:noWrap/>
            <w:vAlign w:val="center"/>
          </w:tcPr>
          <w:p>
            <w:pPr>
              <w:widowControl/>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21" w:type="dxa"/>
            <w:vMerge w:val="continue"/>
            <w:shd w:val="clear" w:color="auto" w:fill="auto"/>
            <w:vAlign w:val="center"/>
          </w:tcPr>
          <w:p>
            <w:pPr>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c>
          <w:tcPr>
            <w:tcW w:w="2538" w:type="dxa"/>
            <w:vAlign w:val="center"/>
          </w:tcPr>
          <w:p>
            <w:pPr>
              <w:widowControl/>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大坝告示牌</w:t>
            </w:r>
          </w:p>
        </w:tc>
        <w:tc>
          <w:tcPr>
            <w:tcW w:w="1334" w:type="dxa"/>
            <w:shd w:val="clear" w:color="auto" w:fill="auto"/>
            <w:vAlign w:val="center"/>
          </w:tcPr>
          <w:p>
            <w:pPr>
              <w:widowControl/>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c>
          <w:tcPr>
            <w:tcW w:w="1399" w:type="dxa"/>
            <w:shd w:val="clear" w:color="auto" w:fill="auto"/>
            <w:noWrap/>
            <w:vAlign w:val="center"/>
          </w:tcPr>
          <w:p>
            <w:pPr>
              <w:widowControl/>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1块</w:t>
            </w:r>
          </w:p>
        </w:tc>
        <w:tc>
          <w:tcPr>
            <w:tcW w:w="1822" w:type="dxa"/>
            <w:vAlign w:val="center"/>
          </w:tcPr>
          <w:p>
            <w:pPr>
              <w:widowControl/>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2万元/块</w:t>
            </w:r>
          </w:p>
        </w:tc>
        <w:tc>
          <w:tcPr>
            <w:tcW w:w="1336" w:type="dxa"/>
            <w:shd w:val="clear" w:color="auto" w:fill="auto"/>
            <w:noWrap/>
            <w:vAlign w:val="center"/>
          </w:tcPr>
          <w:p>
            <w:pPr>
              <w:widowControl/>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21" w:type="dxa"/>
            <w:vMerge w:val="continue"/>
            <w:shd w:val="clear" w:color="auto" w:fill="auto"/>
            <w:vAlign w:val="center"/>
          </w:tcPr>
          <w:p>
            <w:pPr>
              <w:widowControl/>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c>
          <w:tcPr>
            <w:tcW w:w="7093" w:type="dxa"/>
            <w:gridSpan w:val="4"/>
            <w:vAlign w:val="center"/>
          </w:tcPr>
          <w:p>
            <w:pPr>
              <w:widowControl/>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合计</w:t>
            </w:r>
          </w:p>
        </w:tc>
        <w:tc>
          <w:tcPr>
            <w:tcW w:w="1336" w:type="dxa"/>
            <w:shd w:val="clear" w:color="auto" w:fill="auto"/>
            <w:noWrap/>
            <w:vAlign w:val="center"/>
          </w:tcPr>
          <w:p>
            <w:pPr>
              <w:widowControl/>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19.80</w:t>
            </w:r>
          </w:p>
        </w:tc>
      </w:tr>
    </w:tbl>
    <w:p>
      <w:pPr>
        <w:pStyle w:val="4"/>
        <w:spacing w:before="120" w:after="120" w:line="415" w:lineRule="auto"/>
        <w:rPr>
          <w:color w:val="0D0D0D" w:themeColor="text1" w:themeTint="F2"/>
          <w:sz w:val="28"/>
          <w:szCs w:val="28"/>
          <w14:textFill>
            <w14:solidFill>
              <w14:schemeClr w14:val="tx1">
                <w14:lumMod w14:val="95000"/>
                <w14:lumOff w14:val="5000"/>
              </w14:schemeClr>
            </w14:solidFill>
          </w14:textFill>
        </w:rPr>
      </w:pPr>
      <w:bookmarkStart w:id="143" w:name="_Toc27522214"/>
      <w:bookmarkStart w:id="144" w:name="_Toc25844367"/>
      <w:bookmarkStart w:id="145" w:name="_Toc21795771"/>
      <w:bookmarkStart w:id="146" w:name="_Toc17982538"/>
      <w:bookmarkStart w:id="147" w:name="_Toc524596461"/>
      <w:r>
        <w:rPr>
          <w:rFonts w:hint="eastAsia"/>
          <w:color w:val="0D0D0D" w:themeColor="text1" w:themeTint="F2"/>
          <w:sz w:val="28"/>
          <w:szCs w:val="28"/>
          <w14:textFill>
            <w14:solidFill>
              <w14:schemeClr w14:val="tx1">
                <w14:lumMod w14:val="95000"/>
                <w14:lumOff w14:val="5000"/>
              </w14:schemeClr>
            </w14:solidFill>
          </w14:textFill>
        </w:rPr>
        <w:t>4.1.2 保护区整治工程</w:t>
      </w:r>
      <w:bookmarkEnd w:id="143"/>
      <w:bookmarkEnd w:id="144"/>
      <w:bookmarkEnd w:id="145"/>
    </w:p>
    <w:p>
      <w:pPr>
        <w:widowControl/>
        <w:adjustRightInd w:val="0"/>
        <w:snapToGrid w:val="0"/>
        <w:spacing w:line="360" w:lineRule="auto"/>
        <w:ind w:firstLine="560"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bookmarkStart w:id="148" w:name="_Toc524596458"/>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根据技术规范要求，对一级保护区进行污染整治。一级保护区内不存在与供水设施和保护水源无关的建设项目，</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保护区划定前已有的建设项目拆除或关闭并视情进行生态修复；保护区内无工业、生活排污口，无畜禽养殖、网箱养殖、旅游、游泳、垂钓等活动；</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保护区内无新增农业种植和经济林，已有的农业种植严格控制化肥、农药等非点源污染，并逐步退出。</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根据亦佐水库保护区划分结果，一级保护区内无居民居住、畜禽养殖，无与水源保护无关的建设项目及排口，但存在少量耕地。因此主要对一级保护区内耕地种植面源污染实施控制工程；并加强进库道路交通污染和风险防控。</w:t>
      </w:r>
    </w:p>
    <w:bookmarkEnd w:id="148"/>
    <w:p>
      <w:pPr>
        <w:adjustRightInd w:val="0"/>
        <w:snapToGrid w:val="0"/>
        <w:spacing w:line="360" w:lineRule="auto"/>
        <w:ind w:firstLine="561"/>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pPr>
      <w:bookmarkStart w:id="149" w:name="_Toc524596460"/>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（1）</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一级保护区</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面源污染控制</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工程</w:t>
      </w:r>
    </w:p>
    <w:p>
      <w:pPr>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通过实施退耕还林还草，清退一级保护区内全部</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耕地，禁止区内新开垦耕地。根据201</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7</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年</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国家发展改革局、财政部、国家林业局、农业部、国土资源部联合下发的</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关于下达2017年</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退耕还林还草</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年度任务的通知</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》，退耕还林补助为</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16</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00元/亩</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，每亩第一年900元（其中，种苗造林费400元）、第三年300元、第五年400元</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亦佐水库</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一级保护区</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现状有耕地约339.64亩（22.64 hm</w:t>
      </w:r>
      <w:r>
        <w:rPr>
          <w:rFonts w:ascii="Times New Roman" w:hAnsi="Times New Roman" w:eastAsia="仿宋"/>
          <w:color w:val="0D0D0D" w:themeColor="text1" w:themeTint="F2"/>
          <w:sz w:val="28"/>
          <w:szCs w:val="28"/>
          <w:vertAlign w:val="superscript"/>
          <w14:textFill>
            <w14:solidFill>
              <w14:schemeClr w14:val="tx1">
                <w14:lumMod w14:val="95000"/>
                <w14:lumOff w14:val="5000"/>
              </w14:schemeClr>
            </w14:solidFill>
          </w14:textFill>
        </w:rPr>
        <w:t>2</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退耕还林投资</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约54.34万元。</w:t>
      </w:r>
    </w:p>
    <w:p>
      <w:pPr>
        <w:adjustRightInd w:val="0"/>
        <w:snapToGrid w:val="0"/>
        <w:spacing w:line="360" w:lineRule="auto"/>
        <w:ind w:firstLine="562" w:firstLineChars="200"/>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（2）交通污染和风险控制</w:t>
      </w:r>
      <w:bookmarkEnd w:id="149"/>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工程</w:t>
      </w:r>
    </w:p>
    <w:p>
      <w:pPr>
        <w:adjustRightInd w:val="0"/>
        <w:snapToGrid w:val="0"/>
        <w:spacing w:line="360" w:lineRule="auto"/>
        <w:ind w:firstLine="561"/>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亦佐水库保护区内</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现状</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有乡村道路穿过，</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在水库北侧一级保护边界道路长约0.53km，</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道路两侧主要为林地。</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为防止和杜绝保护区沿岸道路</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车辆通过</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带来的污染和运输事故带来的污染隐患，</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在进入保护区路段设置饮用水源保护区交通安全标志，</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工程</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具体内容及</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投资估算详见表</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4.1</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-1</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，规划</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投资</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2.00</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万元</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；同时，</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需设置一级保护区路段截排水沟，</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工程</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具体内容及</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投资估算详见表</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4.1</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2，规划</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投资</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5.30</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万元。</w:t>
      </w:r>
    </w:p>
    <w:p>
      <w:pPr>
        <w:spacing w:line="360" w:lineRule="auto"/>
        <w:jc w:val="cente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表</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4.1</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2</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 xml:space="preserve">  </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亦佐水库保护区</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交通污染控制工程投资估算表</w:t>
      </w:r>
    </w:p>
    <w:tbl>
      <w:tblPr>
        <w:tblStyle w:val="44"/>
        <w:tblW w:w="96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1"/>
        <w:gridCol w:w="1090"/>
        <w:gridCol w:w="963"/>
        <w:gridCol w:w="1123"/>
        <w:gridCol w:w="1650"/>
        <w:gridCol w:w="1239"/>
        <w:gridCol w:w="112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blHeader/>
          <w:jc w:val="center"/>
        </w:trPr>
        <w:tc>
          <w:tcPr>
            <w:tcW w:w="1611" w:type="dxa"/>
            <w:shd w:val="clear" w:color="000000" w:fill="D9D9D9"/>
            <w:vAlign w:val="center"/>
          </w:tcPr>
          <w:p>
            <w:pPr>
              <w:widowControl/>
              <w:adjustRightInd w:val="0"/>
              <w:snapToGrid w:val="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t>保护区</w:t>
            </w:r>
          </w:p>
        </w:tc>
        <w:tc>
          <w:tcPr>
            <w:tcW w:w="1090" w:type="dxa"/>
            <w:shd w:val="clear" w:color="000000" w:fill="D9D9D9"/>
            <w:noWrap/>
            <w:vAlign w:val="center"/>
          </w:tcPr>
          <w:p>
            <w:pPr>
              <w:widowControl/>
              <w:adjustRightInd w:val="0"/>
              <w:snapToGrid w:val="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t>公路</w:t>
            </w:r>
          </w:p>
          <w:p>
            <w:pPr>
              <w:widowControl/>
              <w:adjustRightInd w:val="0"/>
              <w:snapToGrid w:val="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t>名称</w:t>
            </w:r>
          </w:p>
        </w:tc>
        <w:tc>
          <w:tcPr>
            <w:tcW w:w="963" w:type="dxa"/>
            <w:shd w:val="clear" w:color="000000" w:fill="D9D9D9"/>
            <w:vAlign w:val="center"/>
          </w:tcPr>
          <w:p>
            <w:pPr>
              <w:widowControl/>
              <w:adjustRightInd w:val="0"/>
              <w:snapToGrid w:val="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t>公路</w:t>
            </w:r>
          </w:p>
          <w:p>
            <w:pPr>
              <w:widowControl/>
              <w:adjustRightInd w:val="0"/>
              <w:snapToGrid w:val="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t>等级</w:t>
            </w:r>
          </w:p>
        </w:tc>
        <w:tc>
          <w:tcPr>
            <w:tcW w:w="1123" w:type="dxa"/>
            <w:shd w:val="clear" w:color="000000" w:fill="D9D9D9"/>
            <w:vAlign w:val="center"/>
          </w:tcPr>
          <w:p>
            <w:pPr>
              <w:widowControl/>
              <w:adjustRightInd w:val="0"/>
              <w:snapToGrid w:val="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t>长度</w:t>
            </w:r>
          </w:p>
          <w:p>
            <w:pPr>
              <w:adjustRightInd w:val="0"/>
              <w:snapToGrid w:val="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b/>
                <w:color w:val="0D0D0D" w:themeColor="text1" w:themeTint="F2"/>
                <w:sz w:val="24"/>
                <w:szCs w:val="24"/>
                <w14:textFill>
                  <w14:solidFill>
                    <w14:schemeClr w14:val="tx1">
                      <w14:lumMod w14:val="95000"/>
                      <w14:lumOff w14:val="5000"/>
                    </w14:schemeClr>
                  </w14:solidFill>
                </w14:textFill>
              </w:rPr>
              <w:t>（</w:t>
            </w:r>
            <w: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t>km</w:t>
            </w:r>
            <w:r>
              <w:rPr>
                <w:rFonts w:hint="eastAsia" w:ascii="Times New Roman" w:hAnsi="Times New Roman" w:eastAsia="仿宋"/>
                <w:b/>
                <w:color w:val="0D0D0D" w:themeColor="text1" w:themeTint="F2"/>
                <w:sz w:val="24"/>
                <w:szCs w:val="24"/>
                <w14:textFill>
                  <w14:solidFill>
                    <w14:schemeClr w14:val="tx1">
                      <w14:lumMod w14:val="95000"/>
                      <w14:lumOff w14:val="5000"/>
                    </w14:schemeClr>
                  </w14:solidFill>
                </w14:textFill>
              </w:rPr>
              <w:t>）</w:t>
            </w:r>
          </w:p>
        </w:tc>
        <w:tc>
          <w:tcPr>
            <w:tcW w:w="1650" w:type="dxa"/>
            <w:shd w:val="clear" w:color="000000" w:fill="D9D9D9"/>
            <w:vAlign w:val="center"/>
          </w:tcPr>
          <w:p>
            <w:pPr>
              <w:widowControl/>
              <w:adjustRightInd w:val="0"/>
              <w:snapToGrid w:val="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t>拟采取防护措施</w:t>
            </w:r>
          </w:p>
        </w:tc>
        <w:tc>
          <w:tcPr>
            <w:tcW w:w="1239" w:type="dxa"/>
            <w:shd w:val="clear" w:color="000000" w:fill="D9D9D9"/>
            <w:vAlign w:val="center"/>
          </w:tcPr>
          <w:p>
            <w:pPr>
              <w:widowControl/>
              <w:adjustRightInd w:val="0"/>
              <w:snapToGrid w:val="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t>工程规模</w:t>
            </w:r>
          </w:p>
        </w:tc>
        <w:tc>
          <w:tcPr>
            <w:tcW w:w="1123" w:type="dxa"/>
            <w:shd w:val="clear" w:color="000000" w:fill="D9D9D9"/>
            <w:vAlign w:val="center"/>
          </w:tcPr>
          <w:p>
            <w:pPr>
              <w:widowControl/>
              <w:adjustRightInd w:val="0"/>
              <w:snapToGrid w:val="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t>单价</w:t>
            </w:r>
          </w:p>
        </w:tc>
        <w:tc>
          <w:tcPr>
            <w:tcW w:w="851" w:type="dxa"/>
            <w:shd w:val="clear" w:color="000000" w:fill="D9D9D9"/>
            <w:vAlign w:val="center"/>
          </w:tcPr>
          <w:p>
            <w:pPr>
              <w:widowControl/>
              <w:adjustRightInd w:val="0"/>
              <w:snapToGrid w:val="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t>投资</w:t>
            </w:r>
          </w:p>
          <w:p>
            <w:pPr>
              <w:adjustRightInd w:val="0"/>
              <w:snapToGrid w:val="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1611" w:type="dxa"/>
            <w:shd w:val="clear" w:color="000000" w:fill="FFFFFF"/>
            <w:noWrap/>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一级保护区</w:t>
            </w:r>
          </w:p>
        </w:tc>
        <w:tc>
          <w:tcPr>
            <w:tcW w:w="1090" w:type="dxa"/>
            <w:shd w:val="clear" w:color="000000" w:fill="FFFFFF"/>
            <w:noWrap/>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乡道</w:t>
            </w:r>
          </w:p>
        </w:tc>
        <w:tc>
          <w:tcPr>
            <w:tcW w:w="963"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w:t>
            </w:r>
          </w:p>
        </w:tc>
        <w:tc>
          <w:tcPr>
            <w:tcW w:w="1123"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0.53</w:t>
            </w:r>
          </w:p>
        </w:tc>
        <w:tc>
          <w:tcPr>
            <w:tcW w:w="1650" w:type="dxa"/>
            <w:vAlign w:val="center"/>
          </w:tcPr>
          <w:p>
            <w:pPr>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完善</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公路截排水调节沟</w:t>
            </w:r>
          </w:p>
        </w:tc>
        <w:tc>
          <w:tcPr>
            <w:tcW w:w="1239" w:type="dxa"/>
            <w:vAlign w:val="center"/>
          </w:tcPr>
          <w:p>
            <w:pPr>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0.53km</w:t>
            </w:r>
          </w:p>
        </w:tc>
        <w:tc>
          <w:tcPr>
            <w:tcW w:w="1123" w:type="dxa"/>
            <w:vAlign w:val="center"/>
          </w:tcPr>
          <w:p>
            <w:pPr>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10万元/km</w:t>
            </w:r>
          </w:p>
        </w:tc>
        <w:tc>
          <w:tcPr>
            <w:tcW w:w="851" w:type="dxa"/>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5.30</w:t>
            </w:r>
          </w:p>
        </w:tc>
      </w:tr>
    </w:tbl>
    <w:p>
      <w:pPr>
        <w:pStyle w:val="4"/>
        <w:spacing w:before="120" w:after="120" w:line="415" w:lineRule="auto"/>
        <w:rPr>
          <w:color w:val="0D0D0D" w:themeColor="text1" w:themeTint="F2"/>
          <w:sz w:val="28"/>
          <w:szCs w:val="28"/>
          <w14:textFill>
            <w14:solidFill>
              <w14:schemeClr w14:val="tx1">
                <w14:lumMod w14:val="95000"/>
                <w14:lumOff w14:val="5000"/>
              </w14:schemeClr>
            </w14:solidFill>
          </w14:textFill>
        </w:rPr>
      </w:pPr>
      <w:bookmarkStart w:id="150" w:name="_Toc27522215"/>
      <w:bookmarkStart w:id="151" w:name="_Toc25844368"/>
      <w:r>
        <w:rPr>
          <w:rFonts w:hint="eastAsia"/>
          <w:color w:val="0D0D0D" w:themeColor="text1" w:themeTint="F2"/>
          <w:sz w:val="28"/>
          <w:szCs w:val="28"/>
          <w14:textFill>
            <w14:solidFill>
              <w14:schemeClr w14:val="tx1">
                <w14:lumMod w14:val="95000"/>
                <w14:lumOff w14:val="5000"/>
              </w14:schemeClr>
            </w14:solidFill>
          </w14:textFill>
        </w:rPr>
        <w:t xml:space="preserve">4.1.3 </w:t>
      </w:r>
      <w:r>
        <w:rPr>
          <w:color w:val="0D0D0D" w:themeColor="text1" w:themeTint="F2"/>
          <w:sz w:val="28"/>
          <w:szCs w:val="28"/>
          <w14:textFill>
            <w14:solidFill>
              <w14:schemeClr w14:val="tx1">
                <w14:lumMod w14:val="95000"/>
                <w14:lumOff w14:val="5000"/>
              </w14:schemeClr>
            </w14:solidFill>
          </w14:textFill>
        </w:rPr>
        <w:t>生态恢复与建设工程</w:t>
      </w:r>
      <w:bookmarkEnd w:id="146"/>
      <w:bookmarkEnd w:id="147"/>
      <w:bookmarkEnd w:id="150"/>
      <w:bookmarkEnd w:id="151"/>
    </w:p>
    <w:p>
      <w:pPr>
        <w:adjustRightInd w:val="0"/>
        <w:snapToGrid w:val="0"/>
        <w:spacing w:line="360" w:lineRule="auto"/>
        <w:ind w:firstLine="56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针对饮用水水源地保护区内的生态现状，进行生态修复、生态建设工程，加强生态保护，提高保护区内自然净化能力，促进生态良性循环，改善和保护饮用水源水质。</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针对亦佐水库，主要实施人工造林及水土流失治理工程。</w:t>
      </w:r>
    </w:p>
    <w:p>
      <w:pPr>
        <w:adjustRightInd w:val="0"/>
        <w:snapToGrid w:val="0"/>
        <w:spacing w:line="360" w:lineRule="auto"/>
        <w:ind w:firstLine="560"/>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（1）退耕地人工造林工程</w:t>
      </w:r>
    </w:p>
    <w:p>
      <w:pPr>
        <w:adjustRightInd w:val="0"/>
        <w:snapToGrid w:val="0"/>
        <w:spacing w:line="360" w:lineRule="auto"/>
        <w:ind w:firstLine="56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对亦佐水库一级保护区内全部退耕地339.64亩实施人工造林，投资以0.15万元/亩计。</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现状及</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退耕地人工造林</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投资</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估算</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见下表。</w:t>
      </w:r>
    </w:p>
    <w:p>
      <w:pPr>
        <w:spacing w:line="360" w:lineRule="auto"/>
        <w:jc w:val="cente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表</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4.1</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3</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 xml:space="preserve">  </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亦佐水库</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保护区退耕还林工程投资估算表</w:t>
      </w:r>
    </w:p>
    <w:tbl>
      <w:tblPr>
        <w:tblStyle w:val="44"/>
        <w:tblW w:w="9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9"/>
        <w:gridCol w:w="1486"/>
        <w:gridCol w:w="1673"/>
        <w:gridCol w:w="1604"/>
        <w:gridCol w:w="1446"/>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tblHeader/>
        </w:trPr>
        <w:tc>
          <w:tcPr>
            <w:tcW w:w="1779" w:type="dxa"/>
            <w:vMerge w:val="restart"/>
            <w:shd w:val="clear" w:color="000000" w:fill="D9D9D9"/>
            <w:noWrap/>
            <w:vAlign w:val="center"/>
          </w:tcPr>
          <w:p>
            <w:pPr>
              <w:widowControl/>
              <w:adjustRightInd w:val="0"/>
              <w:snapToGrid w:val="0"/>
              <w:jc w:val="cente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b/>
                <w:bCs/>
                <w:color w:val="0D0D0D" w:themeColor="text1" w:themeTint="F2"/>
                <w:sz w:val="24"/>
                <w:szCs w:val="24"/>
                <w14:textFill>
                  <w14:solidFill>
                    <w14:schemeClr w14:val="tx1">
                      <w14:lumMod w14:val="95000"/>
                      <w14:lumOff w14:val="5000"/>
                    </w14:schemeClr>
                  </w14:solidFill>
                </w14:textFill>
              </w:rPr>
              <w:t>保护区</w:t>
            </w:r>
          </w:p>
        </w:tc>
        <w:tc>
          <w:tcPr>
            <w:tcW w:w="1486" w:type="dxa"/>
            <w:shd w:val="clear" w:color="000000" w:fill="D9D9D9"/>
            <w:noWrap/>
            <w:vAlign w:val="center"/>
          </w:tcPr>
          <w:p>
            <w:pPr>
              <w:widowControl/>
              <w:adjustRightInd w:val="0"/>
              <w:snapToGrid w:val="0"/>
              <w:jc w:val="cente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t>现状面积</w:t>
            </w:r>
          </w:p>
        </w:tc>
        <w:tc>
          <w:tcPr>
            <w:tcW w:w="3277" w:type="dxa"/>
            <w:gridSpan w:val="2"/>
            <w:shd w:val="clear" w:color="000000" w:fill="D9D9D9"/>
            <w:noWrap/>
            <w:vAlign w:val="center"/>
          </w:tcPr>
          <w:p>
            <w:pPr>
              <w:widowControl/>
              <w:adjustRightInd w:val="0"/>
              <w:snapToGrid w:val="0"/>
              <w:jc w:val="cente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b/>
                <w:bCs/>
                <w:color w:val="0D0D0D" w:themeColor="text1" w:themeTint="F2"/>
                <w:sz w:val="24"/>
                <w:szCs w:val="24"/>
                <w14:textFill>
                  <w14:solidFill>
                    <w14:schemeClr w14:val="tx1">
                      <w14:lumMod w14:val="95000"/>
                      <w14:lumOff w14:val="5000"/>
                    </w14:schemeClr>
                  </w14:solidFill>
                </w14:textFill>
              </w:rPr>
              <w:t>退耕地造林</w:t>
            </w:r>
            <w: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t>面积</w:t>
            </w:r>
          </w:p>
        </w:tc>
        <w:tc>
          <w:tcPr>
            <w:tcW w:w="1446" w:type="dxa"/>
            <w:shd w:val="clear" w:color="000000" w:fill="D9D9D9"/>
            <w:vAlign w:val="center"/>
          </w:tcPr>
          <w:p>
            <w:pPr>
              <w:widowControl/>
              <w:adjustRightInd w:val="0"/>
              <w:snapToGrid w:val="0"/>
              <w:jc w:val="cente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t>单价</w:t>
            </w:r>
          </w:p>
        </w:tc>
        <w:tc>
          <w:tcPr>
            <w:tcW w:w="1662" w:type="dxa"/>
            <w:shd w:val="clear" w:color="000000" w:fill="D9D9D9"/>
            <w:noWrap/>
            <w:vAlign w:val="center"/>
          </w:tcPr>
          <w:p>
            <w:pPr>
              <w:widowControl/>
              <w:adjustRightInd w:val="0"/>
              <w:snapToGrid w:val="0"/>
              <w:jc w:val="cente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t>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tblHeader/>
        </w:trPr>
        <w:tc>
          <w:tcPr>
            <w:tcW w:w="1779" w:type="dxa"/>
            <w:vMerge w:val="continue"/>
            <w:shd w:val="clear" w:color="000000" w:fill="D9D9D9"/>
            <w:noWrap/>
            <w:vAlign w:val="center"/>
          </w:tcPr>
          <w:p>
            <w:pPr>
              <w:widowControl/>
              <w:adjustRightInd w:val="0"/>
              <w:snapToGrid w:val="0"/>
              <w:jc w:val="cente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pPr>
          </w:p>
        </w:tc>
        <w:tc>
          <w:tcPr>
            <w:tcW w:w="1486" w:type="dxa"/>
            <w:shd w:val="clear" w:color="000000" w:fill="D9D9D9"/>
            <w:noWrap/>
            <w:vAlign w:val="center"/>
          </w:tcPr>
          <w:p>
            <w:pPr>
              <w:widowControl/>
              <w:adjustRightInd w:val="0"/>
              <w:snapToGrid w:val="0"/>
              <w:jc w:val="center"/>
              <w:rPr>
                <w:rFonts w:ascii="Times New Roman" w:hAnsi="Times New Roman" w:eastAsia="仿宋"/>
                <w:b/>
                <w:bCs/>
                <w:color w:val="0D0D0D" w:themeColor="text1" w:themeTint="F2"/>
                <w:sz w:val="24"/>
                <w:szCs w:val="24"/>
                <w:vertAlign w:val="superscript"/>
                <w14:textFill>
                  <w14:solidFill>
                    <w14:schemeClr w14:val="tx1">
                      <w14:lumMod w14:val="95000"/>
                      <w14:lumOff w14:val="5000"/>
                    </w14:schemeClr>
                  </w14:solidFill>
                </w14:textFill>
              </w:rPr>
            </w:pPr>
            <w: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t>hm</w:t>
            </w:r>
            <w:r>
              <w:rPr>
                <w:rFonts w:ascii="Times New Roman" w:hAnsi="Times New Roman" w:eastAsia="仿宋"/>
                <w:b/>
                <w:bCs/>
                <w:color w:val="0D0D0D" w:themeColor="text1" w:themeTint="F2"/>
                <w:sz w:val="24"/>
                <w:szCs w:val="24"/>
                <w:vertAlign w:val="superscript"/>
                <w14:textFill>
                  <w14:solidFill>
                    <w14:schemeClr w14:val="tx1">
                      <w14:lumMod w14:val="95000"/>
                      <w14:lumOff w14:val="5000"/>
                    </w14:schemeClr>
                  </w14:solidFill>
                </w14:textFill>
              </w:rPr>
              <w:t>2</w:t>
            </w:r>
          </w:p>
        </w:tc>
        <w:tc>
          <w:tcPr>
            <w:tcW w:w="1673" w:type="dxa"/>
            <w:shd w:val="clear" w:color="000000" w:fill="D9D9D9"/>
            <w:noWrap/>
            <w:vAlign w:val="center"/>
          </w:tcPr>
          <w:p>
            <w:pPr>
              <w:widowControl/>
              <w:adjustRightInd w:val="0"/>
              <w:snapToGrid w:val="0"/>
              <w:jc w:val="center"/>
              <w:rPr>
                <w:rFonts w:ascii="Times New Roman" w:hAnsi="Times New Roman" w:eastAsia="仿宋"/>
                <w:b/>
                <w:bCs/>
                <w:color w:val="0D0D0D" w:themeColor="text1" w:themeTint="F2"/>
                <w:sz w:val="24"/>
                <w:szCs w:val="24"/>
                <w:vertAlign w:val="superscript"/>
                <w14:textFill>
                  <w14:solidFill>
                    <w14:schemeClr w14:val="tx1">
                      <w14:lumMod w14:val="95000"/>
                      <w14:lumOff w14:val="5000"/>
                    </w14:schemeClr>
                  </w14:solidFill>
                </w14:textFill>
              </w:rPr>
            </w:pPr>
            <w: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t>hm</w:t>
            </w:r>
            <w:r>
              <w:rPr>
                <w:rFonts w:ascii="Times New Roman" w:hAnsi="Times New Roman" w:eastAsia="仿宋"/>
                <w:b/>
                <w:bCs/>
                <w:color w:val="0D0D0D" w:themeColor="text1" w:themeTint="F2"/>
                <w:sz w:val="24"/>
                <w:szCs w:val="24"/>
                <w:vertAlign w:val="superscript"/>
                <w14:textFill>
                  <w14:solidFill>
                    <w14:schemeClr w14:val="tx1">
                      <w14:lumMod w14:val="95000"/>
                      <w14:lumOff w14:val="5000"/>
                    </w14:schemeClr>
                  </w14:solidFill>
                </w14:textFill>
              </w:rPr>
              <w:t>2</w:t>
            </w:r>
          </w:p>
        </w:tc>
        <w:tc>
          <w:tcPr>
            <w:tcW w:w="1604" w:type="dxa"/>
            <w:shd w:val="clear" w:color="000000" w:fill="D9D9D9"/>
            <w:vAlign w:val="center"/>
          </w:tcPr>
          <w:p>
            <w:pPr>
              <w:widowControl/>
              <w:adjustRightInd w:val="0"/>
              <w:snapToGrid w:val="0"/>
              <w:jc w:val="cente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t>亩</w:t>
            </w:r>
          </w:p>
        </w:tc>
        <w:tc>
          <w:tcPr>
            <w:tcW w:w="1446" w:type="dxa"/>
            <w:shd w:val="clear" w:color="000000" w:fill="D9D9D9"/>
            <w:vAlign w:val="center"/>
          </w:tcPr>
          <w:p>
            <w:pPr>
              <w:widowControl/>
              <w:adjustRightInd w:val="0"/>
              <w:snapToGrid w:val="0"/>
              <w:jc w:val="cente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t>万元/亩</w:t>
            </w:r>
          </w:p>
        </w:tc>
        <w:tc>
          <w:tcPr>
            <w:tcW w:w="1662" w:type="dxa"/>
            <w:shd w:val="clear" w:color="000000" w:fill="D9D9D9"/>
            <w:noWrap/>
            <w:vAlign w:val="center"/>
          </w:tcPr>
          <w:p>
            <w:pPr>
              <w:widowControl/>
              <w:adjustRightInd w:val="0"/>
              <w:snapToGrid w:val="0"/>
              <w:jc w:val="cente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779" w:type="dxa"/>
            <w:shd w:val="clear" w:color="auto" w:fill="auto"/>
            <w:noWrap/>
            <w:vAlign w:val="center"/>
          </w:tcPr>
          <w:p>
            <w:pPr>
              <w:widowControl/>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一级保护区</w:t>
            </w:r>
          </w:p>
        </w:tc>
        <w:tc>
          <w:tcPr>
            <w:tcW w:w="1486" w:type="dxa"/>
            <w:shd w:val="clear" w:color="auto" w:fill="auto"/>
            <w:noWrap/>
            <w:vAlign w:val="center"/>
          </w:tcPr>
          <w:p>
            <w:pPr>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22.64</w:t>
            </w:r>
          </w:p>
        </w:tc>
        <w:tc>
          <w:tcPr>
            <w:tcW w:w="1673" w:type="dxa"/>
            <w:shd w:val="clear" w:color="auto" w:fill="auto"/>
            <w:noWrap/>
            <w:vAlign w:val="center"/>
          </w:tcPr>
          <w:p>
            <w:pPr>
              <w:widowControl/>
              <w:jc w:val="cente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 w:val="24"/>
                <w:szCs w:val="24"/>
                <w14:textFill>
                  <w14:solidFill>
                    <w14:schemeClr w14:val="tx1">
                      <w14:lumMod w14:val="95000"/>
                      <w14:lumOff w14:val="5000"/>
                    </w14:schemeClr>
                  </w14:solidFill>
                </w14:textFill>
              </w:rPr>
              <w:t>22.64</w:t>
            </w:r>
          </w:p>
        </w:tc>
        <w:tc>
          <w:tcPr>
            <w:tcW w:w="1604" w:type="dxa"/>
            <w:vAlign w:val="center"/>
          </w:tcPr>
          <w:p>
            <w:pPr>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339.64</w:t>
            </w:r>
          </w:p>
        </w:tc>
        <w:tc>
          <w:tcPr>
            <w:tcW w:w="1446" w:type="dxa"/>
            <w:vAlign w:val="center"/>
          </w:tcPr>
          <w:p>
            <w:pPr>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0.15</w:t>
            </w:r>
          </w:p>
        </w:tc>
        <w:tc>
          <w:tcPr>
            <w:tcW w:w="1662" w:type="dxa"/>
            <w:shd w:val="clear" w:color="auto" w:fill="auto"/>
            <w:noWrap/>
            <w:vAlign w:val="center"/>
          </w:tcPr>
          <w:p>
            <w:pPr>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 w:val="24"/>
                <w:szCs w:val="24"/>
                <w14:textFill>
                  <w14:solidFill>
                    <w14:schemeClr w14:val="tx1">
                      <w14:lumMod w14:val="95000"/>
                      <w14:lumOff w14:val="5000"/>
                    </w14:schemeClr>
                  </w14:solidFill>
                </w14:textFill>
              </w:rPr>
              <w:t>50.95</w:t>
            </w:r>
          </w:p>
        </w:tc>
      </w:tr>
    </w:tbl>
    <w:p>
      <w:pPr>
        <w:widowControl/>
        <w:adjustRightInd w:val="0"/>
        <w:snapToGrid w:val="0"/>
        <w:spacing w:before="156" w:beforeLines="50" w:line="360" w:lineRule="auto"/>
        <w:ind w:firstLine="562" w:firstLineChars="200"/>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（2）水土流失治理工程</w:t>
      </w:r>
    </w:p>
    <w:p>
      <w:pPr>
        <w:adjustRightInd w:val="0"/>
        <w:snapToGrid w:val="0"/>
        <w:spacing w:line="360" w:lineRule="auto"/>
        <w:ind w:firstLine="56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根据</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保护区内的</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土地利用现状、水土流失现状、水土保持工作方向和水源保护的相关要求，本</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区划</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将</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一级</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保护区作为水土流失综合治理区进行措施布局。</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采取农业用地措施（</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坡改梯</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经济果木林</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种植、</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植物护埂</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保土耕作</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植物篱</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坡面水系措施</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、作业便道措施、挖沙采石场迹地恢复措施）、生态用地措施（</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水土保持林</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种草</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封禁治理措施</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）、小型水利水保工程措施（</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溪沟整治</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拦砂坝</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）及其他辅助措施，</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力争保护区内平均土壤侵蚀模数降至轻度（500 t/km</w:t>
      </w:r>
      <w:r>
        <w:rPr>
          <w:rFonts w:ascii="Times New Roman" w:hAnsi="Times New Roman" w:eastAsia="仿宋"/>
          <w:color w:val="0D0D0D" w:themeColor="text1" w:themeTint="F2"/>
          <w:sz w:val="28"/>
          <w:szCs w:val="28"/>
          <w:vertAlign w:val="superscript"/>
          <w14:textFill>
            <w14:solidFill>
              <w14:schemeClr w14:val="tx1">
                <w14:lumMod w14:val="95000"/>
                <w14:lumOff w14:val="5000"/>
              </w14:schemeClr>
            </w14:solidFill>
          </w14:textFill>
        </w:rPr>
        <w:t>2</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·a）以下，流域水土流失总量降低50%以上。水土流失综合治理工程投资按0.5万元/公顷估算，最终投资以具体实施项目可研设计为准。</w:t>
      </w:r>
    </w:p>
    <w:p>
      <w:pPr>
        <w:adjustRightInd w:val="0"/>
        <w:snapToGrid w:val="0"/>
        <w:spacing w:line="360" w:lineRule="auto"/>
        <w:ind w:firstLine="56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亦佐水库对一级保护区内流失面积28.15</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hm</w:t>
      </w:r>
      <w:r>
        <w:rPr>
          <w:rFonts w:ascii="Times New Roman" w:hAnsi="Times New Roman" w:eastAsia="仿宋"/>
          <w:color w:val="0D0D0D" w:themeColor="text1" w:themeTint="F2"/>
          <w:sz w:val="28"/>
          <w:szCs w:val="28"/>
          <w:vertAlign w:val="superscript"/>
          <w14:textFill>
            <w14:solidFill>
              <w14:schemeClr w14:val="tx1">
                <w14:lumMod w14:val="95000"/>
                <w14:lumOff w14:val="5000"/>
              </w14:schemeClr>
            </w14:solidFill>
          </w14:textFill>
        </w:rPr>
        <w:t>2</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实施治理，</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投资约</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14.08</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万元。</w:t>
      </w:r>
    </w:p>
    <w:p>
      <w:pPr>
        <w:adjustRightInd w:val="0"/>
        <w:snapToGrid w:val="0"/>
        <w:spacing w:line="300" w:lineRule="exact"/>
        <w:jc w:val="cente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表</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4.1</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4</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 xml:space="preserve">  </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亦佐水库</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水土流失治理工程规划及投资估算</w:t>
      </w:r>
    </w:p>
    <w:tbl>
      <w:tblPr>
        <w:tblStyle w:val="45"/>
        <w:tblW w:w="965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728"/>
        <w:gridCol w:w="1981"/>
        <w:gridCol w:w="1785"/>
        <w:gridCol w:w="1276"/>
        <w:gridCol w:w="288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rPr>
        <w:tc>
          <w:tcPr>
            <w:tcW w:w="1728" w:type="dxa"/>
            <w:vMerge w:val="restart"/>
            <w:shd w:val="clear" w:color="auto" w:fill="D8D8D8" w:themeFill="background1" w:themeFillShade="D9"/>
            <w:vAlign w:val="center"/>
          </w:tcPr>
          <w:p>
            <w:pPr>
              <w:widowControl/>
              <w:snapToGrid w:val="0"/>
              <w:jc w:val="cente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b/>
                <w:bCs/>
                <w:color w:val="0D0D0D" w:themeColor="text1" w:themeTint="F2"/>
                <w:sz w:val="24"/>
                <w:szCs w:val="24"/>
                <w14:textFill>
                  <w14:solidFill>
                    <w14:schemeClr w14:val="tx1">
                      <w14:lumMod w14:val="95000"/>
                      <w14:lumOff w14:val="5000"/>
                    </w14:schemeClr>
                  </w14:solidFill>
                </w14:textFill>
              </w:rPr>
              <w:t>保护区</w:t>
            </w:r>
          </w:p>
        </w:tc>
        <w:tc>
          <w:tcPr>
            <w:tcW w:w="1981" w:type="dxa"/>
            <w:shd w:val="clear" w:color="auto" w:fill="D8D8D8" w:themeFill="background1" w:themeFillShade="D9"/>
            <w:vAlign w:val="center"/>
          </w:tcPr>
          <w:p>
            <w:pPr>
              <w:widowControl/>
              <w:snapToGrid w:val="0"/>
              <w:jc w:val="cente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b/>
                <w:bCs/>
                <w:color w:val="0D0D0D" w:themeColor="text1" w:themeTint="F2"/>
                <w:sz w:val="24"/>
                <w:szCs w:val="24"/>
                <w14:textFill>
                  <w14:solidFill>
                    <w14:schemeClr w14:val="tx1">
                      <w14:lumMod w14:val="95000"/>
                      <w14:lumOff w14:val="5000"/>
                    </w14:schemeClr>
                  </w14:solidFill>
                </w14:textFill>
              </w:rPr>
              <w:t>现状流失面积</w:t>
            </w:r>
          </w:p>
        </w:tc>
        <w:tc>
          <w:tcPr>
            <w:tcW w:w="1785" w:type="dxa"/>
            <w:shd w:val="clear" w:color="auto" w:fill="D8D8D8" w:themeFill="background1" w:themeFillShade="D9"/>
            <w:vAlign w:val="center"/>
          </w:tcPr>
          <w:p>
            <w:pPr>
              <w:widowControl/>
              <w:snapToGrid w:val="0"/>
              <w:jc w:val="cente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b/>
                <w:bCs/>
                <w:color w:val="0D0D0D" w:themeColor="text1" w:themeTint="F2"/>
                <w:sz w:val="24"/>
                <w:szCs w:val="24"/>
                <w14:textFill>
                  <w14:solidFill>
                    <w14:schemeClr w14:val="tx1">
                      <w14:lumMod w14:val="95000"/>
                      <w14:lumOff w14:val="5000"/>
                    </w14:schemeClr>
                  </w14:solidFill>
                </w14:textFill>
              </w:rPr>
              <w:t>治理面积</w:t>
            </w:r>
          </w:p>
        </w:tc>
        <w:tc>
          <w:tcPr>
            <w:tcW w:w="1276" w:type="dxa"/>
            <w:shd w:val="clear" w:color="auto" w:fill="D8D8D8" w:themeFill="background1" w:themeFillShade="D9"/>
            <w:vAlign w:val="center"/>
          </w:tcPr>
          <w:p>
            <w:pPr>
              <w:widowControl/>
              <w:snapToGrid w:val="0"/>
              <w:jc w:val="cente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b/>
                <w:bCs/>
                <w:color w:val="0D0D0D" w:themeColor="text1" w:themeTint="F2"/>
                <w:sz w:val="24"/>
                <w:szCs w:val="24"/>
                <w14:textFill>
                  <w14:solidFill>
                    <w14:schemeClr w14:val="tx1">
                      <w14:lumMod w14:val="95000"/>
                      <w14:lumOff w14:val="5000"/>
                    </w14:schemeClr>
                  </w14:solidFill>
                </w14:textFill>
              </w:rPr>
              <w:t>投资</w:t>
            </w:r>
          </w:p>
        </w:tc>
        <w:tc>
          <w:tcPr>
            <w:tcW w:w="2880" w:type="dxa"/>
            <w:shd w:val="clear" w:color="auto" w:fill="D8D8D8" w:themeFill="background1" w:themeFillShade="D9"/>
            <w:vAlign w:val="center"/>
          </w:tcPr>
          <w:p>
            <w:pPr>
              <w:widowControl/>
              <w:snapToGrid w:val="0"/>
              <w:jc w:val="cente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b/>
                <w:bCs/>
                <w:color w:val="0D0D0D" w:themeColor="text1" w:themeTint="F2"/>
                <w:sz w:val="24"/>
                <w:szCs w:val="24"/>
                <w14:textFill>
                  <w14:solidFill>
                    <w14:schemeClr w14:val="tx1">
                      <w14:lumMod w14:val="95000"/>
                      <w14:lumOff w14:val="5000"/>
                    </w14:schemeClr>
                  </w14:solidFill>
                </w14:textFill>
              </w:rPr>
              <w:t>规划土壤侵蚀模数目标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rPr>
        <w:tc>
          <w:tcPr>
            <w:tcW w:w="1728" w:type="dxa"/>
            <w:vMerge w:val="continue"/>
            <w:shd w:val="clear" w:color="auto" w:fill="D8D8D8" w:themeFill="background1" w:themeFillShade="D9"/>
            <w:vAlign w:val="center"/>
          </w:tcPr>
          <w:p>
            <w:pPr>
              <w:widowControl/>
              <w:snapToGrid w:val="0"/>
              <w:jc w:val="cente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pPr>
          </w:p>
        </w:tc>
        <w:tc>
          <w:tcPr>
            <w:tcW w:w="1981" w:type="dxa"/>
            <w:shd w:val="clear" w:color="auto" w:fill="D8D8D8" w:themeFill="background1" w:themeFillShade="D9"/>
            <w:vAlign w:val="center"/>
          </w:tcPr>
          <w:p>
            <w:pPr>
              <w:widowControl/>
              <w:snapToGrid w:val="0"/>
              <w:jc w:val="cente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t>hm</w:t>
            </w:r>
            <w:r>
              <w:rPr>
                <w:rFonts w:ascii="Times New Roman" w:hAnsi="Times New Roman" w:eastAsia="仿宋"/>
                <w:b/>
                <w:bCs/>
                <w:color w:val="0D0D0D" w:themeColor="text1" w:themeTint="F2"/>
                <w:sz w:val="24"/>
                <w:szCs w:val="24"/>
                <w:vertAlign w:val="superscript"/>
                <w14:textFill>
                  <w14:solidFill>
                    <w14:schemeClr w14:val="tx1">
                      <w14:lumMod w14:val="95000"/>
                      <w14:lumOff w14:val="5000"/>
                    </w14:schemeClr>
                  </w14:solidFill>
                </w14:textFill>
              </w:rPr>
              <w:t>2</w:t>
            </w:r>
          </w:p>
        </w:tc>
        <w:tc>
          <w:tcPr>
            <w:tcW w:w="1785" w:type="dxa"/>
            <w:shd w:val="clear" w:color="auto" w:fill="D8D8D8" w:themeFill="background1" w:themeFillShade="D9"/>
            <w:vAlign w:val="center"/>
          </w:tcPr>
          <w:p>
            <w:pPr>
              <w:widowControl/>
              <w:snapToGrid w:val="0"/>
              <w:jc w:val="cente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t>hm</w:t>
            </w:r>
            <w:r>
              <w:rPr>
                <w:rFonts w:ascii="Times New Roman" w:hAnsi="Times New Roman" w:eastAsia="仿宋"/>
                <w:b/>
                <w:bCs/>
                <w:color w:val="0D0D0D" w:themeColor="text1" w:themeTint="F2"/>
                <w:sz w:val="24"/>
                <w:szCs w:val="24"/>
                <w:vertAlign w:val="superscript"/>
                <w14:textFill>
                  <w14:solidFill>
                    <w14:schemeClr w14:val="tx1">
                      <w14:lumMod w14:val="95000"/>
                      <w14:lumOff w14:val="5000"/>
                    </w14:schemeClr>
                  </w14:solidFill>
                </w14:textFill>
              </w:rPr>
              <w:t>2</w:t>
            </w:r>
          </w:p>
        </w:tc>
        <w:tc>
          <w:tcPr>
            <w:tcW w:w="1276" w:type="dxa"/>
            <w:shd w:val="clear" w:color="auto" w:fill="D8D8D8" w:themeFill="background1" w:themeFillShade="D9"/>
            <w:vAlign w:val="center"/>
          </w:tcPr>
          <w:p>
            <w:pPr>
              <w:widowControl/>
              <w:snapToGrid w:val="0"/>
              <w:jc w:val="cente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t>万元</w:t>
            </w:r>
          </w:p>
        </w:tc>
        <w:tc>
          <w:tcPr>
            <w:tcW w:w="2880" w:type="dxa"/>
            <w:shd w:val="clear" w:color="auto" w:fill="D8D8D8" w:themeFill="background1" w:themeFillShade="D9"/>
            <w:vAlign w:val="center"/>
          </w:tcPr>
          <w:p>
            <w:pPr>
              <w:widowControl/>
              <w:snapToGrid w:val="0"/>
              <w:jc w:val="cente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t>t/km</w:t>
            </w:r>
            <w:r>
              <w:rPr>
                <w:rFonts w:ascii="Times New Roman" w:hAnsi="Times New Roman" w:eastAsia="仿宋"/>
                <w:b/>
                <w:bCs/>
                <w:color w:val="0D0D0D" w:themeColor="text1" w:themeTint="F2"/>
                <w:sz w:val="24"/>
                <w:szCs w:val="24"/>
                <w:vertAlign w:val="superscript"/>
                <w14:textFill>
                  <w14:solidFill>
                    <w14:schemeClr w14:val="tx1">
                      <w14:lumMod w14:val="95000"/>
                      <w14:lumOff w14:val="5000"/>
                    </w14:schemeClr>
                  </w14:solidFill>
                </w14:textFill>
              </w:rPr>
              <w:t>2</w:t>
            </w:r>
            <w:r>
              <w:rPr>
                <w:rFonts w:ascii="Times New Roman" w:hAnsi="Times New Roman" w:eastAsia="仿宋"/>
                <w:b/>
                <w:bCs/>
                <w:color w:val="0D0D0D" w:themeColor="text1" w:themeTint="F2"/>
                <w:sz w:val="24"/>
                <w:szCs w:val="24"/>
                <w14:textFill>
                  <w14:solidFill>
                    <w14:schemeClr w14:val="tx1">
                      <w14:lumMod w14:val="95000"/>
                      <w14:lumOff w14:val="5000"/>
                    </w14:schemeClr>
                  </w14:solidFill>
                </w14:textFill>
              </w:rPr>
              <w:t>·a)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rPr>
        <w:tc>
          <w:tcPr>
            <w:tcW w:w="1728" w:type="dxa"/>
            <w:vAlign w:val="center"/>
          </w:tcPr>
          <w:p>
            <w:pPr>
              <w:widowControl/>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一级保护区</w:t>
            </w:r>
          </w:p>
        </w:tc>
        <w:tc>
          <w:tcPr>
            <w:tcW w:w="1981" w:type="dxa"/>
            <w:vAlign w:val="center"/>
          </w:tcPr>
          <w:p>
            <w:pPr>
              <w:widowControl/>
              <w:snapToGrid w:val="0"/>
              <w:jc w:val="cente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 w:val="24"/>
                <w:szCs w:val="24"/>
                <w14:textFill>
                  <w14:solidFill>
                    <w14:schemeClr w14:val="tx1">
                      <w14:lumMod w14:val="95000"/>
                      <w14:lumOff w14:val="5000"/>
                    </w14:schemeClr>
                  </w14:solidFill>
                </w14:textFill>
              </w:rPr>
              <w:t>63.68</w:t>
            </w:r>
          </w:p>
        </w:tc>
        <w:tc>
          <w:tcPr>
            <w:tcW w:w="1785" w:type="dxa"/>
            <w:vAlign w:val="bottom"/>
          </w:tcPr>
          <w:p>
            <w:pPr>
              <w:widowControl/>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28.15</w:t>
            </w:r>
          </w:p>
        </w:tc>
        <w:tc>
          <w:tcPr>
            <w:tcW w:w="1276" w:type="dxa"/>
            <w:vAlign w:val="bottom"/>
          </w:tcPr>
          <w:p>
            <w:pPr>
              <w:widowControl/>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14.08</w:t>
            </w:r>
          </w:p>
        </w:tc>
        <w:tc>
          <w:tcPr>
            <w:tcW w:w="2880" w:type="dxa"/>
            <w:vAlign w:val="center"/>
          </w:tcPr>
          <w:p>
            <w:pPr>
              <w:widowControl/>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5</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00</w:t>
            </w:r>
          </w:p>
        </w:tc>
      </w:tr>
    </w:tbl>
    <w:p>
      <w:pPr>
        <w:pStyle w:val="4"/>
        <w:spacing w:before="120" w:after="120" w:line="415" w:lineRule="auto"/>
        <w:rPr>
          <w:color w:val="0D0D0D" w:themeColor="text1" w:themeTint="F2"/>
          <w:sz w:val="28"/>
          <w:szCs w:val="28"/>
          <w14:textFill>
            <w14:solidFill>
              <w14:schemeClr w14:val="tx1">
                <w14:lumMod w14:val="95000"/>
                <w14:lumOff w14:val="5000"/>
              </w14:schemeClr>
            </w14:solidFill>
          </w14:textFill>
        </w:rPr>
      </w:pPr>
      <w:bookmarkStart w:id="152" w:name="_Toc17982539"/>
      <w:bookmarkStart w:id="153" w:name="_Toc25844369"/>
      <w:bookmarkStart w:id="154" w:name="_Toc27522216"/>
      <w:r>
        <w:rPr>
          <w:rFonts w:hint="eastAsia"/>
          <w:color w:val="0D0D0D" w:themeColor="text1" w:themeTint="F2"/>
          <w:sz w:val="28"/>
          <w:szCs w:val="28"/>
          <w14:textFill>
            <w14:solidFill>
              <w14:schemeClr w14:val="tx1">
                <w14:lumMod w14:val="95000"/>
                <w14:lumOff w14:val="5000"/>
              </w14:schemeClr>
            </w14:solidFill>
          </w14:textFill>
        </w:rPr>
        <w:t>4.1.4 管理能力建设工程</w:t>
      </w:r>
      <w:bookmarkEnd w:id="152"/>
      <w:bookmarkEnd w:id="153"/>
      <w:bookmarkEnd w:id="154"/>
    </w:p>
    <w:p>
      <w:pPr>
        <w:widowControl/>
        <w:adjustRightInd w:val="0"/>
        <w:snapToGrid w:val="0"/>
        <w:spacing w:before="156" w:beforeLines="50" w:line="360" w:lineRule="auto"/>
        <w:ind w:firstLine="562" w:firstLineChars="200"/>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（1）水质监测能力建设</w:t>
      </w:r>
    </w:p>
    <w:p>
      <w:pPr>
        <w:adjustRightInd w:val="0"/>
        <w:snapToGrid w:val="0"/>
        <w:spacing w:line="360" w:lineRule="auto"/>
        <w:ind w:firstLine="56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亦佐水库</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需加强水源</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水质</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监测工作，合理布置监测点位，建立常规监测机制，增加监测频次，水质监测结果向社会公布，及时反映水源水质状况，确保饮用水安全。</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亦佐水库水质</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监测</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点位</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、频次及监测项目要求详见下表。</w:t>
      </w:r>
    </w:p>
    <w:p>
      <w:pPr>
        <w:adjustRightInd w:val="0"/>
        <w:snapToGrid w:val="0"/>
        <w:spacing w:line="360" w:lineRule="auto"/>
        <w:jc w:val="cente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表4.1-5</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 xml:space="preserve">  </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亦佐水库水源环境</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监测网络建设内容</w:t>
      </w:r>
    </w:p>
    <w:tbl>
      <w:tblPr>
        <w:tblStyle w:val="44"/>
        <w:tblW w:w="96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9"/>
        <w:gridCol w:w="2503"/>
        <w:gridCol w:w="2171"/>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092" w:type="dxa"/>
            <w:gridSpan w:val="2"/>
            <w:shd w:val="clear" w:color="auto" w:fill="D8D8D8" w:themeFill="background1" w:themeFillShade="D9"/>
            <w:vAlign w:val="center"/>
          </w:tcPr>
          <w:p>
            <w:pPr>
              <w:adjustRightInd w:val="0"/>
              <w:snapToGrid w:val="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b/>
                <w:color w:val="0D0D0D" w:themeColor="text1" w:themeTint="F2"/>
                <w:sz w:val="24"/>
                <w:szCs w:val="24"/>
                <w14:textFill>
                  <w14:solidFill>
                    <w14:schemeClr w14:val="tx1">
                      <w14:lumMod w14:val="95000"/>
                      <w14:lumOff w14:val="5000"/>
                    </w14:schemeClr>
                  </w14:solidFill>
                </w14:textFill>
              </w:rPr>
              <w:t>监测项目</w:t>
            </w:r>
          </w:p>
        </w:tc>
        <w:tc>
          <w:tcPr>
            <w:tcW w:w="2171" w:type="dxa"/>
            <w:shd w:val="clear" w:color="auto" w:fill="D8D8D8" w:themeFill="background1" w:themeFillShade="D9"/>
            <w:vAlign w:val="center"/>
          </w:tcPr>
          <w:p>
            <w:pPr>
              <w:adjustRightInd w:val="0"/>
              <w:snapToGrid w:val="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b/>
                <w:color w:val="0D0D0D" w:themeColor="text1" w:themeTint="F2"/>
                <w:sz w:val="24"/>
                <w:szCs w:val="24"/>
                <w14:textFill>
                  <w14:solidFill>
                    <w14:schemeClr w14:val="tx1">
                      <w14:lumMod w14:val="95000"/>
                      <w14:lumOff w14:val="5000"/>
                    </w14:schemeClr>
                  </w14:solidFill>
                </w14:textFill>
              </w:rPr>
              <w:t>监测</w:t>
            </w:r>
            <w: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t>点位</w:t>
            </w:r>
          </w:p>
        </w:tc>
        <w:tc>
          <w:tcPr>
            <w:tcW w:w="2387" w:type="dxa"/>
            <w:shd w:val="clear" w:color="auto" w:fill="D8D8D8" w:themeFill="background1" w:themeFillShade="D9"/>
          </w:tcPr>
          <w:p>
            <w:pPr>
              <w:adjustRightInd w:val="0"/>
              <w:snapToGrid w:val="0"/>
              <w:jc w:val="center"/>
              <w:rPr>
                <w:rFonts w:ascii="Times New Roman" w:hAnsi="Times New Roman" w:eastAsia="仿宋"/>
                <w:b/>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b/>
                <w:color w:val="0D0D0D" w:themeColor="text1" w:themeTint="F2"/>
                <w:sz w:val="24"/>
                <w:szCs w:val="24"/>
                <w14:textFill>
                  <w14:solidFill>
                    <w14:schemeClr w14:val="tx1">
                      <w14:lumMod w14:val="95000"/>
                      <w14:lumOff w14:val="5000"/>
                    </w14:schemeClr>
                  </w14:solidFill>
                </w14:textFill>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589" w:type="dxa"/>
            <w:vMerge w:val="restart"/>
            <w:shd w:val="clear" w:color="auto" w:fill="auto"/>
            <w:vAlign w:val="center"/>
          </w:tcPr>
          <w:p>
            <w:pPr>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《地表水环境质量标准》（GB3838-2002）</w:t>
            </w:r>
          </w:p>
        </w:tc>
        <w:tc>
          <w:tcPr>
            <w:tcW w:w="2503" w:type="dxa"/>
            <w:shd w:val="clear" w:color="auto" w:fill="auto"/>
            <w:vAlign w:val="center"/>
          </w:tcPr>
          <w:p>
            <w:pPr>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24项基本项目和5项补充项目</w:t>
            </w:r>
          </w:p>
        </w:tc>
        <w:tc>
          <w:tcPr>
            <w:tcW w:w="2171" w:type="dxa"/>
            <w:shd w:val="clear" w:color="auto" w:fill="auto"/>
            <w:vAlign w:val="center"/>
          </w:tcPr>
          <w:p>
            <w:pPr>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取水口</w:t>
            </w:r>
          </w:p>
        </w:tc>
        <w:tc>
          <w:tcPr>
            <w:tcW w:w="2387" w:type="dxa"/>
            <w:vMerge w:val="restart"/>
            <w:vAlign w:val="center"/>
          </w:tcPr>
          <w:p>
            <w:pPr>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监测频次按上级考核要求进行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589" w:type="dxa"/>
            <w:vMerge w:val="continue"/>
            <w:shd w:val="clear" w:color="auto" w:fill="auto"/>
            <w:vAlign w:val="center"/>
          </w:tcPr>
          <w:p>
            <w:pPr>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c>
          <w:tcPr>
            <w:tcW w:w="2503" w:type="dxa"/>
            <w:shd w:val="clear" w:color="auto" w:fill="auto"/>
            <w:vAlign w:val="center"/>
          </w:tcPr>
          <w:p>
            <w:pPr>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80项</w:t>
            </w:r>
            <w: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t>特定项目</w:t>
            </w:r>
          </w:p>
        </w:tc>
        <w:tc>
          <w:tcPr>
            <w:tcW w:w="2171" w:type="dxa"/>
            <w:shd w:val="clear" w:color="auto" w:fill="auto"/>
            <w:vAlign w:val="center"/>
          </w:tcPr>
          <w:p>
            <w:pPr>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4"/>
                <w:szCs w:val="24"/>
                <w14:textFill>
                  <w14:solidFill>
                    <w14:schemeClr w14:val="tx1">
                      <w14:lumMod w14:val="95000"/>
                      <w14:lumOff w14:val="5000"/>
                    </w14:schemeClr>
                  </w14:solidFill>
                </w14:textFill>
              </w:rPr>
              <w:t>取水口</w:t>
            </w:r>
          </w:p>
        </w:tc>
        <w:tc>
          <w:tcPr>
            <w:tcW w:w="2387" w:type="dxa"/>
            <w:vMerge w:val="continue"/>
          </w:tcPr>
          <w:p>
            <w:pPr>
              <w:adjustRightInd w:val="0"/>
              <w:snapToGrid w:val="0"/>
              <w:jc w:val="center"/>
              <w:rPr>
                <w:rFonts w:ascii="Times New Roman" w:hAnsi="Times New Roman" w:eastAsia="仿宋"/>
                <w:color w:val="0D0D0D" w:themeColor="text1" w:themeTint="F2"/>
                <w:sz w:val="24"/>
                <w:szCs w:val="24"/>
                <w14:textFill>
                  <w14:solidFill>
                    <w14:schemeClr w14:val="tx1">
                      <w14:lumMod w14:val="95000"/>
                      <w14:lumOff w14:val="5000"/>
                    </w14:schemeClr>
                  </w14:solidFill>
                </w14:textFill>
              </w:rPr>
            </w:pPr>
          </w:p>
        </w:tc>
      </w:tr>
    </w:tbl>
    <w:p>
      <w:pPr>
        <w:widowControl/>
        <w:adjustRightInd w:val="0"/>
        <w:snapToGrid w:val="0"/>
        <w:spacing w:before="156" w:beforeLines="50" w:line="360" w:lineRule="auto"/>
        <w:ind w:firstLine="562" w:firstLineChars="200"/>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（2）预警及应急能力建设</w:t>
      </w:r>
    </w:p>
    <w:p>
      <w:pPr>
        <w:widowControl/>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环境</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应急能力建设</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应</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以防为主，充分考虑潜在的突发性事故风险</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强化应对饮用水源突发环境事件应急处置能力，对水污染事件做到早预见、速报告、快处理，将水环境污染事件控制在突发期，将可能造成的污染损失和后果降低到最小，最大限度地保障人民群众的用水安全。</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亦佐水库环境应急能力建设主要包括确定应急类型及应急级别、建立监测与预警平台、制定应急预案、组建应急管理机构、配备应急物资。</w:t>
      </w:r>
    </w:p>
    <w:p>
      <w:pPr>
        <w:widowControl/>
        <w:adjustRightInd w:val="0"/>
        <w:snapToGrid w:val="0"/>
        <w:spacing w:before="156" w:beforeLines="50" w:line="360" w:lineRule="auto"/>
        <w:ind w:firstLine="562" w:firstLineChars="200"/>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3）管理能力建设</w:t>
      </w:r>
    </w:p>
    <w:p>
      <w:pPr>
        <w:widowControl/>
        <w:adjustRightInd w:val="0"/>
        <w:snapToGrid w:val="0"/>
        <w:spacing w:line="360" w:lineRule="auto"/>
        <w:ind w:firstLine="561"/>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加强</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亦佐水库</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饮用水水源地管理能力建设，做到</w:t>
      </w:r>
      <w:r>
        <w:rPr>
          <w:rFonts w:ascii="仿宋" w:hAnsi="仿宋" w:eastAsia="仿宋" w:cs="Times New Roman"/>
          <w:color w:val="0D0D0D" w:themeColor="text1" w:themeTint="F2"/>
          <w:sz w:val="28"/>
          <w:szCs w:val="28"/>
          <w14:textFill>
            <w14:solidFill>
              <w14:schemeClr w14:val="tx1">
                <w14:lumMod w14:val="95000"/>
                <w14:lumOff w14:val="5000"/>
              </w14:schemeClr>
            </w14:solidFill>
          </w14:textFill>
        </w:rPr>
        <w:t>“一源一档”</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；严格按《中华人民共和国环境保护法》、《中华人民共和国水法》、《中华人民共和国水污染防治法》、《饮用水水源保护区污染防治管理规定》等相关法律法规要求</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开展水源保护区环境监管，定期巡查水库保护区，</w:t>
      </w:r>
      <w:r>
        <w:rPr>
          <w:rFonts w:hint="eastAsia"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严禁畜禽放牧、垂钓等可能污染水源的活动，并</w:t>
      </w:r>
      <w:r>
        <w:rPr>
          <w:rFonts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t>定期开展饮用水水源地环境状况评估。</w:t>
      </w:r>
    </w:p>
    <w:p>
      <w:pPr>
        <w:autoSpaceDE w:val="0"/>
        <w:autoSpaceDN w:val="0"/>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亦佐水库饮用水水源保护区规范化建设</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项目</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包括保护区范围划定工程、保护区整治工程、生态恢复与建设工程、管理能力建设工程等四大类，共8项具体工程内容。</w:t>
      </w:r>
    </w:p>
    <w:p>
      <w:pPr>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亦佐水库饮用水水源保护区规范化</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总投资约</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199.47</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万元。</w:t>
      </w:r>
    </w:p>
    <w:p>
      <w:pPr>
        <w:adjustRightInd w:val="0"/>
        <w:snapToGrid w:val="0"/>
        <w:spacing w:line="360" w:lineRule="auto"/>
        <w:ind w:firstLine="420" w:firstLineChars="200"/>
        <w:rPr>
          <w:color w:val="0D0D0D" w:themeColor="text1" w:themeTint="F2"/>
          <w14:textFill>
            <w14:solidFill>
              <w14:schemeClr w14:val="tx1">
                <w14:lumMod w14:val="95000"/>
                <w14:lumOff w14:val="5000"/>
              </w14:schemeClr>
            </w14:solidFill>
          </w14:textFill>
        </w:rPr>
        <w:sectPr>
          <w:pgSz w:w="11906" w:h="16838"/>
          <w:pgMar w:top="1440" w:right="1236" w:bottom="1440" w:left="1236" w:header="851" w:footer="992" w:gutter="0"/>
          <w:pgNumType w:fmt="numberInDash"/>
          <w:cols w:space="0" w:num="1"/>
          <w:docGrid w:type="lines" w:linePitch="312" w:charSpace="0"/>
        </w:sectPr>
      </w:pPr>
    </w:p>
    <w:p>
      <w:pPr>
        <w:spacing w:line="360" w:lineRule="auto"/>
        <w:jc w:val="cente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表</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4.1</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6</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 xml:space="preserve">  </w:t>
      </w:r>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亦佐水库饮用水水源保护区规范化建设</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项目投资估算汇总表</w:t>
      </w:r>
    </w:p>
    <w:tbl>
      <w:tblPr>
        <w:tblStyle w:val="44"/>
        <w:tblW w:w="1435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286"/>
        <w:gridCol w:w="1549"/>
        <w:gridCol w:w="7796"/>
        <w:gridCol w:w="1417"/>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tblHeader/>
        </w:trPr>
        <w:tc>
          <w:tcPr>
            <w:tcW w:w="710" w:type="dxa"/>
            <w:shd w:val="clear" w:color="auto" w:fill="D8D8D8" w:themeFill="background1" w:themeFillShade="D9"/>
            <w:noWrap/>
            <w:vAlign w:val="center"/>
          </w:tcPr>
          <w:p>
            <w:pPr>
              <w:widowControl/>
              <w:jc w:val="center"/>
              <w:rPr>
                <w:rFonts w:ascii="Times New Roman" w:hAnsi="Times New Roman" w:eastAsia="仿宋" w:cs="宋体"/>
                <w:b/>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宋体"/>
                <w:b/>
                <w:color w:val="0D0D0D" w:themeColor="text1" w:themeTint="F2"/>
                <w:kern w:val="0"/>
                <w:sz w:val="24"/>
                <w:szCs w:val="24"/>
                <w14:textFill>
                  <w14:solidFill>
                    <w14:schemeClr w14:val="tx1">
                      <w14:lumMod w14:val="95000"/>
                      <w14:lumOff w14:val="5000"/>
                    </w14:schemeClr>
                  </w14:solidFill>
                </w14:textFill>
              </w:rPr>
              <w:t>序号</w:t>
            </w:r>
          </w:p>
        </w:tc>
        <w:tc>
          <w:tcPr>
            <w:tcW w:w="1286" w:type="dxa"/>
            <w:shd w:val="clear" w:color="auto" w:fill="D8D8D8" w:themeFill="background1" w:themeFillShade="D9"/>
            <w:noWrap/>
            <w:vAlign w:val="center"/>
          </w:tcPr>
          <w:p>
            <w:pPr>
              <w:widowControl/>
              <w:jc w:val="center"/>
              <w:rPr>
                <w:rFonts w:ascii="Times New Roman" w:hAnsi="Times New Roman" w:eastAsia="仿宋" w:cs="宋体"/>
                <w:b/>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宋体"/>
                <w:b/>
                <w:color w:val="0D0D0D" w:themeColor="text1" w:themeTint="F2"/>
                <w:kern w:val="0"/>
                <w:sz w:val="24"/>
                <w:szCs w:val="24"/>
                <w14:textFill>
                  <w14:solidFill>
                    <w14:schemeClr w14:val="tx1">
                      <w14:lumMod w14:val="95000"/>
                      <w14:lumOff w14:val="5000"/>
                    </w14:schemeClr>
                  </w14:solidFill>
                </w14:textFill>
              </w:rPr>
              <w:t>类别</w:t>
            </w:r>
          </w:p>
        </w:tc>
        <w:tc>
          <w:tcPr>
            <w:tcW w:w="1549" w:type="dxa"/>
            <w:shd w:val="clear" w:color="auto" w:fill="D8D8D8" w:themeFill="background1" w:themeFillShade="D9"/>
            <w:noWrap/>
            <w:vAlign w:val="center"/>
          </w:tcPr>
          <w:p>
            <w:pPr>
              <w:widowControl/>
              <w:jc w:val="center"/>
              <w:rPr>
                <w:rFonts w:ascii="Times New Roman" w:hAnsi="Times New Roman" w:eastAsia="仿宋" w:cs="宋体"/>
                <w:b/>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宋体"/>
                <w:b/>
                <w:color w:val="0D0D0D" w:themeColor="text1" w:themeTint="F2"/>
                <w:kern w:val="0"/>
                <w:sz w:val="24"/>
                <w:szCs w:val="24"/>
                <w14:textFill>
                  <w14:solidFill>
                    <w14:schemeClr w14:val="tx1">
                      <w14:lumMod w14:val="95000"/>
                      <w14:lumOff w14:val="5000"/>
                    </w14:schemeClr>
                  </w14:solidFill>
                </w14:textFill>
              </w:rPr>
              <w:t>项目名称</w:t>
            </w:r>
          </w:p>
        </w:tc>
        <w:tc>
          <w:tcPr>
            <w:tcW w:w="7796" w:type="dxa"/>
            <w:shd w:val="clear" w:color="auto" w:fill="D8D8D8" w:themeFill="background1" w:themeFillShade="D9"/>
            <w:noWrap/>
            <w:vAlign w:val="center"/>
          </w:tcPr>
          <w:p>
            <w:pPr>
              <w:widowControl/>
              <w:jc w:val="center"/>
              <w:rPr>
                <w:rFonts w:ascii="Times New Roman" w:hAnsi="Times New Roman" w:eastAsia="仿宋" w:cs="宋体"/>
                <w:b/>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宋体"/>
                <w:b/>
                <w:color w:val="0D0D0D" w:themeColor="text1" w:themeTint="F2"/>
                <w:kern w:val="0"/>
                <w:sz w:val="24"/>
                <w:szCs w:val="24"/>
                <w14:textFill>
                  <w14:solidFill>
                    <w14:schemeClr w14:val="tx1">
                      <w14:lumMod w14:val="95000"/>
                      <w14:lumOff w14:val="5000"/>
                    </w14:schemeClr>
                  </w14:solidFill>
                </w14:textFill>
              </w:rPr>
              <w:t>项目内容</w:t>
            </w:r>
          </w:p>
        </w:tc>
        <w:tc>
          <w:tcPr>
            <w:tcW w:w="1417" w:type="dxa"/>
            <w:shd w:val="clear" w:color="auto" w:fill="D8D8D8" w:themeFill="background1" w:themeFillShade="D9"/>
            <w:noWrap/>
            <w:vAlign w:val="center"/>
          </w:tcPr>
          <w:p>
            <w:pPr>
              <w:widowControl/>
              <w:jc w:val="center"/>
              <w:rPr>
                <w:rFonts w:ascii="Times New Roman" w:hAnsi="Times New Roman" w:eastAsia="仿宋" w:cs="宋体"/>
                <w:b/>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宋体"/>
                <w:b/>
                <w:color w:val="0D0D0D" w:themeColor="text1" w:themeTint="F2"/>
                <w:kern w:val="0"/>
                <w:sz w:val="24"/>
                <w:szCs w:val="24"/>
                <w14:textFill>
                  <w14:solidFill>
                    <w14:schemeClr w14:val="tx1">
                      <w14:lumMod w14:val="95000"/>
                      <w14:lumOff w14:val="5000"/>
                    </w14:schemeClr>
                  </w14:solidFill>
                </w14:textFill>
              </w:rPr>
              <w:t>投资估算</w:t>
            </w:r>
          </w:p>
          <w:p>
            <w:pPr>
              <w:widowControl/>
              <w:jc w:val="center"/>
              <w:rPr>
                <w:rFonts w:ascii="Times New Roman" w:hAnsi="Times New Roman" w:eastAsia="仿宋" w:cs="宋体"/>
                <w:b/>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宋体"/>
                <w:b/>
                <w:color w:val="0D0D0D" w:themeColor="text1" w:themeTint="F2"/>
                <w:kern w:val="0"/>
                <w:sz w:val="24"/>
                <w:szCs w:val="24"/>
                <w14:textFill>
                  <w14:solidFill>
                    <w14:schemeClr w14:val="tx1">
                      <w14:lumMod w14:val="95000"/>
                      <w14:lumOff w14:val="5000"/>
                    </w14:schemeClr>
                  </w14:solidFill>
                </w14:textFill>
              </w:rPr>
              <w:t>（万元）</w:t>
            </w:r>
          </w:p>
        </w:tc>
        <w:tc>
          <w:tcPr>
            <w:tcW w:w="1592" w:type="dxa"/>
            <w:shd w:val="clear" w:color="auto" w:fill="D8D8D8" w:themeFill="background1" w:themeFillShade="D9"/>
            <w:noWrap/>
            <w:vAlign w:val="center"/>
          </w:tcPr>
          <w:p>
            <w:pPr>
              <w:widowControl/>
              <w:jc w:val="center"/>
              <w:rPr>
                <w:rFonts w:ascii="Times New Roman" w:hAnsi="Times New Roman" w:eastAsia="仿宋" w:cs="宋体"/>
                <w:b/>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宋体"/>
                <w:b/>
                <w:color w:val="0D0D0D" w:themeColor="text1" w:themeTint="F2"/>
                <w:kern w:val="0"/>
                <w:sz w:val="24"/>
                <w:szCs w:val="24"/>
                <w14:textFill>
                  <w14:solidFill>
                    <w14:schemeClr w14:val="tx1">
                      <w14:lumMod w14:val="95000"/>
                      <w14:lumOff w14:val="5000"/>
                    </w14:schemeClr>
                  </w14:solidFill>
                </w14:textFill>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710" w:type="dxa"/>
            <w:shd w:val="clear" w:color="auto" w:fill="auto"/>
            <w:noWrap/>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1</w:t>
            </w:r>
          </w:p>
        </w:tc>
        <w:tc>
          <w:tcPr>
            <w:tcW w:w="1286" w:type="dxa"/>
            <w:shd w:val="clear" w:color="auto" w:fill="auto"/>
            <w:noWrap/>
            <w:vAlign w:val="center"/>
          </w:tcPr>
          <w:p>
            <w:pPr>
              <w:widowControl/>
              <w:rPr>
                <w:rFonts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保护区范围划定工程</w:t>
            </w:r>
          </w:p>
        </w:tc>
        <w:tc>
          <w:tcPr>
            <w:tcW w:w="1549" w:type="dxa"/>
            <w:shd w:val="clear" w:color="auto" w:fill="auto"/>
            <w:noWrap/>
            <w:vAlign w:val="center"/>
          </w:tcPr>
          <w:p>
            <w:pPr>
              <w:widowControl/>
              <w:rPr>
                <w:rFonts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保护区范围划定</w:t>
            </w:r>
          </w:p>
        </w:tc>
        <w:tc>
          <w:tcPr>
            <w:tcW w:w="7796" w:type="dxa"/>
            <w:shd w:val="clear" w:color="auto" w:fill="auto"/>
            <w:noWrap/>
            <w:vAlign w:val="center"/>
          </w:tcPr>
          <w:p>
            <w:pPr>
              <w:widowControl/>
              <w:rPr>
                <w:rFonts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亦佐水库一级保护区内</w:t>
            </w: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690</w:t>
            </w: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m</w:t>
            </w: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设立围网，一级保护区陆域边界按拐点设置界桩20个，保护区</w:t>
            </w: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道路</w:t>
            </w: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进出路口设置交通警示牌</w:t>
            </w: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4</w:t>
            </w: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块，进出道路口设置水源保护区宣传牌</w:t>
            </w: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2</w:t>
            </w: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块，大坝告示牌1块。</w:t>
            </w:r>
          </w:p>
        </w:tc>
        <w:tc>
          <w:tcPr>
            <w:tcW w:w="1417" w:type="dxa"/>
            <w:shd w:val="clear" w:color="auto" w:fill="auto"/>
            <w:noWrap/>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19.80</w:t>
            </w:r>
          </w:p>
        </w:tc>
        <w:tc>
          <w:tcPr>
            <w:tcW w:w="1592" w:type="dxa"/>
            <w:shd w:val="clear" w:color="auto" w:fill="auto"/>
            <w:noWrap/>
            <w:vAlign w:val="center"/>
          </w:tcPr>
          <w:p>
            <w:pPr>
              <w:widowControl/>
              <w:rPr>
                <w:rFonts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县水务局、县交通运输局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710" w:type="dxa"/>
            <w:shd w:val="clear" w:color="auto" w:fill="auto"/>
            <w:noWrap/>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2</w:t>
            </w:r>
          </w:p>
        </w:tc>
        <w:tc>
          <w:tcPr>
            <w:tcW w:w="1286" w:type="dxa"/>
            <w:vMerge w:val="restart"/>
            <w:shd w:val="clear" w:color="auto" w:fill="auto"/>
            <w:noWrap/>
            <w:vAlign w:val="center"/>
          </w:tcPr>
          <w:p>
            <w:pPr>
              <w:rPr>
                <w:rFonts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保护区整治工程</w:t>
            </w:r>
          </w:p>
        </w:tc>
        <w:tc>
          <w:tcPr>
            <w:tcW w:w="1549" w:type="dxa"/>
            <w:shd w:val="clear" w:color="auto" w:fill="auto"/>
            <w:noWrap/>
            <w:vAlign w:val="center"/>
          </w:tcPr>
          <w:p>
            <w:pPr>
              <w:widowControl/>
              <w:rPr>
                <w:rFonts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保护区退耕还林</w:t>
            </w:r>
          </w:p>
        </w:tc>
        <w:tc>
          <w:tcPr>
            <w:tcW w:w="7796" w:type="dxa"/>
            <w:shd w:val="clear" w:color="auto" w:fill="auto"/>
            <w:noWrap/>
            <w:vAlign w:val="center"/>
          </w:tcPr>
          <w:p>
            <w:pPr>
              <w:widowControl/>
              <w:rPr>
                <w:rFonts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一级保护区内全部耕地</w:t>
            </w: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339.64</w:t>
            </w: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亩实施退耕还林。</w:t>
            </w:r>
          </w:p>
        </w:tc>
        <w:tc>
          <w:tcPr>
            <w:tcW w:w="1417" w:type="dxa"/>
            <w:shd w:val="clear" w:color="auto" w:fill="auto"/>
            <w:noWrap/>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54.34</w:t>
            </w:r>
          </w:p>
        </w:tc>
        <w:tc>
          <w:tcPr>
            <w:tcW w:w="1592" w:type="dxa"/>
            <w:shd w:val="clear" w:color="auto" w:fill="auto"/>
            <w:noWrap/>
            <w:vAlign w:val="center"/>
          </w:tcPr>
          <w:p>
            <w:pPr>
              <w:widowControl/>
              <w:rPr>
                <w:rFonts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县林业林草局、县农业农村局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710" w:type="dxa"/>
            <w:shd w:val="clear" w:color="auto" w:fill="auto"/>
            <w:noWrap/>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3</w:t>
            </w:r>
          </w:p>
        </w:tc>
        <w:tc>
          <w:tcPr>
            <w:tcW w:w="1286" w:type="dxa"/>
            <w:vMerge w:val="continue"/>
            <w:shd w:val="clear" w:color="auto" w:fill="auto"/>
            <w:noWrap/>
            <w:vAlign w:val="center"/>
          </w:tcPr>
          <w:p>
            <w:pPr>
              <w:widowControl/>
              <w:rPr>
                <w:rFonts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pPr>
          </w:p>
        </w:tc>
        <w:tc>
          <w:tcPr>
            <w:tcW w:w="1549" w:type="dxa"/>
            <w:shd w:val="clear" w:color="auto" w:fill="auto"/>
            <w:noWrap/>
            <w:vAlign w:val="center"/>
          </w:tcPr>
          <w:p>
            <w:pPr>
              <w:widowControl/>
              <w:rPr>
                <w:rFonts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交通污染控制工程</w:t>
            </w:r>
          </w:p>
        </w:tc>
        <w:tc>
          <w:tcPr>
            <w:tcW w:w="7796" w:type="dxa"/>
            <w:shd w:val="clear" w:color="auto" w:fill="auto"/>
            <w:noWrap/>
            <w:vAlign w:val="center"/>
          </w:tcPr>
          <w:p>
            <w:pPr>
              <w:widowControl/>
              <w:rPr>
                <w:rFonts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完善一级保护区内0.53km道路截排水沟。</w:t>
            </w:r>
          </w:p>
        </w:tc>
        <w:tc>
          <w:tcPr>
            <w:tcW w:w="1417" w:type="dxa"/>
            <w:shd w:val="clear" w:color="auto" w:fill="auto"/>
            <w:noWrap/>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5.30</w:t>
            </w:r>
          </w:p>
        </w:tc>
        <w:tc>
          <w:tcPr>
            <w:tcW w:w="1592" w:type="dxa"/>
            <w:shd w:val="clear" w:color="auto" w:fill="auto"/>
            <w:noWrap/>
            <w:vAlign w:val="center"/>
          </w:tcPr>
          <w:p>
            <w:pPr>
              <w:widowControl/>
              <w:rPr>
                <w:rFonts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710" w:type="dxa"/>
            <w:shd w:val="clear" w:color="auto" w:fill="auto"/>
            <w:noWrap/>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4</w:t>
            </w:r>
          </w:p>
        </w:tc>
        <w:tc>
          <w:tcPr>
            <w:tcW w:w="1286" w:type="dxa"/>
            <w:vMerge w:val="restart"/>
            <w:shd w:val="clear" w:color="auto" w:fill="auto"/>
            <w:noWrap/>
            <w:vAlign w:val="center"/>
          </w:tcPr>
          <w:p>
            <w:pPr>
              <w:rPr>
                <w:rFonts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生态恢复与建设工程</w:t>
            </w:r>
          </w:p>
        </w:tc>
        <w:tc>
          <w:tcPr>
            <w:tcW w:w="1549" w:type="dxa"/>
            <w:shd w:val="clear" w:color="auto" w:fill="auto"/>
            <w:noWrap/>
            <w:vAlign w:val="center"/>
          </w:tcPr>
          <w:p>
            <w:pPr>
              <w:widowControl/>
              <w:rPr>
                <w:rFonts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退耕地人工造林</w:t>
            </w:r>
          </w:p>
        </w:tc>
        <w:tc>
          <w:tcPr>
            <w:tcW w:w="7796" w:type="dxa"/>
            <w:shd w:val="clear" w:color="auto" w:fill="auto"/>
            <w:noWrap/>
            <w:vAlign w:val="center"/>
          </w:tcPr>
          <w:p>
            <w:pPr>
              <w:widowControl/>
              <w:rPr>
                <w:rFonts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对亦佐水库一级保护区内全部耕地</w:t>
            </w: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339.64亩</w:t>
            </w: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退耕地实施人工造林。</w:t>
            </w:r>
          </w:p>
        </w:tc>
        <w:tc>
          <w:tcPr>
            <w:tcW w:w="1417" w:type="dxa"/>
            <w:shd w:val="clear" w:color="auto" w:fill="auto"/>
            <w:noWrap/>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50.95</w:t>
            </w:r>
          </w:p>
        </w:tc>
        <w:tc>
          <w:tcPr>
            <w:tcW w:w="1592" w:type="dxa"/>
            <w:shd w:val="clear" w:color="auto" w:fill="auto"/>
            <w:noWrap/>
            <w:vAlign w:val="center"/>
          </w:tcPr>
          <w:p>
            <w:pPr>
              <w:widowControl/>
              <w:rPr>
                <w:rFonts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县农业农村局、县林业林草局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710" w:type="dxa"/>
            <w:shd w:val="clear" w:color="auto" w:fill="auto"/>
            <w:noWrap/>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5</w:t>
            </w:r>
          </w:p>
        </w:tc>
        <w:tc>
          <w:tcPr>
            <w:tcW w:w="1286" w:type="dxa"/>
            <w:vMerge w:val="continue"/>
            <w:shd w:val="clear" w:color="auto" w:fill="auto"/>
            <w:noWrap/>
            <w:vAlign w:val="center"/>
          </w:tcPr>
          <w:p>
            <w:pPr>
              <w:widowControl/>
              <w:rPr>
                <w:rFonts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pPr>
          </w:p>
        </w:tc>
        <w:tc>
          <w:tcPr>
            <w:tcW w:w="1549" w:type="dxa"/>
            <w:shd w:val="clear" w:color="auto" w:fill="auto"/>
            <w:noWrap/>
            <w:vAlign w:val="center"/>
          </w:tcPr>
          <w:p>
            <w:pPr>
              <w:widowControl/>
              <w:rPr>
                <w:rFonts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水土流失治理工程</w:t>
            </w:r>
          </w:p>
        </w:tc>
        <w:tc>
          <w:tcPr>
            <w:tcW w:w="7796" w:type="dxa"/>
            <w:shd w:val="clear" w:color="auto" w:fill="auto"/>
            <w:noWrap/>
            <w:vAlign w:val="center"/>
          </w:tcPr>
          <w:p>
            <w:pPr>
              <w:widowControl/>
              <w:rPr>
                <w:rFonts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对水源地保护区水土流失面积进行综合治理，同时开展水土流失监测。亦佐水库一级保护区水土流失治理面积</w:t>
            </w: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28.15</w:t>
            </w: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hm</w:t>
            </w:r>
            <w:r>
              <w:rPr>
                <w:rFonts w:ascii="Times New Roman" w:hAnsi="Times New Roman" w:eastAsia="仿宋" w:cs="宋体"/>
                <w:color w:val="0D0D0D" w:themeColor="text1" w:themeTint="F2"/>
                <w:kern w:val="0"/>
                <w:sz w:val="24"/>
                <w:szCs w:val="24"/>
                <w:vertAlign w:val="superscript"/>
                <w14:textFill>
                  <w14:solidFill>
                    <w14:schemeClr w14:val="tx1">
                      <w14:lumMod w14:val="95000"/>
                      <w14:lumOff w14:val="5000"/>
                    </w14:schemeClr>
                  </w14:solidFill>
                </w14:textFill>
              </w:rPr>
              <w:t>2</w:t>
            </w: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w:t>
            </w:r>
          </w:p>
        </w:tc>
        <w:tc>
          <w:tcPr>
            <w:tcW w:w="1417" w:type="dxa"/>
            <w:shd w:val="clear" w:color="auto" w:fill="auto"/>
            <w:noWrap/>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14.08</w:t>
            </w:r>
          </w:p>
        </w:tc>
        <w:tc>
          <w:tcPr>
            <w:tcW w:w="1592" w:type="dxa"/>
            <w:shd w:val="clear" w:color="auto" w:fill="auto"/>
            <w:noWrap/>
            <w:vAlign w:val="center"/>
          </w:tcPr>
          <w:p>
            <w:pPr>
              <w:widowControl/>
              <w:rPr>
                <w:rFonts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县水务局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710" w:type="dxa"/>
            <w:shd w:val="clear" w:color="auto" w:fill="auto"/>
            <w:noWrap/>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6</w:t>
            </w:r>
          </w:p>
        </w:tc>
        <w:tc>
          <w:tcPr>
            <w:tcW w:w="1286" w:type="dxa"/>
            <w:vMerge w:val="restart"/>
            <w:shd w:val="clear" w:color="auto" w:fill="auto"/>
            <w:noWrap/>
            <w:vAlign w:val="center"/>
          </w:tcPr>
          <w:p>
            <w:pPr>
              <w:widowControl/>
              <w:rPr>
                <w:rFonts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管理能力建设工程</w:t>
            </w:r>
          </w:p>
        </w:tc>
        <w:tc>
          <w:tcPr>
            <w:tcW w:w="1549" w:type="dxa"/>
            <w:shd w:val="clear" w:color="auto" w:fill="auto"/>
            <w:noWrap/>
            <w:vAlign w:val="center"/>
          </w:tcPr>
          <w:p>
            <w:pPr>
              <w:widowControl/>
              <w:rPr>
                <w:rFonts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水源保护区环境监测网</w:t>
            </w:r>
          </w:p>
        </w:tc>
        <w:tc>
          <w:tcPr>
            <w:tcW w:w="7796" w:type="dxa"/>
            <w:shd w:val="clear" w:color="auto" w:fill="auto"/>
            <w:noWrap/>
            <w:vAlign w:val="center"/>
          </w:tcPr>
          <w:p>
            <w:pPr>
              <w:widowControl/>
              <w:rPr>
                <w:rFonts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建立水环境质量监测、生物监测和水土流失监测等共同组成的保护区环境监测网络，构建管理信息系统，提高保护区管理效率。</w:t>
            </w:r>
          </w:p>
        </w:tc>
        <w:tc>
          <w:tcPr>
            <w:tcW w:w="1417" w:type="dxa"/>
            <w:shd w:val="clear" w:color="auto" w:fill="auto"/>
            <w:noWrap/>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15.00</w:t>
            </w:r>
          </w:p>
        </w:tc>
        <w:tc>
          <w:tcPr>
            <w:tcW w:w="1592" w:type="dxa"/>
            <w:shd w:val="clear" w:color="auto" w:fill="auto"/>
            <w:noWrap/>
            <w:vAlign w:val="center"/>
          </w:tcPr>
          <w:p>
            <w:pPr>
              <w:widowControl/>
              <w:rPr>
                <w:rFonts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县生态环境局、县林业林草局、县水务局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710" w:type="dxa"/>
            <w:shd w:val="clear" w:color="auto" w:fill="auto"/>
            <w:noWrap/>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7</w:t>
            </w:r>
          </w:p>
        </w:tc>
        <w:tc>
          <w:tcPr>
            <w:tcW w:w="1286" w:type="dxa"/>
            <w:vMerge w:val="continue"/>
            <w:shd w:val="clear" w:color="auto" w:fill="auto"/>
            <w:vAlign w:val="center"/>
          </w:tcPr>
          <w:p>
            <w:pPr>
              <w:widowControl/>
              <w:jc w:val="left"/>
              <w:rPr>
                <w:rFonts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pPr>
          </w:p>
        </w:tc>
        <w:tc>
          <w:tcPr>
            <w:tcW w:w="1549" w:type="dxa"/>
            <w:shd w:val="clear" w:color="auto" w:fill="auto"/>
            <w:noWrap/>
            <w:vAlign w:val="center"/>
          </w:tcPr>
          <w:p>
            <w:pPr>
              <w:widowControl/>
              <w:rPr>
                <w:rFonts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预警及应急能力建设工程</w:t>
            </w:r>
          </w:p>
        </w:tc>
        <w:tc>
          <w:tcPr>
            <w:tcW w:w="7796" w:type="dxa"/>
            <w:shd w:val="clear" w:color="auto" w:fill="auto"/>
            <w:noWrap/>
            <w:vAlign w:val="center"/>
          </w:tcPr>
          <w:p>
            <w:pPr>
              <w:widowControl/>
              <w:rPr>
                <w:rFonts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建设饮用水水源地保护区内环境保护应急工程，制定应急方案，加强饮用水源突发环境事件应急处置能力，保障饮用水安全。</w:t>
            </w:r>
          </w:p>
        </w:tc>
        <w:tc>
          <w:tcPr>
            <w:tcW w:w="1417" w:type="dxa"/>
            <w:shd w:val="clear" w:color="auto" w:fill="auto"/>
            <w:noWrap/>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20.00</w:t>
            </w:r>
          </w:p>
        </w:tc>
        <w:tc>
          <w:tcPr>
            <w:tcW w:w="1592" w:type="dxa"/>
            <w:shd w:val="clear" w:color="auto" w:fill="auto"/>
            <w:noWrap/>
            <w:vAlign w:val="center"/>
          </w:tcPr>
          <w:p>
            <w:pPr>
              <w:widowControl/>
              <w:rPr>
                <w:rFonts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县生态环境分局、县水务局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710" w:type="dxa"/>
            <w:shd w:val="clear" w:color="auto" w:fill="auto"/>
            <w:noWrap/>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8</w:t>
            </w:r>
          </w:p>
        </w:tc>
        <w:tc>
          <w:tcPr>
            <w:tcW w:w="1286" w:type="dxa"/>
            <w:vMerge w:val="continue"/>
            <w:shd w:val="clear" w:color="auto" w:fill="auto"/>
            <w:vAlign w:val="center"/>
          </w:tcPr>
          <w:p>
            <w:pPr>
              <w:widowControl/>
              <w:jc w:val="left"/>
              <w:rPr>
                <w:rFonts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pPr>
          </w:p>
        </w:tc>
        <w:tc>
          <w:tcPr>
            <w:tcW w:w="1549" w:type="dxa"/>
            <w:shd w:val="clear" w:color="auto" w:fill="auto"/>
            <w:noWrap/>
            <w:vAlign w:val="center"/>
          </w:tcPr>
          <w:p>
            <w:pPr>
              <w:widowControl/>
              <w:rPr>
                <w:rFonts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管理能力建设</w:t>
            </w:r>
          </w:p>
        </w:tc>
        <w:tc>
          <w:tcPr>
            <w:tcW w:w="7796" w:type="dxa"/>
            <w:shd w:val="clear" w:color="auto" w:fill="auto"/>
            <w:noWrap/>
            <w:vAlign w:val="center"/>
          </w:tcPr>
          <w:p>
            <w:pPr>
              <w:widowControl/>
              <w:rPr>
                <w:rFonts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亦佐水库</w:t>
            </w: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做到</w:t>
            </w:r>
            <w:r>
              <w:rPr>
                <w:rFonts w:ascii="仿宋" w:hAnsi="仿宋" w:eastAsia="仿宋" w:cs="Times New Roman"/>
                <w:color w:val="0D0D0D" w:themeColor="text1" w:themeTint="F2"/>
                <w:kern w:val="0"/>
                <w:sz w:val="24"/>
                <w:szCs w:val="24"/>
                <w14:textFill>
                  <w14:solidFill>
                    <w14:schemeClr w14:val="tx1">
                      <w14:lumMod w14:val="95000"/>
                      <w14:lumOff w14:val="5000"/>
                    </w14:schemeClr>
                  </w14:solidFill>
                </w14:textFill>
              </w:rPr>
              <w:t>“一源一档”；</w:t>
            </w: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严格按相关法律法规要求开展水源保护区环境监管，定期巡查水库保护区，定期开展饮用水水源地环境状况评估。</w:t>
            </w:r>
          </w:p>
        </w:tc>
        <w:tc>
          <w:tcPr>
            <w:tcW w:w="1417" w:type="dxa"/>
            <w:shd w:val="clear" w:color="auto" w:fill="auto"/>
            <w:noWrap/>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20.00</w:t>
            </w:r>
          </w:p>
        </w:tc>
        <w:tc>
          <w:tcPr>
            <w:tcW w:w="1592" w:type="dxa"/>
            <w:shd w:val="clear" w:color="auto" w:fill="auto"/>
            <w:noWrap/>
            <w:vAlign w:val="center"/>
          </w:tcPr>
          <w:p>
            <w:pPr>
              <w:widowControl/>
              <w:rPr>
                <w:rFonts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县水务局、县生态环境分局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341" w:type="dxa"/>
            <w:gridSpan w:val="4"/>
            <w:shd w:val="clear" w:color="auto" w:fill="auto"/>
            <w:noWrap/>
            <w:vAlign w:val="center"/>
          </w:tcPr>
          <w:p>
            <w:pPr>
              <w:widowControl/>
              <w:jc w:val="center"/>
              <w:rPr>
                <w:rFonts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宋体"/>
                <w:color w:val="0D0D0D" w:themeColor="text1" w:themeTint="F2"/>
                <w:kern w:val="0"/>
                <w:sz w:val="24"/>
                <w:szCs w:val="24"/>
                <w14:textFill>
                  <w14:solidFill>
                    <w14:schemeClr w14:val="tx1">
                      <w14:lumMod w14:val="95000"/>
                      <w14:lumOff w14:val="5000"/>
                    </w14:schemeClr>
                  </w14:solidFill>
                </w14:textFill>
              </w:rPr>
              <w:t>合计</w:t>
            </w:r>
          </w:p>
        </w:tc>
        <w:tc>
          <w:tcPr>
            <w:tcW w:w="1417" w:type="dxa"/>
            <w:shd w:val="clear" w:color="auto" w:fill="auto"/>
            <w:noWrap/>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199.47</w:t>
            </w:r>
          </w:p>
        </w:tc>
        <w:tc>
          <w:tcPr>
            <w:tcW w:w="1592" w:type="dxa"/>
            <w:shd w:val="clear" w:color="auto" w:fill="auto"/>
            <w:noWrap/>
            <w:vAlign w:val="center"/>
          </w:tcPr>
          <w:p>
            <w:pPr>
              <w:widowControl/>
              <w:jc w:val="center"/>
              <w:rPr>
                <w:rFonts w:ascii="Times New Roman" w:hAnsi="Times New Roman" w:eastAsia="仿宋" w:cs="Times New Roman"/>
                <w:b/>
                <w:bCs/>
                <w:color w:val="0D0D0D" w:themeColor="text1" w:themeTint="F2"/>
                <w:kern w:val="0"/>
                <w:sz w:val="24"/>
                <w:szCs w:val="24"/>
                <w14:textFill>
                  <w14:solidFill>
                    <w14:schemeClr w14:val="tx1">
                      <w14:lumMod w14:val="95000"/>
                      <w14:lumOff w14:val="5000"/>
                    </w14:schemeClr>
                  </w14:solidFill>
                </w14:textFill>
              </w:rPr>
            </w:pPr>
          </w:p>
        </w:tc>
      </w:tr>
    </w:tbl>
    <w:p>
      <w:pPr>
        <w:adjustRightInd w:val="0"/>
        <w:snapToGrid w:val="0"/>
        <w:spacing w:line="360" w:lineRule="auto"/>
        <w:ind w:firstLine="420" w:firstLineChars="200"/>
        <w:rPr>
          <w:color w:val="0D0D0D" w:themeColor="text1" w:themeTint="F2"/>
          <w14:textFill>
            <w14:solidFill>
              <w14:schemeClr w14:val="tx1">
                <w14:lumMod w14:val="95000"/>
                <w14:lumOff w14:val="5000"/>
              </w14:schemeClr>
            </w14:solidFill>
          </w14:textFill>
        </w:rPr>
      </w:pPr>
    </w:p>
    <w:p>
      <w:pPr>
        <w:adjustRightInd w:val="0"/>
        <w:snapToGrid w:val="0"/>
        <w:spacing w:line="360" w:lineRule="auto"/>
        <w:ind w:firstLine="420" w:firstLineChars="200"/>
        <w:rPr>
          <w:color w:val="0D0D0D" w:themeColor="text1" w:themeTint="F2"/>
          <w14:textFill>
            <w14:solidFill>
              <w14:schemeClr w14:val="tx1">
                <w14:lumMod w14:val="95000"/>
                <w14:lumOff w14:val="5000"/>
              </w14:schemeClr>
            </w14:solidFill>
          </w14:textFill>
        </w:rPr>
        <w:sectPr>
          <w:pgSz w:w="16838" w:h="11906" w:orient="landscape"/>
          <w:pgMar w:top="1236" w:right="1440" w:bottom="1236" w:left="1440" w:header="851" w:footer="992" w:gutter="0"/>
          <w:pgNumType w:fmt="numberInDash"/>
          <w:cols w:space="0" w:num="1"/>
          <w:docGrid w:type="lines" w:linePitch="312" w:charSpace="0"/>
        </w:sectPr>
      </w:pPr>
    </w:p>
    <w:bookmarkEnd w:id="136"/>
    <w:p>
      <w:pPr>
        <w:pStyle w:val="3"/>
        <w:rPr>
          <w:color w:val="0D0D0D" w:themeColor="text1" w:themeTint="F2"/>
          <w14:textFill>
            <w14:solidFill>
              <w14:schemeClr w14:val="tx1">
                <w14:lumMod w14:val="95000"/>
                <w14:lumOff w14:val="5000"/>
              </w14:schemeClr>
            </w14:solidFill>
          </w14:textFill>
        </w:rPr>
      </w:pPr>
      <w:bookmarkStart w:id="155" w:name="_Toc27522217"/>
      <w:bookmarkStart w:id="156" w:name="_Toc12621603"/>
      <w:bookmarkStart w:id="157" w:name="_Toc25844370"/>
      <w:bookmarkStart w:id="158" w:name="_Toc12536222"/>
      <w:r>
        <w:rPr>
          <w:rFonts w:hint="eastAsia"/>
          <w:color w:val="0D0D0D" w:themeColor="text1" w:themeTint="F2"/>
          <w14:textFill>
            <w14:solidFill>
              <w14:schemeClr w14:val="tx1">
                <w14:lumMod w14:val="95000"/>
                <w14:lumOff w14:val="5000"/>
              </w14:schemeClr>
            </w14:solidFill>
          </w14:textFill>
        </w:rPr>
        <w:t>4</w:t>
      </w:r>
      <w:r>
        <w:rPr>
          <w:color w:val="0D0D0D" w:themeColor="text1" w:themeTint="F2"/>
          <w14:textFill>
            <w14:solidFill>
              <w14:schemeClr w14:val="tx1">
                <w14:lumMod w14:val="95000"/>
                <w14:lumOff w14:val="5000"/>
              </w14:schemeClr>
            </w14:solidFill>
          </w14:textFill>
        </w:rPr>
        <w:t>.</w:t>
      </w:r>
      <w:r>
        <w:rPr>
          <w:rFonts w:hint="eastAsia"/>
          <w:color w:val="0D0D0D" w:themeColor="text1" w:themeTint="F2"/>
          <w14:textFill>
            <w14:solidFill>
              <w14:schemeClr w14:val="tx1">
                <w14:lumMod w14:val="95000"/>
                <w14:lumOff w14:val="5000"/>
              </w14:schemeClr>
            </w14:solidFill>
          </w14:textFill>
        </w:rPr>
        <w:t>2 规范化建设目标达标的可行性分析</w:t>
      </w:r>
      <w:bookmarkEnd w:id="155"/>
      <w:bookmarkEnd w:id="156"/>
      <w:bookmarkEnd w:id="157"/>
      <w:bookmarkEnd w:id="158"/>
    </w:p>
    <w:p>
      <w:pPr>
        <w:pStyle w:val="4"/>
        <w:spacing w:before="120" w:after="120" w:line="415" w:lineRule="auto"/>
        <w:rPr>
          <w:color w:val="0D0D0D" w:themeColor="text1" w:themeTint="F2"/>
          <w:sz w:val="28"/>
          <w:szCs w:val="28"/>
          <w14:textFill>
            <w14:solidFill>
              <w14:schemeClr w14:val="tx1">
                <w14:lumMod w14:val="95000"/>
                <w14:lumOff w14:val="5000"/>
              </w14:schemeClr>
            </w14:solidFill>
          </w14:textFill>
        </w:rPr>
      </w:pPr>
      <w:bookmarkStart w:id="159" w:name="_Toc27522218"/>
      <w:bookmarkStart w:id="160" w:name="_Toc25844371"/>
      <w:bookmarkStart w:id="161" w:name="_Toc17982541"/>
      <w:bookmarkStart w:id="162" w:name="_Toc531261192"/>
      <w:bookmarkStart w:id="163" w:name="_Toc452322643"/>
      <w:bookmarkStart w:id="164" w:name="_Toc524596485"/>
      <w:bookmarkStart w:id="165" w:name="_Toc478742873"/>
      <w:bookmarkStart w:id="166" w:name="_Toc299451597"/>
      <w:bookmarkStart w:id="167" w:name="_Toc200905568"/>
      <w:bookmarkStart w:id="168" w:name="_Toc169526926"/>
      <w:bookmarkStart w:id="169" w:name="_Toc169506163"/>
      <w:bookmarkStart w:id="170" w:name="_Toc169504813"/>
      <w:r>
        <w:rPr>
          <w:rFonts w:hint="eastAsia"/>
          <w:color w:val="0D0D0D" w:themeColor="text1" w:themeTint="F2"/>
          <w:sz w:val="28"/>
          <w:szCs w:val="28"/>
          <w14:textFill>
            <w14:solidFill>
              <w14:schemeClr w14:val="tx1">
                <w14:lumMod w14:val="95000"/>
                <w14:lumOff w14:val="5000"/>
              </w14:schemeClr>
            </w14:solidFill>
          </w14:textFill>
        </w:rPr>
        <w:t xml:space="preserve">4.2.1 </w:t>
      </w:r>
      <w:r>
        <w:rPr>
          <w:color w:val="0D0D0D" w:themeColor="text1" w:themeTint="F2"/>
          <w:sz w:val="28"/>
          <w:szCs w:val="28"/>
          <w14:textFill>
            <w14:solidFill>
              <w14:schemeClr w14:val="tx1">
                <w14:lumMod w14:val="95000"/>
                <w14:lumOff w14:val="5000"/>
              </w14:schemeClr>
            </w14:solidFill>
          </w14:textFill>
        </w:rPr>
        <w:t>项目投资及预期效果</w:t>
      </w:r>
      <w:bookmarkEnd w:id="159"/>
      <w:bookmarkEnd w:id="160"/>
      <w:bookmarkEnd w:id="161"/>
      <w:bookmarkEnd w:id="162"/>
      <w:bookmarkEnd w:id="163"/>
      <w:bookmarkEnd w:id="164"/>
      <w:bookmarkEnd w:id="165"/>
      <w:bookmarkEnd w:id="166"/>
      <w:bookmarkEnd w:id="167"/>
      <w:bookmarkEnd w:id="168"/>
      <w:bookmarkEnd w:id="169"/>
      <w:bookmarkEnd w:id="170"/>
    </w:p>
    <w:p>
      <w:pPr>
        <w:autoSpaceDE w:val="0"/>
        <w:autoSpaceDN w:val="0"/>
        <w:adjustRightInd w:val="0"/>
        <w:snapToGrid w:val="0"/>
        <w:spacing w:line="360" w:lineRule="auto"/>
        <w:ind w:firstLine="561"/>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亦佐水库饮用水水源保护区规范化建设</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总投资约</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199.47</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万元，实现饮用</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水源</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保护区水质</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稳定达标</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p>
    <w:p>
      <w:pPr>
        <w:pStyle w:val="4"/>
        <w:spacing w:before="120" w:after="120" w:line="415" w:lineRule="auto"/>
        <w:rPr>
          <w:color w:val="0D0D0D" w:themeColor="text1" w:themeTint="F2"/>
          <w:sz w:val="28"/>
          <w:szCs w:val="28"/>
          <w14:textFill>
            <w14:solidFill>
              <w14:schemeClr w14:val="tx1">
                <w14:lumMod w14:val="95000"/>
                <w14:lumOff w14:val="5000"/>
              </w14:schemeClr>
            </w14:solidFill>
          </w14:textFill>
        </w:rPr>
      </w:pPr>
      <w:bookmarkStart w:id="171" w:name="_Toc169504814"/>
      <w:bookmarkStart w:id="172" w:name="_Toc169506164"/>
      <w:bookmarkStart w:id="173" w:name="_Toc169526927"/>
      <w:bookmarkStart w:id="174" w:name="_Toc200905569"/>
      <w:bookmarkStart w:id="175" w:name="_Toc299451598"/>
      <w:bookmarkStart w:id="176" w:name="_Toc452322644"/>
      <w:bookmarkStart w:id="177" w:name="_Toc478742874"/>
      <w:bookmarkStart w:id="178" w:name="_Toc524596486"/>
      <w:bookmarkStart w:id="179" w:name="_Toc531261193"/>
      <w:bookmarkStart w:id="180" w:name="_Toc17982542"/>
      <w:bookmarkStart w:id="181" w:name="_Toc25844372"/>
      <w:bookmarkStart w:id="182" w:name="_Toc27522219"/>
      <w:r>
        <w:rPr>
          <w:rFonts w:hint="eastAsia"/>
          <w:color w:val="0D0D0D" w:themeColor="text1" w:themeTint="F2"/>
          <w:sz w:val="28"/>
          <w:szCs w:val="28"/>
          <w14:textFill>
            <w14:solidFill>
              <w14:schemeClr w14:val="tx1">
                <w14:lumMod w14:val="95000"/>
                <w14:lumOff w14:val="5000"/>
              </w14:schemeClr>
            </w14:solidFill>
          </w14:textFill>
        </w:rPr>
        <w:t xml:space="preserve">4.2.2 </w:t>
      </w:r>
      <w:r>
        <w:rPr>
          <w:color w:val="0D0D0D" w:themeColor="text1" w:themeTint="F2"/>
          <w:sz w:val="28"/>
          <w:szCs w:val="28"/>
          <w14:textFill>
            <w14:solidFill>
              <w14:schemeClr w14:val="tx1">
                <w14:lumMod w14:val="95000"/>
                <w14:lumOff w14:val="5000"/>
              </w14:schemeClr>
            </w14:solidFill>
          </w14:textFill>
        </w:rPr>
        <w:t>保护区整治方案可行性</w:t>
      </w:r>
      <w:bookmarkEnd w:id="171"/>
      <w:bookmarkEnd w:id="172"/>
      <w:bookmarkEnd w:id="173"/>
      <w:bookmarkEnd w:id="174"/>
      <w:bookmarkEnd w:id="175"/>
      <w:bookmarkEnd w:id="176"/>
      <w:bookmarkEnd w:id="177"/>
      <w:bookmarkEnd w:id="178"/>
      <w:bookmarkEnd w:id="179"/>
      <w:bookmarkEnd w:id="180"/>
      <w:bookmarkEnd w:id="181"/>
      <w:bookmarkEnd w:id="182"/>
    </w:p>
    <w:p>
      <w:pPr>
        <w:adjustRightInd w:val="0"/>
        <w:snapToGrid w:val="0"/>
        <w:spacing w:line="360" w:lineRule="auto"/>
        <w:ind w:firstLine="562" w:firstLineChars="200"/>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pPr>
      <w:bookmarkStart w:id="183" w:name="_Toc200905570"/>
      <w:bookmarkStart w:id="184" w:name="_Toc299451599"/>
      <w:bookmarkStart w:id="185" w:name="_Toc452322645"/>
      <w:bookmarkStart w:id="186" w:name="_Toc478742875"/>
      <w:bookmarkStart w:id="187" w:name="_Toc524596487"/>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（1）</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保护区污染控制工程</w:t>
      </w:r>
      <w:bookmarkEnd w:id="183"/>
      <w:bookmarkEnd w:id="184"/>
      <w:bookmarkEnd w:id="185"/>
      <w:bookmarkEnd w:id="186"/>
      <w:bookmarkEnd w:id="187"/>
    </w:p>
    <w:p>
      <w:pPr>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为保障</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水质</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目标的实现，在一级保护区边界设置</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围网</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、标志、警示牌等，所有耕地实施退耕还林</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，加强交通污染防治</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一级保护区内规划的污染控制工程均针对区内现状污染源提出，所规划工程均符合国家相关政策及技术规范，具有较强的可操作性和可行性。这些方案实施后，可以最大限度降低一级保护区内的人为活动干扰对水源水质的影响，也将降低风险事故的发生概率和降低风险事故影响程度，对饮用水水质稳定达标具有积极作用。</w:t>
      </w:r>
    </w:p>
    <w:p>
      <w:pPr>
        <w:adjustRightInd w:val="0"/>
        <w:snapToGrid w:val="0"/>
        <w:spacing w:line="360" w:lineRule="auto"/>
        <w:ind w:firstLine="562" w:firstLineChars="200"/>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pPr>
      <w:bookmarkStart w:id="188" w:name="_Toc200905571"/>
      <w:bookmarkStart w:id="189" w:name="_Toc299451601"/>
      <w:bookmarkStart w:id="190" w:name="_Toc452322647"/>
      <w:bookmarkStart w:id="191" w:name="_Toc478742877"/>
      <w:bookmarkStart w:id="192" w:name="_Toc524596489"/>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（2）</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生态恢复与建设工程</w:t>
      </w:r>
      <w:bookmarkEnd w:id="188"/>
      <w:bookmarkEnd w:id="189"/>
      <w:bookmarkEnd w:id="190"/>
      <w:bookmarkEnd w:id="191"/>
      <w:bookmarkEnd w:id="192"/>
    </w:p>
    <w:p>
      <w:pPr>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通过</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人工造林</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和水土流失治理生态恢复建设工程，建设保护水源涵养林和水土保持林，将进一步提高保护区林草覆盖率，降低流域土壤侵蚀强度，从而提高流域水源涵养能力，降低</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污染物对水质的影响</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。工程实施将形成水源保护区以水源涵养为主的森林生态系统，确保水源地的陆生生态系统水源涵养功能的正常发挥，确保水源区水源充足，水质优良。</w:t>
      </w:r>
    </w:p>
    <w:p>
      <w:pPr>
        <w:adjustRightInd w:val="0"/>
        <w:snapToGrid w:val="0"/>
        <w:spacing w:line="360" w:lineRule="auto"/>
        <w:ind w:firstLine="562" w:firstLineChars="200"/>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pPr>
      <w:bookmarkStart w:id="193" w:name="_Toc299451602"/>
      <w:bookmarkStart w:id="194" w:name="_Toc452322648"/>
      <w:bookmarkStart w:id="195" w:name="_Toc478742878"/>
      <w:bookmarkStart w:id="196" w:name="_Toc524596490"/>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（3）</w:t>
      </w:r>
      <w:r>
        <w:rPr>
          <w:rFonts w:ascii="Times New Roman" w:hAnsi="Times New Roman" w:eastAsia="仿宋"/>
          <w:b/>
          <w:color w:val="0D0D0D" w:themeColor="text1" w:themeTint="F2"/>
          <w:sz w:val="28"/>
          <w:szCs w:val="28"/>
          <w14:textFill>
            <w14:solidFill>
              <w14:schemeClr w14:val="tx1">
                <w14:lumMod w14:val="95000"/>
                <w14:lumOff w14:val="5000"/>
              </w14:schemeClr>
            </w14:solidFill>
          </w14:textFill>
        </w:rPr>
        <w:t>管理能力和环境应急能力建设</w:t>
      </w:r>
      <w:bookmarkEnd w:id="193"/>
      <w:bookmarkEnd w:id="194"/>
      <w:bookmarkEnd w:id="195"/>
      <w:bookmarkEnd w:id="196"/>
      <w:r>
        <w:rPr>
          <w:rFonts w:hint="eastAsia" w:ascii="Times New Roman" w:hAnsi="Times New Roman" w:eastAsia="仿宋"/>
          <w:b/>
          <w:color w:val="0D0D0D" w:themeColor="text1" w:themeTint="F2"/>
          <w:sz w:val="28"/>
          <w:szCs w:val="28"/>
          <w14:textFill>
            <w14:solidFill>
              <w14:schemeClr w14:val="tx1">
                <w14:lumMod w14:val="95000"/>
                <w14:lumOff w14:val="5000"/>
              </w14:schemeClr>
            </w14:solidFill>
          </w14:textFill>
        </w:rPr>
        <w:t>工程</w:t>
      </w:r>
    </w:p>
    <w:p>
      <w:pPr>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建设</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县级</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饮用水源地统一和联合管理机构，建立水源地执法队伍；建设</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县级</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水源地管理数据共享平台，为系统管理</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集中式</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饮用水源地，合理调配水资源，实现统一管理提供数据和技术支撑；建设预警监控体系和应急处理体系，防范污染事件，提高处理效率，保障饮用水安全。</w:t>
      </w:r>
    </w:p>
    <w:p>
      <w:pPr>
        <w:pStyle w:val="4"/>
        <w:spacing w:before="120" w:after="120" w:line="415" w:lineRule="auto"/>
        <w:rPr>
          <w:color w:val="0D0D0D" w:themeColor="text1" w:themeTint="F2"/>
          <w:sz w:val="28"/>
          <w:szCs w:val="28"/>
          <w14:textFill>
            <w14:solidFill>
              <w14:schemeClr w14:val="tx1">
                <w14:lumMod w14:val="95000"/>
                <w14:lumOff w14:val="5000"/>
              </w14:schemeClr>
            </w14:solidFill>
          </w14:textFill>
        </w:rPr>
      </w:pPr>
      <w:bookmarkStart w:id="197" w:name="_Toc169504815"/>
      <w:bookmarkStart w:id="198" w:name="_Toc169506165"/>
      <w:bookmarkStart w:id="199" w:name="_Toc169526928"/>
      <w:bookmarkStart w:id="200" w:name="_Toc200905575"/>
      <w:bookmarkStart w:id="201" w:name="_Toc299451603"/>
      <w:bookmarkStart w:id="202" w:name="_Toc452322649"/>
      <w:bookmarkStart w:id="203" w:name="_Toc478742879"/>
      <w:bookmarkStart w:id="204" w:name="_Toc524596491"/>
      <w:bookmarkStart w:id="205" w:name="_Toc531261194"/>
      <w:bookmarkStart w:id="206" w:name="_Toc17982543"/>
      <w:bookmarkStart w:id="207" w:name="_Toc25844373"/>
      <w:bookmarkStart w:id="208" w:name="_Toc27522220"/>
      <w:r>
        <w:rPr>
          <w:rFonts w:hint="eastAsia"/>
          <w:color w:val="0D0D0D" w:themeColor="text1" w:themeTint="F2"/>
          <w:sz w:val="28"/>
          <w:szCs w:val="28"/>
          <w14:textFill>
            <w14:solidFill>
              <w14:schemeClr w14:val="tx1">
                <w14:lumMod w14:val="95000"/>
                <w14:lumOff w14:val="5000"/>
              </w14:schemeClr>
            </w14:solidFill>
          </w14:textFill>
        </w:rPr>
        <w:t xml:space="preserve">4.2.3 </w:t>
      </w:r>
      <w:r>
        <w:rPr>
          <w:color w:val="0D0D0D" w:themeColor="text1" w:themeTint="F2"/>
          <w:sz w:val="28"/>
          <w:szCs w:val="28"/>
          <w14:textFill>
            <w14:solidFill>
              <w14:schemeClr w14:val="tx1">
                <w14:lumMod w14:val="95000"/>
                <w14:lumOff w14:val="5000"/>
              </w14:schemeClr>
            </w14:solidFill>
          </w14:textFill>
        </w:rPr>
        <w:t>饮用水水源地水质目标可达性分析</w:t>
      </w:r>
      <w:bookmarkEnd w:id="197"/>
      <w:bookmarkEnd w:id="198"/>
      <w:bookmarkEnd w:id="199"/>
      <w:bookmarkEnd w:id="200"/>
      <w:bookmarkEnd w:id="201"/>
      <w:bookmarkEnd w:id="202"/>
      <w:bookmarkEnd w:id="203"/>
      <w:bookmarkEnd w:id="204"/>
      <w:bookmarkEnd w:id="205"/>
      <w:bookmarkEnd w:id="206"/>
      <w:bookmarkEnd w:id="207"/>
      <w:bookmarkEnd w:id="208"/>
    </w:p>
    <w:p>
      <w:pPr>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sectPr>
          <w:pgSz w:w="11906" w:h="16838"/>
          <w:pgMar w:top="1440" w:right="1800" w:bottom="1440" w:left="1800" w:header="851" w:footer="992" w:gutter="0"/>
          <w:pgNumType w:fmt="numberInDash"/>
          <w:cols w:space="425" w:num="1"/>
          <w:docGrid w:type="lines" w:linePitch="312" w:charSpace="0"/>
        </w:sectPr>
      </w:pP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对一级保护区实施保护区范围划定工程，</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减少</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人为活动对水质的影响</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同时实施污染防治、</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生态防护工程，</w:t>
      </w:r>
      <w:r>
        <w:rPr>
          <w:rFonts w:hint="eastAsia" w:ascii="Times New Roman" w:hAnsi="Times New Roman" w:eastAsia="仿宋"/>
          <w:color w:val="0D0D0D" w:themeColor="text1" w:themeTint="F2"/>
          <w:sz w:val="28"/>
          <w:szCs w:val="28"/>
          <w14:textFill>
            <w14:solidFill>
              <w14:schemeClr w14:val="tx1">
                <w14:lumMod w14:val="95000"/>
                <w14:lumOff w14:val="5000"/>
              </w14:schemeClr>
            </w14:solidFill>
          </w14:textFill>
        </w:rPr>
        <w:t>加强水源保护内涵养林建设，</w:t>
      </w:r>
      <w:r>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t>确保水源区水源充足，水质优良。</w:t>
      </w:r>
    </w:p>
    <w:p>
      <w:pPr>
        <w:keepNext/>
        <w:keepLines/>
        <w:spacing w:before="340" w:after="330" w:line="578" w:lineRule="auto"/>
        <w:jc w:val="center"/>
        <w:outlineLvl w:val="0"/>
        <w:rPr>
          <w:rFonts w:ascii="Times New Roman" w:hAnsi="Times New Roman" w:eastAsia="仿宋" w:cs="Times New Roman"/>
          <w:bCs/>
          <w:color w:val="0D0D0D" w:themeColor="text1" w:themeTint="F2"/>
          <w:kern w:val="44"/>
          <w:sz w:val="36"/>
          <w:szCs w:val="36"/>
          <w14:textFill>
            <w14:solidFill>
              <w14:schemeClr w14:val="tx1">
                <w14:lumMod w14:val="95000"/>
                <w14:lumOff w14:val="5000"/>
              </w14:schemeClr>
            </w14:solidFill>
          </w14:textFill>
        </w:rPr>
      </w:pPr>
      <w:bookmarkStart w:id="209" w:name="_Toc27522221"/>
      <w:r>
        <w:rPr>
          <w:rFonts w:hint="eastAsia" w:ascii="Times New Roman" w:hAnsi="Times New Roman" w:eastAsia="仿宋"/>
          <w:b/>
          <w:bCs/>
          <w:color w:val="0D0D0D" w:themeColor="text1" w:themeTint="F2"/>
          <w:kern w:val="44"/>
          <w:sz w:val="36"/>
          <w:szCs w:val="44"/>
          <w14:textFill>
            <w14:solidFill>
              <w14:schemeClr w14:val="tx1">
                <w14:lumMod w14:val="95000"/>
                <w14:lumOff w14:val="5000"/>
              </w14:schemeClr>
            </w14:solidFill>
          </w14:textFill>
        </w:rPr>
        <w:t>第五章饮用水水源保护区划分方案、图件及有关说明</w:t>
      </w:r>
      <w:bookmarkEnd w:id="128"/>
      <w:bookmarkEnd w:id="129"/>
      <w:bookmarkEnd w:id="209"/>
      <w:r>
        <w:rPr>
          <w:rFonts w:hint="eastAsia" w:ascii="Times New Roman" w:hAnsi="Times New Roman" w:eastAsia="仿宋" w:cs="Times New Roman"/>
          <w:bCs/>
          <w:color w:val="0D0D0D" w:themeColor="text1" w:themeTint="F2"/>
          <w:kern w:val="44"/>
          <w:sz w:val="36"/>
          <w:szCs w:val="36"/>
          <w14:textFill>
            <w14:solidFill>
              <w14:schemeClr w14:val="tx1">
                <w14:lumMod w14:val="95000"/>
                <w14:lumOff w14:val="5000"/>
              </w14:schemeClr>
            </w14:solidFill>
          </w14:textFill>
        </w:rPr>
        <w:t xml:space="preserve"> </w:t>
      </w:r>
    </w:p>
    <w:p>
      <w:pPr>
        <w:keepNext/>
        <w:keepLines/>
        <w:spacing w:before="260" w:after="260" w:line="416" w:lineRule="auto"/>
        <w:outlineLvl w:val="1"/>
        <w:rPr>
          <w:rFonts w:ascii="Times New Roman" w:hAnsi="Times New Roman" w:eastAsia="仿宋" w:cstheme="majorBidi"/>
          <w:b/>
          <w:bCs/>
          <w:color w:val="0D0D0D" w:themeColor="text1" w:themeTint="F2"/>
          <w:sz w:val="32"/>
          <w:szCs w:val="32"/>
          <w14:textFill>
            <w14:solidFill>
              <w14:schemeClr w14:val="tx1">
                <w14:lumMod w14:val="95000"/>
                <w14:lumOff w14:val="5000"/>
              </w14:schemeClr>
            </w14:solidFill>
          </w14:textFill>
        </w:rPr>
      </w:pPr>
      <w:bookmarkStart w:id="210" w:name="_Toc12621608"/>
      <w:bookmarkStart w:id="211" w:name="_Toc20409173"/>
      <w:bookmarkStart w:id="212" w:name="_Toc27522222"/>
      <w:r>
        <w:rPr>
          <w:rFonts w:hint="eastAsia" w:ascii="Times New Roman" w:hAnsi="Times New Roman" w:eastAsia="仿宋" w:cstheme="majorBidi"/>
          <w:b/>
          <w:bCs/>
          <w:color w:val="0D0D0D" w:themeColor="text1" w:themeTint="F2"/>
          <w:sz w:val="32"/>
          <w:szCs w:val="32"/>
          <w14:textFill>
            <w14:solidFill>
              <w14:schemeClr w14:val="tx1">
                <w14:lumMod w14:val="95000"/>
                <w14:lumOff w14:val="5000"/>
              </w14:schemeClr>
            </w14:solidFill>
          </w14:textFill>
        </w:rPr>
        <w:t>5</w:t>
      </w:r>
      <w:r>
        <w:rPr>
          <w:rFonts w:ascii="Times New Roman" w:hAnsi="Times New Roman" w:eastAsia="仿宋" w:cstheme="majorBidi"/>
          <w:b/>
          <w:bCs/>
          <w:color w:val="0D0D0D" w:themeColor="text1" w:themeTint="F2"/>
          <w:sz w:val="32"/>
          <w:szCs w:val="32"/>
          <w14:textFill>
            <w14:solidFill>
              <w14:schemeClr w14:val="tx1">
                <w14:lumMod w14:val="95000"/>
                <w14:lumOff w14:val="5000"/>
              </w14:schemeClr>
            </w14:solidFill>
          </w14:textFill>
        </w:rPr>
        <w:t>.1</w:t>
      </w:r>
      <w:r>
        <w:rPr>
          <w:rFonts w:hint="eastAsia" w:ascii="Times New Roman" w:hAnsi="Times New Roman" w:eastAsia="仿宋" w:cstheme="majorBidi"/>
          <w:b/>
          <w:bCs/>
          <w:color w:val="0D0D0D" w:themeColor="text1" w:themeTint="F2"/>
          <w:sz w:val="32"/>
          <w:szCs w:val="32"/>
          <w14:textFill>
            <w14:solidFill>
              <w14:schemeClr w14:val="tx1">
                <w14:lumMod w14:val="95000"/>
                <w14:lumOff w14:val="5000"/>
              </w14:schemeClr>
            </w14:solidFill>
          </w14:textFill>
        </w:rPr>
        <w:t xml:space="preserve"> 饮用水水源保护区划分方案</w:t>
      </w:r>
      <w:bookmarkEnd w:id="210"/>
      <w:bookmarkEnd w:id="211"/>
      <w:bookmarkEnd w:id="212"/>
    </w:p>
    <w:p>
      <w:pPr>
        <w:adjustRightInd w:val="0"/>
        <w:snapToGrid w:val="0"/>
        <w:spacing w:line="360" w:lineRule="auto"/>
        <w:ind w:firstLine="560" w:firstLineChars="200"/>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pP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亦佐水库属于小型山区型水库，</w:t>
      </w: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汇水</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面积为</w:t>
      </w: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0.7</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km</w:t>
      </w:r>
      <w:r>
        <w:rPr>
          <w:rFonts w:ascii="Times New Roman" w:hAnsi="Times New Roman" w:eastAsia="仿宋" w:cs="Times New Roman"/>
          <w:snapToGrid w:val="0"/>
          <w:color w:val="0D0D0D" w:themeColor="text1" w:themeTint="F2"/>
          <w:kern w:val="0"/>
          <w:sz w:val="28"/>
          <w:szCs w:val="28"/>
          <w:vertAlign w:val="superscript"/>
          <w14:textFill>
            <w14:solidFill>
              <w14:schemeClr w14:val="tx1">
                <w14:lumMod w14:val="95000"/>
                <w14:lumOff w14:val="5000"/>
              </w14:schemeClr>
            </w14:solidFill>
          </w14:textFill>
        </w:rPr>
        <w:t>2</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，汇水面积较小，部分区域正常水位水平外延200</w:t>
      </w: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m</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区域超出汇水分水岭，故只设置一级保护区。划分结果如下：</w:t>
      </w:r>
    </w:p>
    <w:p>
      <w:pPr>
        <w:adjustRightInd w:val="0"/>
        <w:snapToGrid w:val="0"/>
        <w:spacing w:line="360" w:lineRule="auto"/>
        <w:ind w:firstLine="560" w:firstLineChars="200"/>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pP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水域：正常水位</w:t>
      </w: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2088m</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以下水域，面积约</w:t>
      </w: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0.0316</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km</w:t>
      </w:r>
      <w:r>
        <w:rPr>
          <w:rFonts w:ascii="Times New Roman" w:hAnsi="Times New Roman" w:eastAsia="仿宋" w:cs="Times New Roman"/>
          <w:snapToGrid w:val="0"/>
          <w:color w:val="0D0D0D" w:themeColor="text1" w:themeTint="F2"/>
          <w:kern w:val="0"/>
          <w:sz w:val="28"/>
          <w:szCs w:val="28"/>
          <w:vertAlign w:val="superscript"/>
          <w14:textFill>
            <w14:solidFill>
              <w14:schemeClr w14:val="tx1">
                <w14:lumMod w14:val="95000"/>
                <w14:lumOff w14:val="5000"/>
              </w14:schemeClr>
            </w14:solidFill>
          </w14:textFill>
        </w:rPr>
        <w:t>2</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w:t>
      </w:r>
    </w:p>
    <w:p>
      <w:pPr>
        <w:adjustRightInd w:val="0"/>
        <w:snapToGrid w:val="0"/>
        <w:spacing w:line="360" w:lineRule="auto"/>
        <w:ind w:firstLine="560" w:firstLineChars="200"/>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pP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陆域：</w:t>
      </w: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水库整个流域</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陆域</w:t>
      </w: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面积</w:t>
      </w: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0.6963</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km</w:t>
      </w:r>
      <w:r>
        <w:rPr>
          <w:rFonts w:ascii="Times New Roman" w:hAnsi="Times New Roman" w:eastAsia="仿宋" w:cs="Times New Roman"/>
          <w:snapToGrid w:val="0"/>
          <w:color w:val="0D0D0D" w:themeColor="text1" w:themeTint="F2"/>
          <w:kern w:val="0"/>
          <w:sz w:val="28"/>
          <w:szCs w:val="28"/>
          <w:vertAlign w:val="superscript"/>
          <w14:textFill>
            <w14:solidFill>
              <w14:schemeClr w14:val="tx1">
                <w14:lumMod w14:val="95000"/>
                <w14:lumOff w14:val="5000"/>
              </w14:schemeClr>
            </w14:solidFill>
          </w14:textFill>
        </w:rPr>
        <w:t>2</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w:t>
      </w:r>
    </w:p>
    <w:p>
      <w:pPr>
        <w:adjustRightInd w:val="0"/>
        <w:snapToGrid w:val="0"/>
        <w:spacing w:line="360" w:lineRule="auto"/>
        <w:ind w:firstLine="560" w:firstLineChars="200"/>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pP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饮用水水源保护区由一级保护区组成，总面积</w:t>
      </w:r>
      <w:r>
        <w:rPr>
          <w:rFonts w:hint="eastAsia"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0.7279</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km</w:t>
      </w:r>
      <w:r>
        <w:rPr>
          <w:rFonts w:ascii="Times New Roman" w:hAnsi="Times New Roman" w:eastAsia="仿宋" w:cs="Times New Roman"/>
          <w:snapToGrid w:val="0"/>
          <w:color w:val="0D0D0D" w:themeColor="text1" w:themeTint="F2"/>
          <w:kern w:val="0"/>
          <w:sz w:val="28"/>
          <w:szCs w:val="28"/>
          <w:vertAlign w:val="superscript"/>
          <w14:textFill>
            <w14:solidFill>
              <w14:schemeClr w14:val="tx1">
                <w14:lumMod w14:val="95000"/>
                <w14:lumOff w14:val="5000"/>
              </w14:schemeClr>
            </w14:solidFill>
          </w14:textFill>
        </w:rPr>
        <w:t>2</w:t>
      </w:r>
      <w:r>
        <w:rPr>
          <w:rFonts w:ascii="Times New Roman" w:hAnsi="Times New Roman" w:eastAsia="仿宋" w:cs="Times New Roman"/>
          <w:snapToGrid w:val="0"/>
          <w:color w:val="0D0D0D" w:themeColor="text1" w:themeTint="F2"/>
          <w:kern w:val="0"/>
          <w:sz w:val="28"/>
          <w:szCs w:val="28"/>
          <w14:textFill>
            <w14:solidFill>
              <w14:schemeClr w14:val="tx1">
                <w14:lumMod w14:val="95000"/>
                <w14:lumOff w14:val="5000"/>
              </w14:schemeClr>
            </w14:solidFill>
          </w14:textFill>
        </w:rPr>
        <w:t>。</w:t>
      </w:r>
    </w:p>
    <w:p>
      <w:pPr>
        <w:keepNext/>
        <w:keepLines/>
        <w:spacing w:before="260" w:after="260" w:line="416" w:lineRule="auto"/>
        <w:outlineLvl w:val="1"/>
        <w:rPr>
          <w:rFonts w:ascii="Times New Roman" w:hAnsi="Times New Roman" w:eastAsia="仿宋" w:cstheme="majorBidi"/>
          <w:b/>
          <w:bCs/>
          <w:color w:val="0D0D0D" w:themeColor="text1" w:themeTint="F2"/>
          <w:sz w:val="32"/>
          <w:szCs w:val="32"/>
          <w14:textFill>
            <w14:solidFill>
              <w14:schemeClr w14:val="tx1">
                <w14:lumMod w14:val="95000"/>
                <w14:lumOff w14:val="5000"/>
              </w14:schemeClr>
            </w14:solidFill>
          </w14:textFill>
        </w:rPr>
      </w:pPr>
      <w:bookmarkStart w:id="213" w:name="_Toc12621609"/>
      <w:bookmarkStart w:id="214" w:name="_Toc20409174"/>
      <w:bookmarkStart w:id="215" w:name="_Toc27522223"/>
      <w:r>
        <w:rPr>
          <w:rFonts w:hint="eastAsia" w:ascii="Times New Roman" w:hAnsi="Times New Roman" w:eastAsia="仿宋" w:cstheme="majorBidi"/>
          <w:b/>
          <w:bCs/>
          <w:color w:val="0D0D0D" w:themeColor="text1" w:themeTint="F2"/>
          <w:sz w:val="32"/>
          <w:szCs w:val="32"/>
          <w14:textFill>
            <w14:solidFill>
              <w14:schemeClr w14:val="tx1">
                <w14:lumMod w14:val="95000"/>
                <w14:lumOff w14:val="5000"/>
              </w14:schemeClr>
            </w14:solidFill>
          </w14:textFill>
        </w:rPr>
        <w:t>5.2 饮用水水源保护区划分图件</w:t>
      </w:r>
      <w:bookmarkEnd w:id="213"/>
      <w:bookmarkEnd w:id="214"/>
      <w:bookmarkEnd w:id="215"/>
    </w:p>
    <w:p>
      <w:pPr>
        <w:adjustRightInd w:val="0"/>
        <w:snapToGrid w:val="0"/>
        <w:spacing w:line="360" w:lineRule="auto"/>
        <w:ind w:firstLine="584" w:firstLineChars="200"/>
        <w:rPr>
          <w:rFonts w:ascii="Times New Roman" w:hAnsi="Times New Roman" w:eastAsia="仿宋"/>
          <w:color w:val="0D0D0D" w:themeColor="text1" w:themeTint="F2"/>
          <w:spacing w:val="6"/>
          <w:sz w:val="28"/>
          <w:szCs w:val="28"/>
          <w14:textFill>
            <w14:solidFill>
              <w14:schemeClr w14:val="tx1">
                <w14:lumMod w14:val="95000"/>
                <w14:lumOff w14:val="5000"/>
              </w14:schemeClr>
            </w14:solidFill>
          </w14:textFill>
        </w:rPr>
      </w:pPr>
      <w:r>
        <w:rPr>
          <w:rFonts w:hint="eastAsia" w:ascii="Times New Roman" w:hAnsi="Times New Roman" w:eastAsia="仿宋"/>
          <w:color w:val="0D0D0D" w:themeColor="text1" w:themeTint="F2"/>
          <w:spacing w:val="6"/>
          <w:sz w:val="28"/>
          <w:szCs w:val="28"/>
          <w14:textFill>
            <w14:solidFill>
              <w14:schemeClr w14:val="tx1">
                <w14:lumMod w14:val="95000"/>
                <w14:lumOff w14:val="5000"/>
              </w14:schemeClr>
            </w14:solidFill>
          </w14:textFill>
        </w:rPr>
        <w:t>亦佐水库饮用水水源地边界主要拐点的经纬度坐标见表5-1。</w:t>
      </w:r>
    </w:p>
    <w:p>
      <w:pPr>
        <w:adjustRightInd w:val="0"/>
        <w:snapToGrid w:val="0"/>
        <w:spacing w:line="360" w:lineRule="auto"/>
        <w:jc w:val="cente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pPr>
      <w:bookmarkStart w:id="216" w:name="_Hlk529785264"/>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表</w:t>
      </w: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5</w:t>
      </w:r>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-1</w:t>
      </w:r>
      <w:r>
        <w:rPr>
          <w:rFonts w:hint="eastAsia"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 xml:space="preserve">  富源县亦佐</w:t>
      </w:r>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水库</w:t>
      </w:r>
      <w:bookmarkEnd w:id="216"/>
      <w:r>
        <w:rPr>
          <w:rFonts w:ascii="Times New Roman" w:hAnsi="Times New Roman" w:eastAsia="仿宋" w:cs="Times New Roman"/>
          <w:b/>
          <w:color w:val="0D0D0D" w:themeColor="text1" w:themeTint="F2"/>
          <w:sz w:val="28"/>
          <w:szCs w:val="28"/>
          <w14:textFill>
            <w14:solidFill>
              <w14:schemeClr w14:val="tx1">
                <w14:lumMod w14:val="95000"/>
                <w14:lumOff w14:val="5000"/>
              </w14:schemeClr>
            </w14:solidFill>
          </w14:textFill>
        </w:rPr>
        <w:t>饮用水水源一级保护区拐点坐标表</w:t>
      </w:r>
    </w:p>
    <w:tbl>
      <w:tblPr>
        <w:tblStyle w:val="4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3885"/>
        <w:gridCol w:w="3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blHeader/>
        </w:trPr>
        <w:tc>
          <w:tcPr>
            <w:tcW w:w="964" w:type="dxa"/>
            <w:shd w:val="clear" w:color="auto" w:fill="D8D8D8" w:themeFill="background1" w:themeFillShade="D9"/>
            <w:noWrap/>
            <w:vAlign w:val="center"/>
          </w:tcPr>
          <w:p>
            <w:pPr>
              <w:widowControl/>
              <w:jc w:val="center"/>
              <w:rPr>
                <w:rFonts w:ascii="仿宋" w:hAnsi="仿宋" w:eastAsia="仿宋" w:cs="宋体"/>
                <w:b/>
                <w:color w:val="0D0D0D" w:themeColor="text1" w:themeTint="F2"/>
                <w:kern w:val="0"/>
                <w:sz w:val="24"/>
                <w:szCs w:val="24"/>
                <w14:textFill>
                  <w14:solidFill>
                    <w14:schemeClr w14:val="tx1">
                      <w14:lumMod w14:val="95000"/>
                      <w14:lumOff w14:val="5000"/>
                    </w14:schemeClr>
                  </w14:solidFill>
                </w14:textFill>
              </w:rPr>
            </w:pPr>
            <w:bookmarkStart w:id="217" w:name="RANGE!A1:C21"/>
            <w:r>
              <w:rPr>
                <w:rFonts w:hint="eastAsia" w:ascii="仿宋" w:hAnsi="仿宋" w:eastAsia="仿宋" w:cs="宋体"/>
                <w:b/>
                <w:color w:val="0D0D0D" w:themeColor="text1" w:themeTint="F2"/>
                <w:kern w:val="0"/>
                <w:sz w:val="24"/>
                <w:szCs w:val="24"/>
                <w14:textFill>
                  <w14:solidFill>
                    <w14:schemeClr w14:val="tx1">
                      <w14:lumMod w14:val="95000"/>
                      <w14:lumOff w14:val="5000"/>
                    </w14:schemeClr>
                  </w14:solidFill>
                </w14:textFill>
              </w:rPr>
              <w:t>序号</w:t>
            </w:r>
            <w:bookmarkEnd w:id="217"/>
          </w:p>
        </w:tc>
        <w:tc>
          <w:tcPr>
            <w:tcW w:w="3885" w:type="dxa"/>
            <w:shd w:val="clear" w:color="auto" w:fill="D8D8D8" w:themeFill="background1" w:themeFillShade="D9"/>
            <w:noWrap/>
            <w:vAlign w:val="center"/>
          </w:tcPr>
          <w:p>
            <w:pPr>
              <w:widowControl/>
              <w:jc w:val="center"/>
              <w:rPr>
                <w:rFonts w:ascii="仿宋" w:hAnsi="仿宋" w:eastAsia="仿宋" w:cs="宋体"/>
                <w:b/>
                <w:color w:val="0D0D0D" w:themeColor="text1" w:themeTint="F2"/>
                <w:kern w:val="0"/>
                <w:sz w:val="24"/>
                <w:szCs w:val="24"/>
                <w14:textFill>
                  <w14:solidFill>
                    <w14:schemeClr w14:val="tx1">
                      <w14:lumMod w14:val="95000"/>
                      <w14:lumOff w14:val="5000"/>
                    </w14:schemeClr>
                  </w14:solidFill>
                </w14:textFill>
              </w:rPr>
            </w:pPr>
            <w:r>
              <w:rPr>
                <w:rFonts w:hint="eastAsia" w:ascii="仿宋" w:hAnsi="仿宋" w:eastAsia="仿宋" w:cs="宋体"/>
                <w:b/>
                <w:color w:val="0D0D0D" w:themeColor="text1" w:themeTint="F2"/>
                <w:kern w:val="0"/>
                <w:sz w:val="24"/>
                <w:szCs w:val="24"/>
                <w14:textFill>
                  <w14:solidFill>
                    <w14:schemeClr w14:val="tx1">
                      <w14:lumMod w14:val="95000"/>
                      <w14:lumOff w14:val="5000"/>
                    </w14:schemeClr>
                  </w14:solidFill>
                </w14:textFill>
              </w:rPr>
              <w:t>经度</w:t>
            </w:r>
          </w:p>
        </w:tc>
        <w:tc>
          <w:tcPr>
            <w:tcW w:w="3673" w:type="dxa"/>
            <w:shd w:val="clear" w:color="auto" w:fill="D8D8D8" w:themeFill="background1" w:themeFillShade="D9"/>
            <w:noWrap/>
            <w:vAlign w:val="center"/>
          </w:tcPr>
          <w:p>
            <w:pPr>
              <w:widowControl/>
              <w:jc w:val="center"/>
              <w:rPr>
                <w:rFonts w:ascii="仿宋" w:hAnsi="仿宋" w:eastAsia="仿宋" w:cs="宋体"/>
                <w:b/>
                <w:color w:val="0D0D0D" w:themeColor="text1" w:themeTint="F2"/>
                <w:kern w:val="0"/>
                <w:sz w:val="24"/>
                <w:szCs w:val="24"/>
                <w14:textFill>
                  <w14:solidFill>
                    <w14:schemeClr w14:val="tx1">
                      <w14:lumMod w14:val="95000"/>
                      <w14:lumOff w14:val="5000"/>
                    </w14:schemeClr>
                  </w14:solidFill>
                </w14:textFill>
              </w:rPr>
            </w:pPr>
            <w:r>
              <w:rPr>
                <w:rFonts w:hint="eastAsia" w:ascii="仿宋" w:hAnsi="仿宋" w:eastAsia="仿宋" w:cs="宋体"/>
                <w:b/>
                <w:color w:val="0D0D0D" w:themeColor="text1" w:themeTint="F2"/>
                <w:kern w:val="0"/>
                <w:sz w:val="24"/>
                <w:szCs w:val="24"/>
                <w14:textFill>
                  <w14:solidFill>
                    <w14:schemeClr w14:val="tx1">
                      <w14:lumMod w14:val="95000"/>
                      <w14:lumOff w14:val="5000"/>
                    </w14:schemeClr>
                  </w14:solidFill>
                </w14:textFill>
              </w:rPr>
              <w:t>纬度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4"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A1</w:t>
            </w:r>
          </w:p>
        </w:tc>
        <w:tc>
          <w:tcPr>
            <w:tcW w:w="3885"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104° 26' 54.206" E</w:t>
            </w:r>
          </w:p>
        </w:tc>
        <w:tc>
          <w:tcPr>
            <w:tcW w:w="3673"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25° 20' 23.061"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4"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A2</w:t>
            </w:r>
          </w:p>
        </w:tc>
        <w:tc>
          <w:tcPr>
            <w:tcW w:w="3885"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104° 26' 53.372" E</w:t>
            </w:r>
          </w:p>
        </w:tc>
        <w:tc>
          <w:tcPr>
            <w:tcW w:w="3673"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25° 20' 19.066"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4"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A3</w:t>
            </w:r>
          </w:p>
        </w:tc>
        <w:tc>
          <w:tcPr>
            <w:tcW w:w="3885"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104° 26' 49.938" E</w:t>
            </w:r>
          </w:p>
        </w:tc>
        <w:tc>
          <w:tcPr>
            <w:tcW w:w="3673"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25° 20' 14.081"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4"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A4</w:t>
            </w:r>
          </w:p>
        </w:tc>
        <w:tc>
          <w:tcPr>
            <w:tcW w:w="3885"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104° 26' 49.744" E</w:t>
            </w:r>
          </w:p>
        </w:tc>
        <w:tc>
          <w:tcPr>
            <w:tcW w:w="3673"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25° 20' 11.442"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4"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A5</w:t>
            </w:r>
          </w:p>
        </w:tc>
        <w:tc>
          <w:tcPr>
            <w:tcW w:w="3885"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104° 26' 52.636" E</w:t>
            </w:r>
          </w:p>
        </w:tc>
        <w:tc>
          <w:tcPr>
            <w:tcW w:w="3673"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25° 20' 9.032"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4"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A6</w:t>
            </w:r>
          </w:p>
        </w:tc>
        <w:tc>
          <w:tcPr>
            <w:tcW w:w="3885"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104° 26' 49.333" E</w:t>
            </w:r>
          </w:p>
        </w:tc>
        <w:tc>
          <w:tcPr>
            <w:tcW w:w="3673"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25° 20' 3.155"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4"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A7</w:t>
            </w:r>
          </w:p>
        </w:tc>
        <w:tc>
          <w:tcPr>
            <w:tcW w:w="3885"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104° 26' 46.327" E</w:t>
            </w:r>
          </w:p>
        </w:tc>
        <w:tc>
          <w:tcPr>
            <w:tcW w:w="3673"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25° 19' 59.198"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4"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A8</w:t>
            </w:r>
          </w:p>
        </w:tc>
        <w:tc>
          <w:tcPr>
            <w:tcW w:w="3885"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104° 26' 38.789" E</w:t>
            </w:r>
          </w:p>
        </w:tc>
        <w:tc>
          <w:tcPr>
            <w:tcW w:w="3673"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25° 20' 0.859"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4"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A9</w:t>
            </w:r>
          </w:p>
        </w:tc>
        <w:tc>
          <w:tcPr>
            <w:tcW w:w="3885"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104° 26' 34.101" E</w:t>
            </w:r>
          </w:p>
        </w:tc>
        <w:tc>
          <w:tcPr>
            <w:tcW w:w="3673"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25° 19' 55.453"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4"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A10</w:t>
            </w:r>
          </w:p>
        </w:tc>
        <w:tc>
          <w:tcPr>
            <w:tcW w:w="3885"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104° 26' 32.282" E</w:t>
            </w:r>
          </w:p>
        </w:tc>
        <w:tc>
          <w:tcPr>
            <w:tcW w:w="3673"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25° 19' 49.567"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4"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A11</w:t>
            </w:r>
          </w:p>
        </w:tc>
        <w:tc>
          <w:tcPr>
            <w:tcW w:w="3885"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104° 26' 26.878" E</w:t>
            </w:r>
          </w:p>
        </w:tc>
        <w:tc>
          <w:tcPr>
            <w:tcW w:w="3673"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25° 19' 54.379"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4"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A12</w:t>
            </w:r>
          </w:p>
        </w:tc>
        <w:tc>
          <w:tcPr>
            <w:tcW w:w="3885"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104° 26' 20.886" E</w:t>
            </w:r>
          </w:p>
        </w:tc>
        <w:tc>
          <w:tcPr>
            <w:tcW w:w="3673"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25° 19' 59.523"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4"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A13</w:t>
            </w:r>
          </w:p>
        </w:tc>
        <w:tc>
          <w:tcPr>
            <w:tcW w:w="3885"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104° 26' 17.152" E</w:t>
            </w:r>
          </w:p>
        </w:tc>
        <w:tc>
          <w:tcPr>
            <w:tcW w:w="3673"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25° 20' 3.240"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4"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A14</w:t>
            </w:r>
          </w:p>
        </w:tc>
        <w:tc>
          <w:tcPr>
            <w:tcW w:w="3885"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104° 26' 18.745" E</w:t>
            </w:r>
          </w:p>
        </w:tc>
        <w:tc>
          <w:tcPr>
            <w:tcW w:w="3673"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25° 20' 9.460"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4"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A15</w:t>
            </w:r>
          </w:p>
        </w:tc>
        <w:tc>
          <w:tcPr>
            <w:tcW w:w="3885"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104° 26' 15.686" E</w:t>
            </w:r>
          </w:p>
        </w:tc>
        <w:tc>
          <w:tcPr>
            <w:tcW w:w="3673"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25° 20' 12.096"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4"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A16</w:t>
            </w:r>
          </w:p>
        </w:tc>
        <w:tc>
          <w:tcPr>
            <w:tcW w:w="3885"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104° 26' 21.023" E</w:t>
            </w:r>
          </w:p>
        </w:tc>
        <w:tc>
          <w:tcPr>
            <w:tcW w:w="3673"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25° 20' 17.546"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4"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A17</w:t>
            </w:r>
          </w:p>
        </w:tc>
        <w:tc>
          <w:tcPr>
            <w:tcW w:w="3885"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104° 26' 29.190" E</w:t>
            </w:r>
          </w:p>
        </w:tc>
        <w:tc>
          <w:tcPr>
            <w:tcW w:w="3673"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25° 20' 21.164"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4"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A18</w:t>
            </w:r>
          </w:p>
        </w:tc>
        <w:tc>
          <w:tcPr>
            <w:tcW w:w="3885"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104° 26' 36.567" E</w:t>
            </w:r>
          </w:p>
        </w:tc>
        <w:tc>
          <w:tcPr>
            <w:tcW w:w="3673"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25° 20' 26.080"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4"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A19</w:t>
            </w:r>
          </w:p>
        </w:tc>
        <w:tc>
          <w:tcPr>
            <w:tcW w:w="3885"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104° 26' 44.189" E</w:t>
            </w:r>
          </w:p>
        </w:tc>
        <w:tc>
          <w:tcPr>
            <w:tcW w:w="3673"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25° 20' 26.031"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4"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A20</w:t>
            </w:r>
          </w:p>
        </w:tc>
        <w:tc>
          <w:tcPr>
            <w:tcW w:w="3885"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104° 26' 51.320" E</w:t>
            </w:r>
          </w:p>
        </w:tc>
        <w:tc>
          <w:tcPr>
            <w:tcW w:w="3673" w:type="dxa"/>
            <w:shd w:val="clear" w:color="auto" w:fill="auto"/>
            <w:noWrap/>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25° 20' 25.833" N</w:t>
            </w:r>
          </w:p>
        </w:tc>
      </w:tr>
    </w:tbl>
    <w:p>
      <w:pPr>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p>
    <w:p>
      <w:pPr>
        <w:adjustRightInd w:val="0"/>
        <w:snapToGrid w:val="0"/>
        <w:spacing w:line="360" w:lineRule="auto"/>
        <w:ind w:firstLine="560" w:firstLineChars="200"/>
        <w:rPr>
          <w:rFonts w:ascii="Times New Roman" w:hAnsi="Times New Roman" w:eastAsia="仿宋"/>
          <w:color w:val="0D0D0D" w:themeColor="text1" w:themeTint="F2"/>
          <w:sz w:val="28"/>
          <w:szCs w:val="28"/>
          <w14:textFill>
            <w14:solidFill>
              <w14:schemeClr w14:val="tx1">
                <w14:lumMod w14:val="95000"/>
                <w14:lumOff w14:val="5000"/>
              </w14:schemeClr>
            </w14:solidFill>
          </w14:textFill>
        </w:rPr>
      </w:pPr>
    </w:p>
    <w:p>
      <w:pPr>
        <w:widowControl/>
        <w:snapToGrid w:val="0"/>
        <w:spacing w:line="360" w:lineRule="auto"/>
        <w:outlineLvl w:val="0"/>
        <w:rPr>
          <w:rFonts w:ascii="Times New Roman" w:hAnsi="Times New Roman" w:eastAsia="仿宋" w:cs="Times New Roman"/>
          <w:b/>
          <w:color w:val="0D0D0D" w:themeColor="text1" w:themeTint="F2"/>
          <w:sz w:val="36"/>
          <w:szCs w:val="36"/>
          <w14:textFill>
            <w14:solidFill>
              <w14:schemeClr w14:val="tx1">
                <w14:lumMod w14:val="95000"/>
                <w14:lumOff w14:val="5000"/>
              </w14:schemeClr>
            </w14:solidFill>
          </w14:textFill>
        </w:rPr>
        <w:sectPr>
          <w:pgSz w:w="11906" w:h="16838"/>
          <w:pgMar w:top="1440" w:right="1800" w:bottom="1440" w:left="1800" w:header="851" w:footer="992" w:gutter="0"/>
          <w:pgNumType w:fmt="numberInDash"/>
          <w:cols w:space="425" w:num="1"/>
          <w:docGrid w:type="lines" w:linePitch="312" w:charSpace="0"/>
        </w:sectPr>
      </w:pPr>
    </w:p>
    <w:bookmarkEnd w:id="108"/>
    <w:bookmarkEnd w:id="109"/>
    <w:bookmarkEnd w:id="110"/>
    <w:p>
      <w:pPr>
        <w:pStyle w:val="3"/>
        <w:ind w:left="141"/>
        <w:rPr>
          <w:rFonts w:cs="Times New Roman"/>
          <w:color w:val="0D0D0D" w:themeColor="text1" w:themeTint="F2"/>
          <w:sz w:val="28"/>
          <w:szCs w:val="28"/>
          <w14:textFill>
            <w14:solidFill>
              <w14:schemeClr w14:val="tx1">
                <w14:lumMod w14:val="95000"/>
                <w14:lumOff w14:val="5000"/>
              </w14:schemeClr>
            </w14:solidFill>
          </w14:textFill>
        </w:rPr>
      </w:pPr>
      <w:bookmarkStart w:id="218" w:name="_Toc27522224"/>
      <w:bookmarkStart w:id="219" w:name="_Toc12621932"/>
      <w:bookmarkStart w:id="220" w:name="_Toc531261196"/>
      <w:r>
        <w:rPr>
          <w:rFonts w:cs="Times New Roman"/>
          <w:color w:val="0D0D0D" w:themeColor="text1" w:themeTint="F2"/>
          <w:sz w:val="28"/>
          <w:szCs w:val="28"/>
          <w14:textFill>
            <w14:solidFill>
              <w14:schemeClr w14:val="tx1">
                <w14:lumMod w14:val="95000"/>
                <w14:lumOff w14:val="5000"/>
              </w14:schemeClr>
            </w14:solidFill>
          </w14:textFill>
        </w:rPr>
        <w:t>附表1 富源县（2018年）基础信息调查表</w:t>
      </w:r>
      <w:bookmarkEnd w:id="218"/>
      <w:bookmarkEnd w:id="219"/>
      <w:bookmarkEnd w:id="220"/>
    </w:p>
    <w:tbl>
      <w:tblPr>
        <w:tblStyle w:val="45"/>
        <w:tblW w:w="1417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73"/>
        <w:gridCol w:w="1613"/>
        <w:gridCol w:w="1613"/>
        <w:gridCol w:w="1613"/>
        <w:gridCol w:w="1613"/>
        <w:gridCol w:w="1613"/>
        <w:gridCol w:w="1613"/>
        <w:gridCol w:w="1613"/>
        <w:gridCol w:w="161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0" w:hRule="atLeast"/>
        </w:trPr>
        <w:tc>
          <w:tcPr>
            <w:tcW w:w="1273" w:type="dxa"/>
            <w:vAlign w:val="center"/>
          </w:tcPr>
          <w:p>
            <w:pPr>
              <w:widowControl/>
              <w:jc w:val="center"/>
              <w:rPr>
                <w:rFonts w:ascii="仿宋" w:hAnsi="仿宋" w:eastAsia="仿宋" w:cstheme="majorBidi"/>
                <w:b/>
                <w:bCs/>
                <w:color w:val="0D0D0D" w:themeColor="text1" w:themeTint="F2"/>
                <w:sz w:val="24"/>
                <w:szCs w:val="32"/>
                <w14:textFill>
                  <w14:solidFill>
                    <w14:schemeClr w14:val="tx1">
                      <w14:lumMod w14:val="95000"/>
                      <w14:lumOff w14:val="5000"/>
                    </w14:schemeClr>
                  </w14:solidFill>
                </w14:textFill>
              </w:rPr>
            </w:pPr>
            <w:r>
              <w:rPr>
                <w:rFonts w:hint="eastAsia" w:ascii="仿宋" w:hAnsi="仿宋" w:eastAsia="仿宋" w:cstheme="majorBidi"/>
                <w:b/>
                <w:bCs/>
                <w:color w:val="0D0D0D" w:themeColor="text1" w:themeTint="F2"/>
                <w:sz w:val="24"/>
                <w:szCs w:val="32"/>
                <w14:textFill>
                  <w14:solidFill>
                    <w14:schemeClr w14:val="tx1">
                      <w14:lumMod w14:val="95000"/>
                      <w14:lumOff w14:val="5000"/>
                    </w14:schemeClr>
                  </w14:solidFill>
                </w14:textFill>
              </w:rPr>
              <w:t>区县名称</w:t>
            </w:r>
          </w:p>
        </w:tc>
        <w:tc>
          <w:tcPr>
            <w:tcW w:w="1613" w:type="dxa"/>
            <w:vAlign w:val="center"/>
          </w:tcPr>
          <w:p>
            <w:pPr>
              <w:widowControl/>
              <w:jc w:val="center"/>
              <w:rPr>
                <w:rFonts w:ascii="仿宋" w:hAnsi="仿宋" w:eastAsia="仿宋" w:cstheme="majorBidi"/>
                <w:b/>
                <w:bCs/>
                <w:color w:val="0D0D0D" w:themeColor="text1" w:themeTint="F2"/>
                <w:sz w:val="24"/>
                <w:szCs w:val="32"/>
                <w14:textFill>
                  <w14:solidFill>
                    <w14:schemeClr w14:val="tx1">
                      <w14:lumMod w14:val="95000"/>
                      <w14:lumOff w14:val="5000"/>
                    </w14:schemeClr>
                  </w14:solidFill>
                </w14:textFill>
              </w:rPr>
            </w:pPr>
            <w:r>
              <w:rPr>
                <w:rFonts w:hint="eastAsia" w:ascii="仿宋" w:hAnsi="仿宋" w:eastAsia="仿宋" w:cstheme="majorBidi"/>
                <w:b/>
                <w:bCs/>
                <w:color w:val="0D0D0D" w:themeColor="text1" w:themeTint="F2"/>
                <w:sz w:val="24"/>
                <w:szCs w:val="32"/>
                <w14:textFill>
                  <w14:solidFill>
                    <w14:schemeClr w14:val="tx1">
                      <w14:lumMod w14:val="95000"/>
                      <w14:lumOff w14:val="5000"/>
                    </w14:schemeClr>
                  </w14:solidFill>
                </w14:textFill>
              </w:rPr>
              <w:t>人口</w:t>
            </w:r>
          </w:p>
          <w:p>
            <w:pPr>
              <w:widowControl/>
              <w:jc w:val="center"/>
              <w:rPr>
                <w:rFonts w:ascii="仿宋" w:hAnsi="仿宋" w:eastAsia="仿宋" w:cstheme="majorBidi"/>
                <w:b/>
                <w:bCs/>
                <w:color w:val="0D0D0D" w:themeColor="text1" w:themeTint="F2"/>
                <w:sz w:val="24"/>
                <w:szCs w:val="32"/>
                <w14:textFill>
                  <w14:solidFill>
                    <w14:schemeClr w14:val="tx1">
                      <w14:lumMod w14:val="95000"/>
                      <w14:lumOff w14:val="5000"/>
                    </w14:schemeClr>
                  </w14:solidFill>
                </w14:textFill>
              </w:rPr>
            </w:pPr>
            <w:r>
              <w:rPr>
                <w:rFonts w:hint="eastAsia" w:ascii="仿宋" w:hAnsi="仿宋" w:eastAsia="仿宋" w:cstheme="majorBidi"/>
                <w:b/>
                <w:bCs/>
                <w:color w:val="0D0D0D" w:themeColor="text1" w:themeTint="F2"/>
                <w:sz w:val="24"/>
                <w:szCs w:val="32"/>
                <w14:textFill>
                  <w14:solidFill>
                    <w14:schemeClr w14:val="tx1">
                      <w14:lumMod w14:val="95000"/>
                      <w14:lumOff w14:val="5000"/>
                    </w14:schemeClr>
                  </w14:solidFill>
                </w14:textFill>
              </w:rPr>
              <w:t>（万人）</w:t>
            </w:r>
          </w:p>
        </w:tc>
        <w:tc>
          <w:tcPr>
            <w:tcW w:w="1613" w:type="dxa"/>
            <w:vAlign w:val="center"/>
          </w:tcPr>
          <w:p>
            <w:pPr>
              <w:widowControl/>
              <w:jc w:val="center"/>
              <w:rPr>
                <w:rFonts w:ascii="仿宋" w:hAnsi="仿宋" w:eastAsia="仿宋" w:cstheme="majorBidi"/>
                <w:b/>
                <w:bCs/>
                <w:color w:val="0D0D0D" w:themeColor="text1" w:themeTint="F2"/>
                <w:sz w:val="24"/>
                <w:szCs w:val="32"/>
                <w14:textFill>
                  <w14:solidFill>
                    <w14:schemeClr w14:val="tx1">
                      <w14:lumMod w14:val="95000"/>
                      <w14:lumOff w14:val="5000"/>
                    </w14:schemeClr>
                  </w14:solidFill>
                </w14:textFill>
              </w:rPr>
            </w:pPr>
            <w:r>
              <w:rPr>
                <w:rFonts w:hint="eastAsia" w:ascii="仿宋" w:hAnsi="仿宋" w:eastAsia="仿宋" w:cstheme="majorBidi"/>
                <w:b/>
                <w:bCs/>
                <w:color w:val="0D0D0D" w:themeColor="text1" w:themeTint="F2"/>
                <w:sz w:val="24"/>
                <w:szCs w:val="32"/>
                <w14:textFill>
                  <w14:solidFill>
                    <w14:schemeClr w14:val="tx1">
                      <w14:lumMod w14:val="95000"/>
                      <w14:lumOff w14:val="5000"/>
                    </w14:schemeClr>
                  </w14:solidFill>
                </w14:textFill>
              </w:rPr>
              <w:t>面积</w:t>
            </w:r>
          </w:p>
          <w:p>
            <w:pPr>
              <w:widowControl/>
              <w:jc w:val="center"/>
              <w:rPr>
                <w:rFonts w:ascii="仿宋" w:hAnsi="仿宋" w:eastAsia="仿宋" w:cstheme="majorBidi"/>
                <w:b/>
                <w:bCs/>
                <w:color w:val="0D0D0D" w:themeColor="text1" w:themeTint="F2"/>
                <w:sz w:val="24"/>
                <w:szCs w:val="32"/>
                <w14:textFill>
                  <w14:solidFill>
                    <w14:schemeClr w14:val="tx1">
                      <w14:lumMod w14:val="95000"/>
                      <w14:lumOff w14:val="5000"/>
                    </w14:schemeClr>
                  </w14:solidFill>
                </w14:textFill>
              </w:rPr>
            </w:pPr>
            <w:r>
              <w:rPr>
                <w:rFonts w:hint="eastAsia" w:ascii="仿宋" w:hAnsi="仿宋" w:eastAsia="仿宋" w:cstheme="majorBidi"/>
                <w:b/>
                <w:bCs/>
                <w:color w:val="0D0D0D" w:themeColor="text1" w:themeTint="F2"/>
                <w:sz w:val="24"/>
                <w:szCs w:val="32"/>
                <w14:textFill>
                  <w14:solidFill>
                    <w14:schemeClr w14:val="tx1">
                      <w14:lumMod w14:val="95000"/>
                      <w14:lumOff w14:val="5000"/>
                    </w14:schemeClr>
                  </w14:solidFill>
                </w14:textFill>
              </w:rPr>
              <w:t>（平方公里）</w:t>
            </w:r>
          </w:p>
        </w:tc>
        <w:tc>
          <w:tcPr>
            <w:tcW w:w="1613" w:type="dxa"/>
            <w:vAlign w:val="center"/>
          </w:tcPr>
          <w:p>
            <w:pPr>
              <w:widowControl/>
              <w:jc w:val="center"/>
              <w:rPr>
                <w:rFonts w:ascii="Times New Roman" w:hAnsi="Times New Roman" w:eastAsia="仿宋" w:cs="Times New Roman"/>
                <w:b/>
                <w:bCs/>
                <w:color w:val="0D0D0D" w:themeColor="text1" w:themeTint="F2"/>
                <w:sz w:val="24"/>
                <w:szCs w:val="32"/>
                <w14:textFill>
                  <w14:solidFill>
                    <w14:schemeClr w14:val="tx1">
                      <w14:lumMod w14:val="95000"/>
                      <w14:lumOff w14:val="5000"/>
                    </w14:schemeClr>
                  </w14:solidFill>
                </w14:textFill>
              </w:rPr>
            </w:pPr>
            <w:r>
              <w:rPr>
                <w:rFonts w:ascii="Times New Roman" w:hAnsi="Times New Roman" w:eastAsia="仿宋" w:cs="Times New Roman"/>
                <w:b/>
                <w:bCs/>
                <w:color w:val="0D0D0D" w:themeColor="text1" w:themeTint="F2"/>
                <w:sz w:val="24"/>
                <w:szCs w:val="32"/>
                <w14:textFill>
                  <w14:solidFill>
                    <w14:schemeClr w14:val="tx1">
                      <w14:lumMod w14:val="95000"/>
                      <w14:lumOff w14:val="5000"/>
                    </w14:schemeClr>
                  </w14:solidFill>
                </w14:textFill>
              </w:rPr>
              <w:t>GDP</w:t>
            </w:r>
          </w:p>
          <w:p>
            <w:pPr>
              <w:widowControl/>
              <w:jc w:val="center"/>
              <w:rPr>
                <w:rFonts w:ascii="Times New Roman" w:hAnsi="Times New Roman" w:eastAsia="仿宋" w:cs="Times New Roman"/>
                <w:b/>
                <w:bCs/>
                <w:color w:val="0D0D0D" w:themeColor="text1" w:themeTint="F2"/>
                <w:sz w:val="24"/>
                <w:szCs w:val="32"/>
                <w14:textFill>
                  <w14:solidFill>
                    <w14:schemeClr w14:val="tx1">
                      <w14:lumMod w14:val="95000"/>
                      <w14:lumOff w14:val="5000"/>
                    </w14:schemeClr>
                  </w14:solidFill>
                </w14:textFill>
              </w:rPr>
            </w:pPr>
            <w:r>
              <w:rPr>
                <w:rFonts w:ascii="Times New Roman" w:hAnsi="Times New Roman" w:eastAsia="仿宋" w:cs="Times New Roman"/>
                <w:b/>
                <w:bCs/>
                <w:color w:val="0D0D0D" w:themeColor="text1" w:themeTint="F2"/>
                <w:sz w:val="24"/>
                <w:szCs w:val="32"/>
                <w14:textFill>
                  <w14:solidFill>
                    <w14:schemeClr w14:val="tx1">
                      <w14:lumMod w14:val="95000"/>
                      <w14:lumOff w14:val="5000"/>
                    </w14:schemeClr>
                  </w14:solidFill>
                </w14:textFill>
              </w:rPr>
              <w:t>（亿元）</w:t>
            </w:r>
          </w:p>
        </w:tc>
        <w:tc>
          <w:tcPr>
            <w:tcW w:w="1613" w:type="dxa"/>
            <w:vAlign w:val="center"/>
          </w:tcPr>
          <w:p>
            <w:pPr>
              <w:widowControl/>
              <w:jc w:val="center"/>
              <w:rPr>
                <w:rFonts w:ascii="仿宋" w:hAnsi="仿宋" w:eastAsia="仿宋" w:cstheme="majorBidi"/>
                <w:b/>
                <w:bCs/>
                <w:color w:val="0D0D0D" w:themeColor="text1" w:themeTint="F2"/>
                <w:sz w:val="24"/>
                <w:szCs w:val="32"/>
                <w14:textFill>
                  <w14:solidFill>
                    <w14:schemeClr w14:val="tx1">
                      <w14:lumMod w14:val="95000"/>
                      <w14:lumOff w14:val="5000"/>
                    </w14:schemeClr>
                  </w14:solidFill>
                </w14:textFill>
              </w:rPr>
            </w:pPr>
            <w:r>
              <w:rPr>
                <w:rFonts w:hint="eastAsia" w:ascii="仿宋" w:hAnsi="仿宋" w:eastAsia="仿宋" w:cstheme="majorBidi"/>
                <w:b/>
                <w:bCs/>
                <w:color w:val="0D0D0D" w:themeColor="text1" w:themeTint="F2"/>
                <w:sz w:val="24"/>
                <w:szCs w:val="32"/>
                <w14:textFill>
                  <w14:solidFill>
                    <w14:schemeClr w14:val="tx1">
                      <w14:lumMod w14:val="95000"/>
                      <w14:lumOff w14:val="5000"/>
                    </w14:schemeClr>
                  </w14:solidFill>
                </w14:textFill>
              </w:rPr>
              <w:t>第一产业</w:t>
            </w:r>
          </w:p>
          <w:p>
            <w:pPr>
              <w:widowControl/>
              <w:jc w:val="center"/>
              <w:rPr>
                <w:rFonts w:ascii="仿宋" w:hAnsi="仿宋" w:eastAsia="仿宋" w:cstheme="majorBidi"/>
                <w:b/>
                <w:bCs/>
                <w:color w:val="0D0D0D" w:themeColor="text1" w:themeTint="F2"/>
                <w:sz w:val="24"/>
                <w:szCs w:val="32"/>
                <w14:textFill>
                  <w14:solidFill>
                    <w14:schemeClr w14:val="tx1">
                      <w14:lumMod w14:val="95000"/>
                      <w14:lumOff w14:val="5000"/>
                    </w14:schemeClr>
                  </w14:solidFill>
                </w14:textFill>
              </w:rPr>
            </w:pPr>
            <w:r>
              <w:rPr>
                <w:rFonts w:hint="eastAsia" w:ascii="仿宋" w:hAnsi="仿宋" w:eastAsia="仿宋" w:cstheme="majorBidi"/>
                <w:b/>
                <w:bCs/>
                <w:color w:val="0D0D0D" w:themeColor="text1" w:themeTint="F2"/>
                <w:sz w:val="24"/>
                <w:szCs w:val="32"/>
                <w14:textFill>
                  <w14:solidFill>
                    <w14:schemeClr w14:val="tx1">
                      <w14:lumMod w14:val="95000"/>
                      <w14:lumOff w14:val="5000"/>
                    </w14:schemeClr>
                  </w14:solidFill>
                </w14:textFill>
              </w:rPr>
              <w:t>（亿元）</w:t>
            </w:r>
          </w:p>
        </w:tc>
        <w:tc>
          <w:tcPr>
            <w:tcW w:w="1613" w:type="dxa"/>
            <w:vAlign w:val="center"/>
          </w:tcPr>
          <w:p>
            <w:pPr>
              <w:widowControl/>
              <w:jc w:val="center"/>
              <w:rPr>
                <w:rFonts w:ascii="仿宋" w:hAnsi="仿宋" w:eastAsia="仿宋" w:cstheme="majorBidi"/>
                <w:b/>
                <w:bCs/>
                <w:color w:val="0D0D0D" w:themeColor="text1" w:themeTint="F2"/>
                <w:sz w:val="24"/>
                <w:szCs w:val="32"/>
                <w14:textFill>
                  <w14:solidFill>
                    <w14:schemeClr w14:val="tx1">
                      <w14:lumMod w14:val="95000"/>
                      <w14:lumOff w14:val="5000"/>
                    </w14:schemeClr>
                  </w14:solidFill>
                </w14:textFill>
              </w:rPr>
            </w:pPr>
            <w:r>
              <w:rPr>
                <w:rFonts w:hint="eastAsia" w:ascii="仿宋" w:hAnsi="仿宋" w:eastAsia="仿宋" w:cstheme="majorBidi"/>
                <w:b/>
                <w:bCs/>
                <w:color w:val="0D0D0D" w:themeColor="text1" w:themeTint="F2"/>
                <w:sz w:val="24"/>
                <w:szCs w:val="32"/>
                <w14:textFill>
                  <w14:solidFill>
                    <w14:schemeClr w14:val="tx1">
                      <w14:lumMod w14:val="95000"/>
                      <w14:lumOff w14:val="5000"/>
                    </w14:schemeClr>
                  </w14:solidFill>
                </w14:textFill>
              </w:rPr>
              <w:t>第二产业</w:t>
            </w:r>
          </w:p>
          <w:p>
            <w:pPr>
              <w:widowControl/>
              <w:jc w:val="center"/>
              <w:rPr>
                <w:rFonts w:ascii="仿宋" w:hAnsi="仿宋" w:eastAsia="仿宋" w:cstheme="majorBidi"/>
                <w:b/>
                <w:bCs/>
                <w:color w:val="0D0D0D" w:themeColor="text1" w:themeTint="F2"/>
                <w:sz w:val="24"/>
                <w:szCs w:val="32"/>
                <w14:textFill>
                  <w14:solidFill>
                    <w14:schemeClr w14:val="tx1">
                      <w14:lumMod w14:val="95000"/>
                      <w14:lumOff w14:val="5000"/>
                    </w14:schemeClr>
                  </w14:solidFill>
                </w14:textFill>
              </w:rPr>
            </w:pPr>
            <w:r>
              <w:rPr>
                <w:rFonts w:hint="eastAsia" w:ascii="仿宋" w:hAnsi="仿宋" w:eastAsia="仿宋" w:cstheme="majorBidi"/>
                <w:b/>
                <w:bCs/>
                <w:color w:val="0D0D0D" w:themeColor="text1" w:themeTint="F2"/>
                <w:sz w:val="24"/>
                <w:szCs w:val="32"/>
                <w14:textFill>
                  <w14:solidFill>
                    <w14:schemeClr w14:val="tx1">
                      <w14:lumMod w14:val="95000"/>
                      <w14:lumOff w14:val="5000"/>
                    </w14:schemeClr>
                  </w14:solidFill>
                </w14:textFill>
              </w:rPr>
              <w:t>（亿元）</w:t>
            </w:r>
          </w:p>
        </w:tc>
        <w:tc>
          <w:tcPr>
            <w:tcW w:w="1613" w:type="dxa"/>
            <w:vAlign w:val="center"/>
          </w:tcPr>
          <w:p>
            <w:pPr>
              <w:widowControl/>
              <w:jc w:val="center"/>
              <w:rPr>
                <w:rFonts w:ascii="仿宋" w:hAnsi="仿宋" w:eastAsia="仿宋" w:cstheme="majorBidi"/>
                <w:b/>
                <w:bCs/>
                <w:color w:val="0D0D0D" w:themeColor="text1" w:themeTint="F2"/>
                <w:sz w:val="24"/>
                <w:szCs w:val="32"/>
                <w14:textFill>
                  <w14:solidFill>
                    <w14:schemeClr w14:val="tx1">
                      <w14:lumMod w14:val="95000"/>
                      <w14:lumOff w14:val="5000"/>
                    </w14:schemeClr>
                  </w14:solidFill>
                </w14:textFill>
              </w:rPr>
            </w:pPr>
            <w:r>
              <w:rPr>
                <w:rFonts w:hint="eastAsia" w:ascii="仿宋" w:hAnsi="仿宋" w:eastAsia="仿宋" w:cstheme="majorBidi"/>
                <w:b/>
                <w:bCs/>
                <w:color w:val="0D0D0D" w:themeColor="text1" w:themeTint="F2"/>
                <w:sz w:val="24"/>
                <w:szCs w:val="32"/>
                <w14:textFill>
                  <w14:solidFill>
                    <w14:schemeClr w14:val="tx1">
                      <w14:lumMod w14:val="95000"/>
                      <w14:lumOff w14:val="5000"/>
                    </w14:schemeClr>
                  </w14:solidFill>
                </w14:textFill>
              </w:rPr>
              <w:t>第三产业</w:t>
            </w:r>
          </w:p>
          <w:p>
            <w:pPr>
              <w:widowControl/>
              <w:jc w:val="center"/>
              <w:rPr>
                <w:rFonts w:ascii="仿宋" w:hAnsi="仿宋" w:eastAsia="仿宋" w:cstheme="majorBidi"/>
                <w:b/>
                <w:bCs/>
                <w:color w:val="0D0D0D" w:themeColor="text1" w:themeTint="F2"/>
                <w:sz w:val="24"/>
                <w:szCs w:val="32"/>
                <w14:textFill>
                  <w14:solidFill>
                    <w14:schemeClr w14:val="tx1">
                      <w14:lumMod w14:val="95000"/>
                      <w14:lumOff w14:val="5000"/>
                    </w14:schemeClr>
                  </w14:solidFill>
                </w14:textFill>
              </w:rPr>
            </w:pPr>
            <w:r>
              <w:rPr>
                <w:rFonts w:hint="eastAsia" w:ascii="仿宋" w:hAnsi="仿宋" w:eastAsia="仿宋" w:cstheme="majorBidi"/>
                <w:b/>
                <w:bCs/>
                <w:color w:val="0D0D0D" w:themeColor="text1" w:themeTint="F2"/>
                <w:sz w:val="24"/>
                <w:szCs w:val="32"/>
                <w14:textFill>
                  <w14:solidFill>
                    <w14:schemeClr w14:val="tx1">
                      <w14:lumMod w14:val="95000"/>
                      <w14:lumOff w14:val="5000"/>
                    </w14:schemeClr>
                  </w14:solidFill>
                </w14:textFill>
              </w:rPr>
              <w:t>（亿元）</w:t>
            </w:r>
          </w:p>
        </w:tc>
        <w:tc>
          <w:tcPr>
            <w:tcW w:w="1613" w:type="dxa"/>
            <w:vAlign w:val="center"/>
          </w:tcPr>
          <w:p>
            <w:pPr>
              <w:widowControl/>
              <w:jc w:val="center"/>
              <w:rPr>
                <w:rFonts w:ascii="仿宋" w:hAnsi="仿宋" w:eastAsia="仿宋" w:cstheme="majorBidi"/>
                <w:b/>
                <w:bCs/>
                <w:color w:val="0D0D0D" w:themeColor="text1" w:themeTint="F2"/>
                <w:sz w:val="24"/>
                <w:szCs w:val="32"/>
                <w14:textFill>
                  <w14:solidFill>
                    <w14:schemeClr w14:val="tx1">
                      <w14:lumMod w14:val="95000"/>
                      <w14:lumOff w14:val="5000"/>
                    </w14:schemeClr>
                  </w14:solidFill>
                </w14:textFill>
              </w:rPr>
            </w:pPr>
            <w:r>
              <w:rPr>
                <w:rFonts w:hint="eastAsia" w:ascii="仿宋" w:hAnsi="仿宋" w:eastAsia="仿宋" w:cstheme="majorBidi"/>
                <w:b/>
                <w:bCs/>
                <w:color w:val="0D0D0D" w:themeColor="text1" w:themeTint="F2"/>
                <w:sz w:val="24"/>
                <w:szCs w:val="32"/>
                <w14:textFill>
                  <w14:solidFill>
                    <w14:schemeClr w14:val="tx1">
                      <w14:lumMod w14:val="95000"/>
                      <w14:lumOff w14:val="5000"/>
                    </w14:schemeClr>
                  </w14:solidFill>
                </w14:textFill>
              </w:rPr>
              <w:t>年降雨量（</w:t>
            </w:r>
            <w:r>
              <w:rPr>
                <w:rFonts w:ascii="Times New Roman" w:hAnsi="Times New Roman" w:eastAsia="仿宋" w:cs="Times New Roman"/>
                <w:b/>
                <w:bCs/>
                <w:color w:val="0D0D0D" w:themeColor="text1" w:themeTint="F2"/>
                <w:sz w:val="24"/>
                <w:szCs w:val="32"/>
                <w14:textFill>
                  <w14:solidFill>
                    <w14:schemeClr w14:val="tx1">
                      <w14:lumMod w14:val="95000"/>
                      <w14:lumOff w14:val="5000"/>
                    </w14:schemeClr>
                  </w14:solidFill>
                </w14:textFill>
              </w:rPr>
              <w:t>mm）</w:t>
            </w:r>
          </w:p>
        </w:tc>
        <w:tc>
          <w:tcPr>
            <w:tcW w:w="1610" w:type="dxa"/>
            <w:vAlign w:val="center"/>
          </w:tcPr>
          <w:p>
            <w:pPr>
              <w:widowControl/>
              <w:jc w:val="center"/>
              <w:rPr>
                <w:rFonts w:ascii="仿宋" w:hAnsi="仿宋" w:eastAsia="仿宋" w:cstheme="majorBidi"/>
                <w:b/>
                <w:bCs/>
                <w:color w:val="0D0D0D" w:themeColor="text1" w:themeTint="F2"/>
                <w:sz w:val="24"/>
                <w:szCs w:val="32"/>
                <w14:textFill>
                  <w14:solidFill>
                    <w14:schemeClr w14:val="tx1">
                      <w14:lumMod w14:val="95000"/>
                      <w14:lumOff w14:val="5000"/>
                    </w14:schemeClr>
                  </w14:solidFill>
                </w14:textFill>
              </w:rPr>
            </w:pPr>
            <w:r>
              <w:rPr>
                <w:rFonts w:hint="eastAsia" w:ascii="仿宋" w:hAnsi="仿宋" w:eastAsia="仿宋" w:cstheme="majorBidi"/>
                <w:b/>
                <w:bCs/>
                <w:color w:val="0D0D0D" w:themeColor="text1" w:themeTint="F2"/>
                <w:sz w:val="24"/>
                <w:szCs w:val="32"/>
                <w14:textFill>
                  <w14:solidFill>
                    <w14:schemeClr w14:val="tx1">
                      <w14:lumMod w14:val="95000"/>
                      <w14:lumOff w14:val="5000"/>
                    </w14:schemeClr>
                  </w14:solidFill>
                </w14:textFill>
              </w:rPr>
              <w:t>耕地面积</w:t>
            </w:r>
          </w:p>
          <w:p>
            <w:pPr>
              <w:widowControl/>
              <w:jc w:val="center"/>
              <w:rPr>
                <w:rFonts w:ascii="仿宋" w:hAnsi="仿宋" w:eastAsia="仿宋" w:cstheme="majorBidi"/>
                <w:b/>
                <w:bCs/>
                <w:color w:val="0D0D0D" w:themeColor="text1" w:themeTint="F2"/>
                <w:sz w:val="24"/>
                <w:szCs w:val="32"/>
                <w14:textFill>
                  <w14:solidFill>
                    <w14:schemeClr w14:val="tx1">
                      <w14:lumMod w14:val="95000"/>
                      <w14:lumOff w14:val="5000"/>
                    </w14:schemeClr>
                  </w14:solidFill>
                </w14:textFill>
              </w:rPr>
            </w:pPr>
            <w:r>
              <w:rPr>
                <w:rFonts w:hint="eastAsia" w:ascii="仿宋" w:hAnsi="仿宋" w:eastAsia="仿宋" w:cstheme="majorBidi"/>
                <w:b/>
                <w:bCs/>
                <w:color w:val="0D0D0D" w:themeColor="text1" w:themeTint="F2"/>
                <w:sz w:val="24"/>
                <w:szCs w:val="32"/>
                <w14:textFill>
                  <w14:solidFill>
                    <w14:schemeClr w14:val="tx1">
                      <w14:lumMod w14:val="95000"/>
                      <w14:lumOff w14:val="5000"/>
                    </w14:schemeClr>
                  </w14:solidFill>
                </w14:textFill>
              </w:rPr>
              <w:t>（万亩）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0" w:hRule="atLeast"/>
        </w:trPr>
        <w:tc>
          <w:tcPr>
            <w:tcW w:w="1273" w:type="dxa"/>
            <w:vAlign w:val="center"/>
          </w:tcPr>
          <w:p>
            <w:pPr>
              <w:widowControl/>
              <w:jc w:val="center"/>
              <w:rPr>
                <w:rFonts w:ascii="仿宋" w:hAnsi="仿宋" w:eastAsia="仿宋" w:cstheme="majorBidi"/>
                <w:bCs/>
                <w:color w:val="0D0D0D" w:themeColor="text1" w:themeTint="F2"/>
                <w:sz w:val="24"/>
                <w:szCs w:val="32"/>
                <w14:textFill>
                  <w14:solidFill>
                    <w14:schemeClr w14:val="tx1">
                      <w14:lumMod w14:val="95000"/>
                      <w14:lumOff w14:val="5000"/>
                    </w14:schemeClr>
                  </w14:solidFill>
                </w14:textFill>
              </w:rPr>
            </w:pPr>
            <w:r>
              <w:rPr>
                <w:rFonts w:hint="eastAsia" w:ascii="仿宋" w:hAnsi="仿宋" w:eastAsia="仿宋" w:cstheme="majorBidi"/>
                <w:bCs/>
                <w:color w:val="0D0D0D" w:themeColor="text1" w:themeTint="F2"/>
                <w:sz w:val="24"/>
                <w:szCs w:val="32"/>
                <w14:textFill>
                  <w14:solidFill>
                    <w14:schemeClr w14:val="tx1">
                      <w14:lumMod w14:val="95000"/>
                      <w14:lumOff w14:val="5000"/>
                    </w14:schemeClr>
                  </w14:solidFill>
                </w14:textFill>
              </w:rPr>
              <w:t>富源县</w:t>
            </w:r>
          </w:p>
        </w:tc>
        <w:tc>
          <w:tcPr>
            <w:tcW w:w="1613" w:type="dxa"/>
            <w:vAlign w:val="center"/>
          </w:tcPr>
          <w:p>
            <w:pPr>
              <w:widowControl/>
              <w:jc w:val="center"/>
              <w:rPr>
                <w:rFonts w:ascii="Times New Roman" w:hAnsi="Times New Roman" w:eastAsia="仿宋" w:cs="Times New Roman"/>
                <w:bCs/>
                <w:color w:val="0D0D0D" w:themeColor="text1" w:themeTint="F2"/>
                <w:sz w:val="24"/>
                <w:szCs w:val="32"/>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32"/>
                <w14:textFill>
                  <w14:solidFill>
                    <w14:schemeClr w14:val="tx1">
                      <w14:lumMod w14:val="95000"/>
                      <w14:lumOff w14:val="5000"/>
                    </w14:schemeClr>
                  </w14:solidFill>
                </w14:textFill>
              </w:rPr>
              <w:t>83.44</w:t>
            </w:r>
          </w:p>
        </w:tc>
        <w:tc>
          <w:tcPr>
            <w:tcW w:w="1613" w:type="dxa"/>
            <w:vAlign w:val="center"/>
          </w:tcPr>
          <w:p>
            <w:pPr>
              <w:widowControl/>
              <w:jc w:val="center"/>
              <w:rPr>
                <w:rFonts w:ascii="Times New Roman" w:hAnsi="Times New Roman" w:eastAsia="仿宋" w:cs="Times New Roman"/>
                <w:bCs/>
                <w:color w:val="0D0D0D" w:themeColor="text1" w:themeTint="F2"/>
                <w:sz w:val="24"/>
                <w:szCs w:val="32"/>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32"/>
                <w14:textFill>
                  <w14:solidFill>
                    <w14:schemeClr w14:val="tx1">
                      <w14:lumMod w14:val="95000"/>
                      <w14:lumOff w14:val="5000"/>
                    </w14:schemeClr>
                  </w14:solidFill>
                </w14:textFill>
              </w:rPr>
              <w:t>3251</w:t>
            </w:r>
          </w:p>
        </w:tc>
        <w:tc>
          <w:tcPr>
            <w:tcW w:w="1613" w:type="dxa"/>
            <w:vAlign w:val="center"/>
          </w:tcPr>
          <w:p>
            <w:pPr>
              <w:widowControl/>
              <w:jc w:val="center"/>
              <w:rPr>
                <w:rFonts w:ascii="Times New Roman" w:hAnsi="Times New Roman" w:eastAsia="仿宋" w:cs="Times New Roman"/>
                <w:bCs/>
                <w:color w:val="0D0D0D" w:themeColor="text1" w:themeTint="F2"/>
                <w:sz w:val="24"/>
                <w:szCs w:val="32"/>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32"/>
                <w14:textFill>
                  <w14:solidFill>
                    <w14:schemeClr w14:val="tx1">
                      <w14:lumMod w14:val="95000"/>
                      <w14:lumOff w14:val="5000"/>
                    </w14:schemeClr>
                  </w14:solidFill>
                </w14:textFill>
              </w:rPr>
              <w:t>155.3458</w:t>
            </w:r>
          </w:p>
        </w:tc>
        <w:tc>
          <w:tcPr>
            <w:tcW w:w="1613" w:type="dxa"/>
            <w:vAlign w:val="center"/>
          </w:tcPr>
          <w:p>
            <w:pPr>
              <w:widowControl/>
              <w:jc w:val="center"/>
              <w:rPr>
                <w:rFonts w:ascii="Times New Roman" w:hAnsi="Times New Roman" w:eastAsia="仿宋" w:cs="Times New Roman"/>
                <w:bCs/>
                <w:color w:val="0D0D0D" w:themeColor="text1" w:themeTint="F2"/>
                <w:sz w:val="24"/>
                <w:szCs w:val="32"/>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32"/>
                <w14:textFill>
                  <w14:solidFill>
                    <w14:schemeClr w14:val="tx1">
                      <w14:lumMod w14:val="95000"/>
                      <w14:lumOff w14:val="5000"/>
                    </w14:schemeClr>
                  </w14:solidFill>
                </w14:textFill>
              </w:rPr>
              <w:t>37.3832</w:t>
            </w:r>
          </w:p>
        </w:tc>
        <w:tc>
          <w:tcPr>
            <w:tcW w:w="1613" w:type="dxa"/>
            <w:vAlign w:val="center"/>
          </w:tcPr>
          <w:p>
            <w:pPr>
              <w:widowControl/>
              <w:jc w:val="center"/>
              <w:rPr>
                <w:rFonts w:ascii="Times New Roman" w:hAnsi="Times New Roman" w:eastAsia="仿宋" w:cs="Times New Roman"/>
                <w:bCs/>
                <w:color w:val="0D0D0D" w:themeColor="text1" w:themeTint="F2"/>
                <w:sz w:val="24"/>
                <w:szCs w:val="32"/>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32"/>
                <w14:textFill>
                  <w14:solidFill>
                    <w14:schemeClr w14:val="tx1">
                      <w14:lumMod w14:val="95000"/>
                      <w14:lumOff w14:val="5000"/>
                    </w14:schemeClr>
                  </w14:solidFill>
                </w14:textFill>
              </w:rPr>
              <w:t>50.2285</w:t>
            </w:r>
          </w:p>
        </w:tc>
        <w:tc>
          <w:tcPr>
            <w:tcW w:w="1613" w:type="dxa"/>
            <w:vAlign w:val="center"/>
          </w:tcPr>
          <w:p>
            <w:pPr>
              <w:widowControl/>
              <w:jc w:val="center"/>
              <w:rPr>
                <w:rFonts w:ascii="Times New Roman" w:hAnsi="Times New Roman" w:eastAsia="仿宋" w:cs="Times New Roman"/>
                <w:bCs/>
                <w:color w:val="0D0D0D" w:themeColor="text1" w:themeTint="F2"/>
                <w:sz w:val="24"/>
                <w:szCs w:val="32"/>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32"/>
                <w14:textFill>
                  <w14:solidFill>
                    <w14:schemeClr w14:val="tx1">
                      <w14:lumMod w14:val="95000"/>
                      <w14:lumOff w14:val="5000"/>
                    </w14:schemeClr>
                  </w14:solidFill>
                </w14:textFill>
              </w:rPr>
              <w:t>42.8381</w:t>
            </w:r>
          </w:p>
        </w:tc>
        <w:tc>
          <w:tcPr>
            <w:tcW w:w="1613" w:type="dxa"/>
            <w:vAlign w:val="center"/>
          </w:tcPr>
          <w:p>
            <w:pPr>
              <w:widowControl/>
              <w:jc w:val="center"/>
              <w:rPr>
                <w:rFonts w:ascii="Times New Roman" w:hAnsi="Times New Roman" w:eastAsia="仿宋" w:cs="Times New Roman"/>
                <w:bCs/>
                <w:color w:val="0D0D0D" w:themeColor="text1" w:themeTint="F2"/>
                <w:sz w:val="24"/>
                <w:szCs w:val="32"/>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32"/>
                <w14:textFill>
                  <w14:solidFill>
                    <w14:schemeClr w14:val="tx1">
                      <w14:lumMod w14:val="95000"/>
                      <w14:lumOff w14:val="5000"/>
                    </w14:schemeClr>
                  </w14:solidFill>
                </w14:textFill>
              </w:rPr>
              <w:t>1093.7</w:t>
            </w:r>
          </w:p>
        </w:tc>
        <w:tc>
          <w:tcPr>
            <w:tcW w:w="1610" w:type="dxa"/>
            <w:vAlign w:val="center"/>
          </w:tcPr>
          <w:p>
            <w:pPr>
              <w:widowControl/>
              <w:jc w:val="center"/>
              <w:rPr>
                <w:rFonts w:ascii="Times New Roman" w:hAnsi="Times New Roman" w:eastAsia="仿宋" w:cs="Times New Roman"/>
                <w:bCs/>
                <w:color w:val="0D0D0D" w:themeColor="text1" w:themeTint="F2"/>
                <w:sz w:val="24"/>
                <w:szCs w:val="32"/>
                <w14:textFill>
                  <w14:solidFill>
                    <w14:schemeClr w14:val="tx1">
                      <w14:lumMod w14:val="95000"/>
                      <w14:lumOff w14:val="5000"/>
                    </w14:schemeClr>
                  </w14:solidFill>
                </w14:textFill>
              </w:rPr>
            </w:pPr>
            <w:r>
              <w:rPr>
                <w:rFonts w:ascii="Times New Roman" w:hAnsi="Times New Roman" w:eastAsia="仿宋" w:cs="Times New Roman"/>
                <w:bCs/>
                <w:color w:val="0D0D0D" w:themeColor="text1" w:themeTint="F2"/>
                <w:sz w:val="24"/>
                <w:szCs w:val="32"/>
                <w14:textFill>
                  <w14:solidFill>
                    <w14:schemeClr w14:val="tx1">
                      <w14:lumMod w14:val="95000"/>
                      <w14:lumOff w14:val="5000"/>
                    </w14:schemeClr>
                  </w14:solidFill>
                </w14:textFill>
              </w:rPr>
              <w:t>167.51</w:t>
            </w:r>
          </w:p>
        </w:tc>
      </w:tr>
    </w:tbl>
    <w:p>
      <w:pPr>
        <w:pStyle w:val="3"/>
        <w:adjustRightInd w:val="0"/>
        <w:snapToGrid w:val="0"/>
        <w:spacing w:before="120" w:after="120" w:line="360" w:lineRule="auto"/>
        <w:ind w:left="142"/>
        <w:rPr>
          <w:rFonts w:cs="Times New Roman"/>
          <w:color w:val="0D0D0D" w:themeColor="text1" w:themeTint="F2"/>
          <w:sz w:val="28"/>
          <w:szCs w:val="28"/>
          <w14:textFill>
            <w14:solidFill>
              <w14:schemeClr w14:val="tx1">
                <w14:lumMod w14:val="95000"/>
                <w14:lumOff w14:val="5000"/>
              </w14:schemeClr>
            </w14:solidFill>
          </w14:textFill>
        </w:rPr>
      </w:pPr>
      <w:bookmarkStart w:id="221" w:name="_Toc18506561"/>
      <w:bookmarkStart w:id="222" w:name="_Toc27522225"/>
      <w:r>
        <w:rPr>
          <w:rFonts w:cs="Times New Roman"/>
          <w:color w:val="0D0D0D" w:themeColor="text1" w:themeTint="F2"/>
          <w:sz w:val="28"/>
          <w:szCs w:val="28"/>
          <w14:textFill>
            <w14:solidFill>
              <w14:schemeClr w14:val="tx1">
                <w14:lumMod w14:val="95000"/>
                <w14:lumOff w14:val="5000"/>
              </w14:schemeClr>
            </w14:solidFill>
          </w14:textFill>
        </w:rPr>
        <w:t>附表2 富源县亦佐水库饮用水水源地基础信息表</w:t>
      </w:r>
      <w:bookmarkEnd w:id="221"/>
      <w:bookmarkEnd w:id="222"/>
    </w:p>
    <w:p>
      <w:pPr>
        <w:jc w:val="center"/>
        <w:rPr>
          <w:rFonts w:ascii="仿宋" w:hAnsi="仿宋" w:eastAsia="仿宋"/>
          <w:b/>
          <w:color w:val="0D0D0D" w:themeColor="text1" w:themeTint="F2"/>
          <w:kern w:val="0"/>
          <w:sz w:val="28"/>
          <w:szCs w:val="28"/>
          <w14:textFill>
            <w14:solidFill>
              <w14:schemeClr w14:val="tx1">
                <w14:lumMod w14:val="95000"/>
                <w14:lumOff w14:val="5000"/>
              </w14:schemeClr>
            </w14:solidFill>
          </w14:textFill>
        </w:rPr>
      </w:pPr>
      <w:r>
        <w:rPr>
          <w:rFonts w:hint="eastAsia" w:ascii="仿宋" w:hAnsi="仿宋" w:eastAsia="仿宋"/>
          <w:b/>
          <w:color w:val="0D0D0D" w:themeColor="text1" w:themeTint="F2"/>
          <w:kern w:val="0"/>
          <w:sz w:val="28"/>
          <w:szCs w:val="28"/>
          <w:u w:val="single"/>
          <w14:textFill>
            <w14:solidFill>
              <w14:schemeClr w14:val="tx1">
                <w14:lumMod w14:val="95000"/>
                <w14:lumOff w14:val="5000"/>
              </w14:schemeClr>
            </w14:solidFill>
          </w14:textFill>
        </w:rPr>
        <w:t>亦佐水库</w:t>
      </w:r>
      <w:r>
        <w:rPr>
          <w:rFonts w:ascii="仿宋" w:hAnsi="仿宋" w:eastAsia="仿宋"/>
          <w:b/>
          <w:color w:val="0D0D0D" w:themeColor="text1" w:themeTint="F2"/>
          <w:kern w:val="0"/>
          <w:sz w:val="28"/>
          <w:szCs w:val="28"/>
          <w14:textFill>
            <w14:solidFill>
              <w14:schemeClr w14:val="tx1">
                <w14:lumMod w14:val="95000"/>
                <w14:lumOff w14:val="5000"/>
              </w14:schemeClr>
            </w14:solidFill>
          </w14:textFill>
        </w:rPr>
        <w:t>饮用水水源地基础信息表</w:t>
      </w:r>
    </w:p>
    <w:tbl>
      <w:tblPr>
        <w:tblStyle w:val="44"/>
        <w:tblW w:w="1386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
        <w:gridCol w:w="1480"/>
        <w:gridCol w:w="1479"/>
        <w:gridCol w:w="1480"/>
        <w:gridCol w:w="1479"/>
        <w:gridCol w:w="1580"/>
        <w:gridCol w:w="1379"/>
        <w:gridCol w:w="1479"/>
        <w:gridCol w:w="1479"/>
        <w:gridCol w:w="1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3" w:type="dxa"/>
            <w:vMerge w:val="restart"/>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序号</w:t>
            </w:r>
          </w:p>
        </w:tc>
        <w:tc>
          <w:tcPr>
            <w:tcW w:w="1480"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州、市</w:t>
            </w:r>
          </w:p>
        </w:tc>
        <w:tc>
          <w:tcPr>
            <w:tcW w:w="1479"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县（市、区）</w:t>
            </w:r>
          </w:p>
        </w:tc>
        <w:tc>
          <w:tcPr>
            <w:tcW w:w="1480"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水源地名称</w:t>
            </w:r>
          </w:p>
        </w:tc>
        <w:tc>
          <w:tcPr>
            <w:tcW w:w="1479"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水源地所在地</w:t>
            </w:r>
          </w:p>
        </w:tc>
        <w:tc>
          <w:tcPr>
            <w:tcW w:w="1580"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水源地编码</w:t>
            </w:r>
          </w:p>
        </w:tc>
        <w:tc>
          <w:tcPr>
            <w:tcW w:w="1379"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水源地类型</w:t>
            </w:r>
          </w:p>
        </w:tc>
        <w:tc>
          <w:tcPr>
            <w:tcW w:w="1479"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使用状态</w:t>
            </w:r>
          </w:p>
        </w:tc>
        <w:tc>
          <w:tcPr>
            <w:tcW w:w="1479"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水源地</w:t>
            </w:r>
          </w:p>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所在水系</w:t>
            </w:r>
          </w:p>
        </w:tc>
        <w:tc>
          <w:tcPr>
            <w:tcW w:w="1480" w:type="dxa"/>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水质状况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3" w:type="dxa"/>
            <w:vMerge w:val="continue"/>
            <w:vAlign w:val="center"/>
          </w:tcPr>
          <w:p>
            <w:pPr>
              <w:widowControl/>
              <w:adjustRightInd w:val="0"/>
              <w:snapToGrid w:val="0"/>
              <w:jc w:val="left"/>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c>
          <w:tcPr>
            <w:tcW w:w="1480"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［1］</w:t>
            </w:r>
          </w:p>
        </w:tc>
        <w:tc>
          <w:tcPr>
            <w:tcW w:w="1479"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［2］</w:t>
            </w:r>
          </w:p>
        </w:tc>
        <w:tc>
          <w:tcPr>
            <w:tcW w:w="1480"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［3］</w:t>
            </w:r>
          </w:p>
        </w:tc>
        <w:tc>
          <w:tcPr>
            <w:tcW w:w="1479"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［4］</w:t>
            </w:r>
          </w:p>
        </w:tc>
        <w:tc>
          <w:tcPr>
            <w:tcW w:w="1580"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［5］</w:t>
            </w:r>
          </w:p>
        </w:tc>
        <w:tc>
          <w:tcPr>
            <w:tcW w:w="1379"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［6］</w:t>
            </w:r>
          </w:p>
        </w:tc>
        <w:tc>
          <w:tcPr>
            <w:tcW w:w="1479"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［7］</w:t>
            </w:r>
          </w:p>
        </w:tc>
        <w:tc>
          <w:tcPr>
            <w:tcW w:w="1479"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［8］</w:t>
            </w:r>
          </w:p>
        </w:tc>
        <w:tc>
          <w:tcPr>
            <w:tcW w:w="1480" w:type="dxa"/>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3"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1</w:t>
            </w:r>
          </w:p>
        </w:tc>
        <w:tc>
          <w:tcPr>
            <w:tcW w:w="1480"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曲靖市</w:t>
            </w:r>
          </w:p>
        </w:tc>
        <w:tc>
          <w:tcPr>
            <w:tcW w:w="1479"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富源县</w:t>
            </w:r>
          </w:p>
        </w:tc>
        <w:tc>
          <w:tcPr>
            <w:tcW w:w="1480"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亦佐水库</w:t>
            </w:r>
          </w:p>
        </w:tc>
        <w:tc>
          <w:tcPr>
            <w:tcW w:w="1479"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富村镇</w:t>
            </w:r>
          </w:p>
        </w:tc>
        <w:tc>
          <w:tcPr>
            <w:tcW w:w="1580"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HA0114530325107R0002</w:t>
            </w:r>
          </w:p>
        </w:tc>
        <w:tc>
          <w:tcPr>
            <w:tcW w:w="1379"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地表水</w:t>
            </w: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型</w:t>
            </w:r>
          </w:p>
        </w:tc>
        <w:tc>
          <w:tcPr>
            <w:tcW w:w="1479"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正常供水</w:t>
            </w:r>
          </w:p>
        </w:tc>
        <w:tc>
          <w:tcPr>
            <w:tcW w:w="1479"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南盘江（西江）</w:t>
            </w:r>
          </w:p>
        </w:tc>
        <w:tc>
          <w:tcPr>
            <w:tcW w:w="1480" w:type="dxa"/>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地表水</w:t>
            </w: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instrText xml:space="preserve"> </w:instrText>
            </w: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instrText xml:space="preserve">= 4 \* ROMAN</w:instrText>
            </w: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instrText xml:space="preserve"> </w:instrText>
            </w: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fldChar w:fldCharType="separate"/>
            </w:r>
            <w:r>
              <w:rPr>
                <w:rFonts w:hint="eastAsia" w:ascii="宋体" w:hAnsi="宋体" w:eastAsia="宋体" w:cs="宋体"/>
                <w:color w:val="0D0D0D" w:themeColor="text1" w:themeTint="F2"/>
                <w:kern w:val="0"/>
                <w:sz w:val="24"/>
                <w:szCs w:val="24"/>
                <w:lang w:eastAsia="ja-JP"/>
                <w14:textFill>
                  <w14:solidFill>
                    <w14:schemeClr w14:val="tx1">
                      <w14:lumMod w14:val="95000"/>
                      <w14:lumOff w14:val="5000"/>
                    </w14:schemeClr>
                  </w14:solidFill>
                </w14:textFill>
              </w:rPr>
              <w:t>Ⅲ</w:t>
            </w: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fldChar w:fldCharType="end"/>
            </w: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3" w:type="dxa"/>
            <w:vMerge w:val="restart"/>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序号</w:t>
            </w:r>
          </w:p>
        </w:tc>
        <w:tc>
          <w:tcPr>
            <w:tcW w:w="1480"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超标因子（注明超标倍数）</w:t>
            </w:r>
          </w:p>
        </w:tc>
        <w:tc>
          <w:tcPr>
            <w:tcW w:w="1479"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取水口位置</w:t>
            </w:r>
          </w:p>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（经纬度）</w:t>
            </w:r>
          </w:p>
        </w:tc>
        <w:tc>
          <w:tcPr>
            <w:tcW w:w="1480"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多年平均</w:t>
            </w:r>
          </w:p>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水位线（m）</w:t>
            </w:r>
          </w:p>
        </w:tc>
        <w:tc>
          <w:tcPr>
            <w:tcW w:w="1479"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供水范围</w:t>
            </w:r>
          </w:p>
        </w:tc>
        <w:tc>
          <w:tcPr>
            <w:tcW w:w="1580"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供水人口</w:t>
            </w:r>
          </w:p>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（万人）</w:t>
            </w:r>
          </w:p>
        </w:tc>
        <w:tc>
          <w:tcPr>
            <w:tcW w:w="1379"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供水量</w:t>
            </w:r>
          </w:p>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（万吨/日）</w:t>
            </w:r>
          </w:p>
        </w:tc>
        <w:tc>
          <w:tcPr>
            <w:tcW w:w="1479"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对应供水工程</w:t>
            </w:r>
          </w:p>
        </w:tc>
        <w:tc>
          <w:tcPr>
            <w:tcW w:w="1479"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是否设立隔离栏</w:t>
            </w:r>
          </w:p>
        </w:tc>
        <w:tc>
          <w:tcPr>
            <w:tcW w:w="1480" w:type="dxa"/>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是否设立</w:t>
            </w:r>
          </w:p>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标识标志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3" w:type="dxa"/>
            <w:vMerge w:val="continue"/>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c>
          <w:tcPr>
            <w:tcW w:w="1480"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［10］</w:t>
            </w:r>
          </w:p>
        </w:tc>
        <w:tc>
          <w:tcPr>
            <w:tcW w:w="1479"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［11］</w:t>
            </w:r>
          </w:p>
        </w:tc>
        <w:tc>
          <w:tcPr>
            <w:tcW w:w="1480"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［12］</w:t>
            </w:r>
          </w:p>
        </w:tc>
        <w:tc>
          <w:tcPr>
            <w:tcW w:w="1479"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［13］</w:t>
            </w:r>
          </w:p>
        </w:tc>
        <w:tc>
          <w:tcPr>
            <w:tcW w:w="1580"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［14］</w:t>
            </w:r>
          </w:p>
        </w:tc>
        <w:tc>
          <w:tcPr>
            <w:tcW w:w="1379"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［15］</w:t>
            </w:r>
          </w:p>
        </w:tc>
        <w:tc>
          <w:tcPr>
            <w:tcW w:w="1479"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［16］</w:t>
            </w:r>
          </w:p>
        </w:tc>
        <w:tc>
          <w:tcPr>
            <w:tcW w:w="1479"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［17］</w:t>
            </w:r>
          </w:p>
        </w:tc>
        <w:tc>
          <w:tcPr>
            <w:tcW w:w="1480" w:type="dxa"/>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3"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1</w:t>
            </w:r>
          </w:p>
        </w:tc>
        <w:tc>
          <w:tcPr>
            <w:tcW w:w="1480"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w:t>
            </w:r>
          </w:p>
        </w:tc>
        <w:tc>
          <w:tcPr>
            <w:tcW w:w="1479"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E</w:t>
            </w: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104°28′52"</w:t>
            </w:r>
          </w:p>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N</w:t>
            </w: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25°20′20"</w:t>
            </w:r>
          </w:p>
        </w:tc>
        <w:tc>
          <w:tcPr>
            <w:tcW w:w="1480"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2088</w:t>
            </w:r>
          </w:p>
        </w:tc>
        <w:tc>
          <w:tcPr>
            <w:tcW w:w="1479"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富村镇</w:t>
            </w:r>
          </w:p>
        </w:tc>
        <w:tc>
          <w:tcPr>
            <w:tcW w:w="1580"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1.5</w:t>
            </w:r>
          </w:p>
        </w:tc>
        <w:tc>
          <w:tcPr>
            <w:tcW w:w="1379"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0.1</w:t>
            </w:r>
          </w:p>
        </w:tc>
        <w:tc>
          <w:tcPr>
            <w:tcW w:w="1479"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富源县富村镇自来水厂</w:t>
            </w:r>
          </w:p>
        </w:tc>
        <w:tc>
          <w:tcPr>
            <w:tcW w:w="1479" w:type="dxa"/>
            <w:shd w:val="clear" w:color="auto" w:fill="auto"/>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否</w:t>
            </w:r>
          </w:p>
        </w:tc>
        <w:tc>
          <w:tcPr>
            <w:tcW w:w="1480" w:type="dxa"/>
            <w:vAlign w:val="center"/>
          </w:tcPr>
          <w:p>
            <w:pPr>
              <w:widowControl/>
              <w:adjustRightInd w:val="0"/>
              <w:snapToGrid w:val="0"/>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否</w:t>
            </w:r>
          </w:p>
        </w:tc>
      </w:tr>
    </w:tbl>
    <w:p>
      <w:pPr>
        <w:rPr>
          <w:color w:val="0D0D0D" w:themeColor="text1" w:themeTint="F2"/>
          <w14:textFill>
            <w14:solidFill>
              <w14:schemeClr w14:val="tx1">
                <w14:lumMod w14:val="95000"/>
                <w14:lumOff w14:val="5000"/>
              </w14:schemeClr>
            </w14:solidFill>
          </w14:textFill>
        </w:rPr>
        <w:sectPr>
          <w:pgSz w:w="16838" w:h="11906" w:orient="landscape"/>
          <w:pgMar w:top="1236" w:right="1440" w:bottom="1236" w:left="1440" w:header="851" w:footer="992" w:gutter="0"/>
          <w:pgNumType w:fmt="numberInDash"/>
          <w:cols w:space="0" w:num="1"/>
          <w:docGrid w:type="lines" w:linePitch="312" w:charSpace="0"/>
        </w:sectPr>
      </w:pPr>
      <w:bookmarkStart w:id="223" w:name="_Toc12621934"/>
      <w:bookmarkStart w:id="224" w:name="_Toc10723935"/>
    </w:p>
    <w:p>
      <w:pPr>
        <w:pStyle w:val="3"/>
        <w:rPr>
          <w:rFonts w:ascii="仿宋" w:hAnsi="仿宋"/>
          <w:color w:val="0D0D0D" w:themeColor="text1" w:themeTint="F2"/>
          <w:sz w:val="28"/>
          <w:szCs w:val="28"/>
          <w14:textFill>
            <w14:solidFill>
              <w14:schemeClr w14:val="tx1">
                <w14:lumMod w14:val="95000"/>
                <w14:lumOff w14:val="5000"/>
              </w14:schemeClr>
            </w14:solidFill>
          </w14:textFill>
        </w:rPr>
      </w:pPr>
      <w:bookmarkStart w:id="225" w:name="_Toc27522226"/>
      <w:r>
        <w:rPr>
          <w:rFonts w:cs="Times New Roman"/>
          <w:color w:val="0D0D0D" w:themeColor="text1" w:themeTint="F2"/>
          <w:sz w:val="28"/>
          <w:szCs w:val="28"/>
          <w14:textFill>
            <w14:solidFill>
              <w14:schemeClr w14:val="tx1">
                <w14:lumMod w14:val="95000"/>
                <w14:lumOff w14:val="5000"/>
              </w14:schemeClr>
            </w14:solidFill>
          </w14:textFill>
        </w:rPr>
        <w:t>附表</w:t>
      </w:r>
      <w:r>
        <w:rPr>
          <w:rFonts w:hint="eastAsia" w:cs="Times New Roman"/>
          <w:color w:val="0D0D0D" w:themeColor="text1" w:themeTint="F2"/>
          <w:sz w:val="28"/>
          <w:szCs w:val="28"/>
          <w14:textFill>
            <w14:solidFill>
              <w14:schemeClr w14:val="tx1">
                <w14:lumMod w14:val="95000"/>
                <w14:lumOff w14:val="5000"/>
              </w14:schemeClr>
            </w14:solidFill>
          </w14:textFill>
        </w:rPr>
        <w:t>3</w:t>
      </w:r>
      <w:bookmarkEnd w:id="223"/>
      <w:bookmarkEnd w:id="224"/>
      <w:r>
        <w:rPr>
          <w:rFonts w:hint="eastAsia" w:cs="Times New Roman"/>
          <w:color w:val="0D0D0D" w:themeColor="text1" w:themeTint="F2"/>
          <w:sz w:val="28"/>
          <w:szCs w:val="28"/>
          <w14:textFill>
            <w14:solidFill>
              <w14:schemeClr w14:val="tx1">
                <w14:lumMod w14:val="95000"/>
                <w14:lumOff w14:val="5000"/>
              </w14:schemeClr>
            </w14:solidFill>
          </w14:textFill>
        </w:rPr>
        <w:t xml:space="preserve"> </w:t>
      </w:r>
      <w:r>
        <w:rPr>
          <w:rFonts w:hint="eastAsia" w:ascii="仿宋" w:hAnsi="仿宋"/>
          <w:color w:val="0D0D0D" w:themeColor="text1" w:themeTint="F2"/>
          <w:sz w:val="28"/>
          <w:szCs w:val="28"/>
          <w14:textFill>
            <w14:solidFill>
              <w14:schemeClr w14:val="tx1">
                <w14:lumMod w14:val="95000"/>
                <w14:lumOff w14:val="5000"/>
              </w14:schemeClr>
            </w14:solidFill>
          </w14:textFill>
        </w:rPr>
        <w:t>富源县亦佐水库集中式饮用水水源保护区划分结果表</w:t>
      </w:r>
      <w:bookmarkEnd w:id="225"/>
    </w:p>
    <w:p>
      <w:pPr>
        <w:jc w:val="center"/>
        <w:rPr>
          <w:rFonts w:ascii="仿宋" w:hAnsi="仿宋" w:eastAsia="仿宋"/>
          <w:b/>
          <w:color w:val="0D0D0D" w:themeColor="text1" w:themeTint="F2"/>
          <w:kern w:val="0"/>
          <w:sz w:val="28"/>
          <w:szCs w:val="28"/>
          <w14:textFill>
            <w14:solidFill>
              <w14:schemeClr w14:val="tx1">
                <w14:lumMod w14:val="95000"/>
                <w14:lumOff w14:val="5000"/>
              </w14:schemeClr>
            </w14:solidFill>
          </w14:textFill>
        </w:rPr>
      </w:pPr>
      <w:r>
        <w:rPr>
          <w:rFonts w:hint="eastAsia" w:ascii="仿宋" w:hAnsi="仿宋" w:eastAsia="仿宋"/>
          <w:b/>
          <w:color w:val="0D0D0D" w:themeColor="text1" w:themeTint="F2"/>
          <w:kern w:val="0"/>
          <w:sz w:val="28"/>
          <w:szCs w:val="28"/>
          <w:u w:val="single"/>
          <w14:textFill>
            <w14:solidFill>
              <w14:schemeClr w14:val="tx1">
                <w14:lumMod w14:val="95000"/>
                <w14:lumOff w14:val="5000"/>
              </w14:schemeClr>
            </w14:solidFill>
          </w14:textFill>
        </w:rPr>
        <w:t>亦佐</w:t>
      </w:r>
      <w:r>
        <w:rPr>
          <w:rFonts w:ascii="仿宋" w:hAnsi="仿宋" w:eastAsia="仿宋"/>
          <w:b/>
          <w:color w:val="0D0D0D" w:themeColor="text1" w:themeTint="F2"/>
          <w:kern w:val="0"/>
          <w:sz w:val="28"/>
          <w:szCs w:val="28"/>
          <w:u w:val="single"/>
          <w14:textFill>
            <w14:solidFill>
              <w14:schemeClr w14:val="tx1">
                <w14:lumMod w14:val="95000"/>
                <w14:lumOff w14:val="5000"/>
              </w14:schemeClr>
            </w14:solidFill>
          </w14:textFill>
        </w:rPr>
        <w:t>水库</w:t>
      </w:r>
      <w:r>
        <w:rPr>
          <w:rFonts w:ascii="仿宋" w:hAnsi="仿宋" w:eastAsia="仿宋"/>
          <w:b/>
          <w:color w:val="0D0D0D" w:themeColor="text1" w:themeTint="F2"/>
          <w:kern w:val="0"/>
          <w:sz w:val="28"/>
          <w:szCs w:val="28"/>
          <w14:textFill>
            <w14:solidFill>
              <w14:schemeClr w14:val="tx1">
                <w14:lumMod w14:val="95000"/>
                <w14:lumOff w14:val="5000"/>
              </w14:schemeClr>
            </w14:solidFill>
          </w14:textFill>
        </w:rPr>
        <w:t>饮用水水源地保护区划分结果表</w:t>
      </w:r>
    </w:p>
    <w:tbl>
      <w:tblPr>
        <w:tblStyle w:val="44"/>
        <w:tblW w:w="13948" w:type="dxa"/>
        <w:tblInd w:w="0" w:type="dxa"/>
        <w:tblLayout w:type="fixed"/>
        <w:tblCellMar>
          <w:top w:w="0" w:type="dxa"/>
          <w:left w:w="108" w:type="dxa"/>
          <w:bottom w:w="0" w:type="dxa"/>
          <w:right w:w="108" w:type="dxa"/>
        </w:tblCellMar>
      </w:tblPr>
      <w:tblGrid>
        <w:gridCol w:w="838"/>
        <w:gridCol w:w="1284"/>
        <w:gridCol w:w="993"/>
        <w:gridCol w:w="1275"/>
        <w:gridCol w:w="1559"/>
        <w:gridCol w:w="1133"/>
        <w:gridCol w:w="1398"/>
        <w:gridCol w:w="1398"/>
        <w:gridCol w:w="1537"/>
        <w:gridCol w:w="1253"/>
        <w:gridCol w:w="1280"/>
      </w:tblGrid>
      <w:tr>
        <w:tblPrEx>
          <w:tblLayout w:type="fixed"/>
          <w:tblCellMar>
            <w:top w:w="0" w:type="dxa"/>
            <w:left w:w="108" w:type="dxa"/>
            <w:bottom w:w="0" w:type="dxa"/>
            <w:right w:w="108" w:type="dxa"/>
          </w:tblCellMar>
        </w:tblPrEx>
        <w:trPr>
          <w:trHeight w:val="315" w:hRule="atLeast"/>
        </w:trPr>
        <w:tc>
          <w:tcPr>
            <w:tcW w:w="83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cs="Times New Roman"/>
                <w:b/>
                <w:bCs/>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bCs/>
                <w:color w:val="0D0D0D" w:themeColor="text1" w:themeTint="F2"/>
                <w:sz w:val="24"/>
                <w:szCs w:val="24"/>
                <w14:textFill>
                  <w14:solidFill>
                    <w14:schemeClr w14:val="tx1">
                      <w14:lumMod w14:val="95000"/>
                      <w14:lumOff w14:val="5000"/>
                    </w14:schemeClr>
                  </w14:solidFill>
                </w14:textFill>
              </w:rPr>
              <w:t>城市名称</w:t>
            </w:r>
          </w:p>
        </w:tc>
        <w:tc>
          <w:tcPr>
            <w:tcW w:w="12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cs="Times New Roman"/>
                <w:b/>
                <w:bCs/>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bCs/>
                <w:color w:val="0D0D0D" w:themeColor="text1" w:themeTint="F2"/>
                <w:sz w:val="24"/>
                <w:szCs w:val="24"/>
                <w14:textFill>
                  <w14:solidFill>
                    <w14:schemeClr w14:val="tx1">
                      <w14:lumMod w14:val="95000"/>
                      <w14:lumOff w14:val="5000"/>
                    </w14:schemeClr>
                  </w14:solidFill>
                </w14:textFill>
              </w:rPr>
              <w:t>饮用水水源地名称</w:t>
            </w:r>
          </w:p>
        </w:tc>
        <w:tc>
          <w:tcPr>
            <w:tcW w:w="9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cs="Times New Roman"/>
                <w:b/>
                <w:bCs/>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bCs/>
                <w:color w:val="0D0D0D" w:themeColor="text1" w:themeTint="F2"/>
                <w:sz w:val="24"/>
                <w:szCs w:val="24"/>
                <w14:textFill>
                  <w14:solidFill>
                    <w14:schemeClr w14:val="tx1">
                      <w14:lumMod w14:val="95000"/>
                      <w14:lumOff w14:val="5000"/>
                    </w14:schemeClr>
                  </w14:solidFill>
                </w14:textFill>
              </w:rPr>
              <w:t>水源地类型</w:t>
            </w:r>
          </w:p>
        </w:tc>
        <w:tc>
          <w:tcPr>
            <w:tcW w:w="12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cs="Times New Roman"/>
                <w:b/>
                <w:bCs/>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bCs/>
                <w:color w:val="0D0D0D" w:themeColor="text1" w:themeTint="F2"/>
                <w:sz w:val="24"/>
                <w:szCs w:val="24"/>
                <w14:textFill>
                  <w14:solidFill>
                    <w14:schemeClr w14:val="tx1">
                      <w14:lumMod w14:val="95000"/>
                      <w14:lumOff w14:val="5000"/>
                    </w14:schemeClr>
                  </w14:solidFill>
                </w14:textFill>
              </w:rPr>
              <w:t>水环境功能类别</w:t>
            </w:r>
          </w:p>
        </w:tc>
        <w:tc>
          <w:tcPr>
            <w:tcW w:w="155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Times New Roman" w:hAnsi="Times New Roman" w:eastAsia="仿宋" w:cs="Times New Roman"/>
                <w:b/>
                <w:bCs/>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bCs/>
                <w:color w:val="0D0D0D" w:themeColor="text1" w:themeTint="F2"/>
                <w:sz w:val="24"/>
                <w:szCs w:val="24"/>
                <w14:textFill>
                  <w14:solidFill>
                    <w14:schemeClr w14:val="tx1">
                      <w14:lumMod w14:val="95000"/>
                      <w14:lumOff w14:val="5000"/>
                    </w14:schemeClr>
                  </w14:solidFill>
                </w14:textFill>
              </w:rPr>
              <w:t>指标名称</w:t>
            </w:r>
          </w:p>
        </w:tc>
        <w:tc>
          <w:tcPr>
            <w:tcW w:w="2531"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 w:cs="Times New Roman"/>
                <w:b/>
                <w:bCs/>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bCs/>
                <w:color w:val="0D0D0D" w:themeColor="text1" w:themeTint="F2"/>
                <w:sz w:val="24"/>
                <w:szCs w:val="24"/>
                <w14:textFill>
                  <w14:solidFill>
                    <w14:schemeClr w14:val="tx1">
                      <w14:lumMod w14:val="95000"/>
                      <w14:lumOff w14:val="5000"/>
                    </w14:schemeClr>
                  </w14:solidFill>
                </w14:textFill>
              </w:rPr>
              <w:t>一级保护区</w:t>
            </w:r>
          </w:p>
        </w:tc>
        <w:tc>
          <w:tcPr>
            <w:tcW w:w="2935"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 w:cs="Times New Roman"/>
                <w:b/>
                <w:bCs/>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bCs/>
                <w:color w:val="0D0D0D" w:themeColor="text1" w:themeTint="F2"/>
                <w:sz w:val="24"/>
                <w:szCs w:val="24"/>
                <w14:textFill>
                  <w14:solidFill>
                    <w14:schemeClr w14:val="tx1">
                      <w14:lumMod w14:val="95000"/>
                      <w14:lumOff w14:val="5000"/>
                    </w14:schemeClr>
                  </w14:solidFill>
                </w14:textFill>
              </w:rPr>
              <w:t>二级保护区</w:t>
            </w:r>
          </w:p>
        </w:tc>
        <w:tc>
          <w:tcPr>
            <w:tcW w:w="2533"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 w:cs="Times New Roman"/>
                <w:b/>
                <w:bCs/>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bCs/>
                <w:color w:val="0D0D0D" w:themeColor="text1" w:themeTint="F2"/>
                <w:sz w:val="24"/>
                <w:szCs w:val="24"/>
                <w14:textFill>
                  <w14:solidFill>
                    <w14:schemeClr w14:val="tx1">
                      <w14:lumMod w14:val="95000"/>
                      <w14:lumOff w14:val="5000"/>
                    </w14:schemeClr>
                  </w14:solidFill>
                </w14:textFill>
              </w:rPr>
              <w:t>准保护区</w:t>
            </w:r>
          </w:p>
        </w:tc>
      </w:tr>
      <w:tr>
        <w:tblPrEx>
          <w:tblLayout w:type="fixed"/>
          <w:tblCellMar>
            <w:top w:w="0" w:type="dxa"/>
            <w:left w:w="108" w:type="dxa"/>
            <w:bottom w:w="0" w:type="dxa"/>
            <w:right w:w="108" w:type="dxa"/>
          </w:tblCellMar>
        </w:tblPrEx>
        <w:trPr>
          <w:trHeight w:val="285" w:hRule="atLeast"/>
        </w:trPr>
        <w:tc>
          <w:tcPr>
            <w:tcW w:w="83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b/>
                <w:bCs/>
                <w:color w:val="0D0D0D" w:themeColor="text1" w:themeTint="F2"/>
                <w:sz w:val="24"/>
                <w:szCs w:val="24"/>
                <w14:textFill>
                  <w14:solidFill>
                    <w14:schemeClr w14:val="tx1">
                      <w14:lumMod w14:val="95000"/>
                      <w14:lumOff w14:val="5000"/>
                    </w14:schemeClr>
                  </w14:solidFill>
                </w14:textFill>
              </w:rPr>
            </w:pP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b/>
                <w:bCs/>
                <w:color w:val="0D0D0D" w:themeColor="text1" w:themeTint="F2"/>
                <w:sz w:val="24"/>
                <w:szCs w:val="24"/>
                <w14:textFill>
                  <w14:solidFill>
                    <w14:schemeClr w14:val="tx1">
                      <w14:lumMod w14:val="95000"/>
                      <w14:lumOff w14:val="5000"/>
                    </w14:schemeClr>
                  </w14:solidFill>
                </w14:textFill>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b/>
                <w:bCs/>
                <w:color w:val="0D0D0D" w:themeColor="text1" w:themeTint="F2"/>
                <w:sz w:val="24"/>
                <w:szCs w:val="24"/>
                <w14:textFill>
                  <w14:solidFill>
                    <w14:schemeClr w14:val="tx1">
                      <w14:lumMod w14:val="95000"/>
                      <w14:lumOff w14:val="5000"/>
                    </w14:schemeClr>
                  </w14:solidFill>
                </w14:textFill>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b/>
                <w:bCs/>
                <w:color w:val="0D0D0D" w:themeColor="text1" w:themeTint="F2"/>
                <w:sz w:val="24"/>
                <w:szCs w:val="24"/>
                <w14:textFill>
                  <w14:solidFill>
                    <w14:schemeClr w14:val="tx1">
                      <w14:lumMod w14:val="95000"/>
                      <w14:lumOff w14:val="5000"/>
                    </w14:schemeClr>
                  </w14:solidFill>
                </w14:textFill>
              </w:rPr>
            </w:pPr>
          </w:p>
        </w:tc>
        <w:tc>
          <w:tcPr>
            <w:tcW w:w="1559" w:type="dxa"/>
            <w:vMerge w:val="continue"/>
            <w:tcBorders>
              <w:top w:val="single" w:color="auto" w:sz="4" w:space="0"/>
              <w:left w:val="single" w:color="auto" w:sz="4" w:space="0"/>
              <w:bottom w:val="single" w:color="000000" w:sz="4" w:space="0"/>
              <w:right w:val="single" w:color="auto" w:sz="4" w:space="0"/>
            </w:tcBorders>
            <w:vAlign w:val="center"/>
          </w:tcPr>
          <w:p>
            <w:pPr>
              <w:jc w:val="center"/>
              <w:rPr>
                <w:rFonts w:ascii="Times New Roman" w:hAnsi="Times New Roman" w:eastAsia="仿宋" w:cs="Times New Roman"/>
                <w:b/>
                <w:bCs/>
                <w:color w:val="0D0D0D" w:themeColor="text1" w:themeTint="F2"/>
                <w:sz w:val="24"/>
                <w:szCs w:val="24"/>
                <w14:textFill>
                  <w14:solidFill>
                    <w14:schemeClr w14:val="tx1">
                      <w14:lumMod w14:val="95000"/>
                      <w14:lumOff w14:val="5000"/>
                    </w14:schemeClr>
                  </w14:solidFill>
                </w14:textFill>
              </w:rPr>
            </w:pPr>
          </w:p>
        </w:tc>
        <w:tc>
          <w:tcPr>
            <w:tcW w:w="113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 w:cs="Times New Roman"/>
                <w:b/>
                <w:bCs/>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bCs/>
                <w:color w:val="0D0D0D" w:themeColor="text1" w:themeTint="F2"/>
                <w:sz w:val="24"/>
                <w:szCs w:val="24"/>
                <w14:textFill>
                  <w14:solidFill>
                    <w14:schemeClr w14:val="tx1">
                      <w14:lumMod w14:val="95000"/>
                      <w14:lumOff w14:val="5000"/>
                    </w14:schemeClr>
                  </w14:solidFill>
                </w14:textFill>
              </w:rPr>
              <w:t>水域</w:t>
            </w:r>
          </w:p>
        </w:tc>
        <w:tc>
          <w:tcPr>
            <w:tcW w:w="1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 w:cs="Times New Roman"/>
                <w:b/>
                <w:bCs/>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bCs/>
                <w:color w:val="0D0D0D" w:themeColor="text1" w:themeTint="F2"/>
                <w:sz w:val="24"/>
                <w:szCs w:val="24"/>
                <w14:textFill>
                  <w14:solidFill>
                    <w14:schemeClr w14:val="tx1">
                      <w14:lumMod w14:val="95000"/>
                      <w14:lumOff w14:val="5000"/>
                    </w14:schemeClr>
                  </w14:solidFill>
                </w14:textFill>
              </w:rPr>
              <w:t>陆域</w:t>
            </w:r>
          </w:p>
        </w:tc>
        <w:tc>
          <w:tcPr>
            <w:tcW w:w="1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 w:cs="Times New Roman"/>
                <w:b/>
                <w:bCs/>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bCs/>
                <w:color w:val="0D0D0D" w:themeColor="text1" w:themeTint="F2"/>
                <w:sz w:val="24"/>
                <w:szCs w:val="24"/>
                <w14:textFill>
                  <w14:solidFill>
                    <w14:schemeClr w14:val="tx1">
                      <w14:lumMod w14:val="95000"/>
                      <w14:lumOff w14:val="5000"/>
                    </w14:schemeClr>
                  </w14:solidFill>
                </w14:textFill>
              </w:rPr>
              <w:t>水域</w:t>
            </w:r>
          </w:p>
        </w:tc>
        <w:tc>
          <w:tcPr>
            <w:tcW w:w="153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 w:cs="Times New Roman"/>
                <w:b/>
                <w:bCs/>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bCs/>
                <w:color w:val="0D0D0D" w:themeColor="text1" w:themeTint="F2"/>
                <w:sz w:val="24"/>
                <w:szCs w:val="24"/>
                <w14:textFill>
                  <w14:solidFill>
                    <w14:schemeClr w14:val="tx1">
                      <w14:lumMod w14:val="95000"/>
                      <w14:lumOff w14:val="5000"/>
                    </w14:schemeClr>
                  </w14:solidFill>
                </w14:textFill>
              </w:rPr>
              <w:t>陆域</w:t>
            </w:r>
          </w:p>
        </w:tc>
        <w:tc>
          <w:tcPr>
            <w:tcW w:w="125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 w:cs="Times New Roman"/>
                <w:b/>
                <w:bCs/>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bCs/>
                <w:color w:val="0D0D0D" w:themeColor="text1" w:themeTint="F2"/>
                <w:sz w:val="24"/>
                <w:szCs w:val="24"/>
                <w14:textFill>
                  <w14:solidFill>
                    <w14:schemeClr w14:val="tx1">
                      <w14:lumMod w14:val="95000"/>
                      <w14:lumOff w14:val="5000"/>
                    </w14:schemeClr>
                  </w14:solidFill>
                </w14:textFill>
              </w:rPr>
              <w:t>水域</w:t>
            </w:r>
          </w:p>
        </w:tc>
        <w:tc>
          <w:tcPr>
            <w:tcW w:w="128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 w:cs="Times New Roman"/>
                <w:b/>
                <w:bCs/>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b/>
                <w:bCs/>
                <w:color w:val="0D0D0D" w:themeColor="text1" w:themeTint="F2"/>
                <w:sz w:val="24"/>
                <w:szCs w:val="24"/>
                <w14:textFill>
                  <w14:solidFill>
                    <w14:schemeClr w14:val="tx1">
                      <w14:lumMod w14:val="95000"/>
                      <w14:lumOff w14:val="5000"/>
                    </w14:schemeClr>
                  </w14:solidFill>
                </w14:textFill>
              </w:rPr>
              <w:t>陆域</w:t>
            </w:r>
          </w:p>
        </w:tc>
      </w:tr>
      <w:tr>
        <w:tblPrEx>
          <w:tblLayout w:type="fixed"/>
          <w:tblCellMar>
            <w:top w:w="0" w:type="dxa"/>
            <w:left w:w="108" w:type="dxa"/>
            <w:bottom w:w="0" w:type="dxa"/>
            <w:right w:w="108" w:type="dxa"/>
          </w:tblCellMar>
        </w:tblPrEx>
        <w:trPr>
          <w:trHeight w:val="315" w:hRule="atLeast"/>
        </w:trPr>
        <w:tc>
          <w:tcPr>
            <w:tcW w:w="838"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富源县</w:t>
            </w:r>
          </w:p>
        </w:tc>
        <w:tc>
          <w:tcPr>
            <w:tcW w:w="128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亦佐水库</w:t>
            </w:r>
          </w:p>
        </w:tc>
        <w:tc>
          <w:tcPr>
            <w:tcW w:w="993"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地表水型</w:t>
            </w:r>
          </w:p>
        </w:tc>
        <w:tc>
          <w:tcPr>
            <w:tcW w:w="1275"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fldChar w:fldCharType="begin"/>
            </w: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instrText xml:space="preserve"> </w:instrText>
            </w: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instrText xml:space="preserve">= 3 \* ROMAN</w:instrText>
            </w: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instrText xml:space="preserve"> </w:instrText>
            </w: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fldChar w:fldCharType="separate"/>
            </w: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III</w:t>
            </w: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fldChar w:fldCharType="end"/>
            </w: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类</w:t>
            </w: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（地表水）</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面积</w:t>
            </w: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w:t>
            </w: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km</w:t>
            </w:r>
            <w:r>
              <w:rPr>
                <w:rFonts w:ascii="Times New Roman" w:hAnsi="Times New Roman" w:eastAsia="仿宋" w:cs="Times New Roman"/>
                <w:color w:val="0D0D0D" w:themeColor="text1" w:themeTint="F2"/>
                <w:sz w:val="24"/>
                <w:szCs w:val="24"/>
                <w:vertAlign w:val="superscript"/>
                <w14:textFill>
                  <w14:solidFill>
                    <w14:schemeClr w14:val="tx1">
                      <w14:lumMod w14:val="95000"/>
                      <w14:lumOff w14:val="5000"/>
                    </w14:schemeClr>
                  </w14:solidFill>
                </w14:textFill>
              </w:rPr>
              <w:t>2</w:t>
            </w: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w:t>
            </w:r>
          </w:p>
        </w:tc>
        <w:tc>
          <w:tcPr>
            <w:tcW w:w="2531" w:type="dxa"/>
            <w:gridSpan w:val="2"/>
            <w:tcBorders>
              <w:top w:val="single" w:color="auto" w:sz="4" w:space="0"/>
              <w:left w:val="nil"/>
              <w:bottom w:val="single" w:color="auto" w:sz="4" w:space="0"/>
              <w:right w:val="single" w:color="000000" w:sz="4" w:space="0"/>
            </w:tcBorders>
            <w:shd w:val="clear" w:color="auto" w:fill="auto"/>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0.7279</w:t>
            </w:r>
          </w:p>
        </w:tc>
        <w:tc>
          <w:tcPr>
            <w:tcW w:w="2935" w:type="dxa"/>
            <w:gridSpan w:val="2"/>
            <w:tcBorders>
              <w:top w:val="single" w:color="auto" w:sz="4" w:space="0"/>
              <w:left w:val="nil"/>
              <w:bottom w:val="single" w:color="auto" w:sz="4" w:space="0"/>
              <w:right w:val="single" w:color="000000" w:sz="4" w:space="0"/>
            </w:tcBorders>
            <w:shd w:val="clear" w:color="auto" w:fill="auto"/>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w:t>
            </w:r>
          </w:p>
        </w:tc>
        <w:tc>
          <w:tcPr>
            <w:tcW w:w="2533" w:type="dxa"/>
            <w:gridSpan w:val="2"/>
            <w:tcBorders>
              <w:top w:val="single" w:color="auto" w:sz="4" w:space="0"/>
              <w:left w:val="nil"/>
              <w:bottom w:val="single" w:color="auto" w:sz="4" w:space="0"/>
              <w:right w:val="single" w:color="000000" w:sz="4" w:space="0"/>
            </w:tcBorders>
            <w:shd w:val="clear" w:color="auto" w:fill="auto"/>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w:t>
            </w:r>
          </w:p>
        </w:tc>
      </w:tr>
      <w:tr>
        <w:tblPrEx>
          <w:tblLayout w:type="fixed"/>
          <w:tblCellMar>
            <w:top w:w="0" w:type="dxa"/>
            <w:left w:w="108" w:type="dxa"/>
            <w:bottom w:w="0" w:type="dxa"/>
            <w:right w:w="108" w:type="dxa"/>
          </w:tblCellMar>
        </w:tblPrEx>
        <w:trPr>
          <w:trHeight w:val="315" w:hRule="atLeast"/>
        </w:trPr>
        <w:tc>
          <w:tcPr>
            <w:tcW w:w="838" w:type="dxa"/>
            <w:vMerge w:val="continue"/>
            <w:tcBorders>
              <w:top w:val="nil"/>
              <w:left w:val="single" w:color="auto" w:sz="4" w:space="0"/>
              <w:bottom w:val="single" w:color="000000" w:sz="4" w:space="0"/>
              <w:right w:val="single" w:color="auto" w:sz="4" w:space="0"/>
            </w:tcBorders>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p>
        </w:tc>
        <w:tc>
          <w:tcPr>
            <w:tcW w:w="1284" w:type="dxa"/>
            <w:vMerge w:val="continue"/>
            <w:tcBorders>
              <w:top w:val="nil"/>
              <w:left w:val="single" w:color="auto" w:sz="4" w:space="0"/>
              <w:bottom w:val="single" w:color="000000" w:sz="4" w:space="0"/>
              <w:right w:val="single" w:color="auto" w:sz="4" w:space="0"/>
            </w:tcBorders>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p>
        </w:tc>
        <w:tc>
          <w:tcPr>
            <w:tcW w:w="993" w:type="dxa"/>
            <w:vMerge w:val="continue"/>
            <w:tcBorders>
              <w:top w:val="nil"/>
              <w:left w:val="single" w:color="auto" w:sz="4" w:space="0"/>
              <w:bottom w:val="single" w:color="000000" w:sz="4" w:space="0"/>
              <w:right w:val="single" w:color="auto" w:sz="4" w:space="0"/>
            </w:tcBorders>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p>
        </w:tc>
        <w:tc>
          <w:tcPr>
            <w:tcW w:w="1275" w:type="dxa"/>
            <w:vMerge w:val="continue"/>
            <w:tcBorders>
              <w:top w:val="nil"/>
              <w:left w:val="single" w:color="auto" w:sz="4" w:space="0"/>
              <w:bottom w:val="single" w:color="000000" w:sz="4" w:space="0"/>
              <w:right w:val="single" w:color="auto" w:sz="4" w:space="0"/>
            </w:tcBorders>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p>
        </w:tc>
        <w:tc>
          <w:tcPr>
            <w:tcW w:w="1559" w:type="dxa"/>
            <w:vMerge w:val="continue"/>
            <w:tcBorders>
              <w:top w:val="nil"/>
              <w:left w:val="single" w:color="auto" w:sz="4" w:space="0"/>
              <w:bottom w:val="single" w:color="000000" w:sz="4" w:space="0"/>
              <w:right w:val="single" w:color="auto" w:sz="4" w:space="0"/>
            </w:tcBorders>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p>
        </w:tc>
        <w:tc>
          <w:tcPr>
            <w:tcW w:w="113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0.0</w:t>
            </w: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316</w:t>
            </w:r>
          </w:p>
        </w:tc>
        <w:tc>
          <w:tcPr>
            <w:tcW w:w="1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0.</w:t>
            </w: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6963</w:t>
            </w:r>
          </w:p>
        </w:tc>
        <w:tc>
          <w:tcPr>
            <w:tcW w:w="1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w:t>
            </w:r>
          </w:p>
        </w:tc>
        <w:tc>
          <w:tcPr>
            <w:tcW w:w="153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w:t>
            </w:r>
          </w:p>
        </w:tc>
        <w:tc>
          <w:tcPr>
            <w:tcW w:w="125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w:t>
            </w:r>
          </w:p>
        </w:tc>
        <w:tc>
          <w:tcPr>
            <w:tcW w:w="128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w:t>
            </w:r>
          </w:p>
        </w:tc>
      </w:tr>
      <w:tr>
        <w:tblPrEx>
          <w:tblLayout w:type="fixed"/>
          <w:tblCellMar>
            <w:top w:w="0" w:type="dxa"/>
            <w:left w:w="108" w:type="dxa"/>
            <w:bottom w:w="0" w:type="dxa"/>
            <w:right w:w="108" w:type="dxa"/>
          </w:tblCellMar>
        </w:tblPrEx>
        <w:trPr>
          <w:trHeight w:val="570" w:hRule="atLeast"/>
        </w:trPr>
        <w:tc>
          <w:tcPr>
            <w:tcW w:w="838" w:type="dxa"/>
            <w:vMerge w:val="continue"/>
            <w:tcBorders>
              <w:top w:val="nil"/>
              <w:left w:val="single" w:color="auto" w:sz="4" w:space="0"/>
              <w:bottom w:val="single" w:color="000000" w:sz="4" w:space="0"/>
              <w:right w:val="single" w:color="auto" w:sz="4" w:space="0"/>
            </w:tcBorders>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p>
        </w:tc>
        <w:tc>
          <w:tcPr>
            <w:tcW w:w="1284" w:type="dxa"/>
            <w:vMerge w:val="continue"/>
            <w:tcBorders>
              <w:top w:val="nil"/>
              <w:left w:val="single" w:color="auto" w:sz="4" w:space="0"/>
              <w:bottom w:val="single" w:color="000000" w:sz="4" w:space="0"/>
              <w:right w:val="single" w:color="auto" w:sz="4" w:space="0"/>
            </w:tcBorders>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p>
        </w:tc>
        <w:tc>
          <w:tcPr>
            <w:tcW w:w="993" w:type="dxa"/>
            <w:vMerge w:val="continue"/>
            <w:tcBorders>
              <w:top w:val="nil"/>
              <w:left w:val="single" w:color="auto" w:sz="4" w:space="0"/>
              <w:bottom w:val="single" w:color="000000" w:sz="4" w:space="0"/>
              <w:right w:val="single" w:color="auto" w:sz="4" w:space="0"/>
            </w:tcBorders>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p>
        </w:tc>
        <w:tc>
          <w:tcPr>
            <w:tcW w:w="1275" w:type="dxa"/>
            <w:vMerge w:val="continue"/>
            <w:tcBorders>
              <w:top w:val="nil"/>
              <w:left w:val="single" w:color="auto" w:sz="4" w:space="0"/>
              <w:bottom w:val="single" w:color="000000" w:sz="4" w:space="0"/>
              <w:right w:val="single" w:color="auto" w:sz="4" w:space="0"/>
            </w:tcBorders>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p>
        </w:tc>
        <w:tc>
          <w:tcPr>
            <w:tcW w:w="155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保护区范围</w:t>
            </w:r>
          </w:p>
        </w:tc>
        <w:tc>
          <w:tcPr>
            <w:tcW w:w="2531" w:type="dxa"/>
            <w:gridSpan w:val="2"/>
            <w:tcBorders>
              <w:top w:val="single" w:color="auto" w:sz="4" w:space="0"/>
              <w:left w:val="nil"/>
              <w:bottom w:val="single" w:color="auto" w:sz="4" w:space="0"/>
              <w:right w:val="single" w:color="auto" w:sz="4" w:space="0"/>
            </w:tcBorders>
            <w:shd w:val="clear" w:color="auto" w:fill="auto"/>
            <w:vAlign w:val="center"/>
          </w:tcPr>
          <w:p>
            <w:pP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水域：亦佐水库正常蓄水位2088m以下的全部水域。</w:t>
            </w:r>
          </w:p>
          <w:p>
            <w:pP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陆域：流域分水岭范围内一级保护区外的其他区域为</w:t>
            </w: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陆域</w:t>
            </w: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w:t>
            </w:r>
          </w:p>
        </w:tc>
        <w:tc>
          <w:tcPr>
            <w:tcW w:w="2935"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w:t>
            </w:r>
          </w:p>
        </w:tc>
        <w:tc>
          <w:tcPr>
            <w:tcW w:w="2533" w:type="dxa"/>
            <w:gridSpan w:val="2"/>
            <w:tcBorders>
              <w:top w:val="single" w:color="auto" w:sz="4" w:space="0"/>
              <w:left w:val="nil"/>
              <w:bottom w:val="single" w:color="auto" w:sz="4" w:space="0"/>
              <w:right w:val="single" w:color="auto" w:sz="4" w:space="0"/>
            </w:tcBorders>
            <w:shd w:val="clear" w:color="auto" w:fill="auto"/>
            <w:vAlign w:val="center"/>
          </w:tcPr>
          <w:p>
            <w:pP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w:t>
            </w:r>
          </w:p>
        </w:tc>
      </w:tr>
    </w:tbl>
    <w:p>
      <w:pPr>
        <w:rPr>
          <w:color w:val="0D0D0D" w:themeColor="text1" w:themeTint="F2"/>
          <w14:textFill>
            <w14:solidFill>
              <w14:schemeClr w14:val="tx1">
                <w14:lumMod w14:val="95000"/>
                <w14:lumOff w14:val="5000"/>
              </w14:schemeClr>
            </w14:solidFill>
          </w14:textFill>
        </w:rPr>
      </w:pPr>
    </w:p>
    <w:p>
      <w:pPr>
        <w:pStyle w:val="3"/>
        <w:adjustRightInd w:val="0"/>
        <w:snapToGrid w:val="0"/>
        <w:spacing w:before="0" w:after="0" w:line="360" w:lineRule="auto"/>
        <w:rPr>
          <w:rFonts w:cs="Times New Roman"/>
          <w:color w:val="0D0D0D" w:themeColor="text1" w:themeTint="F2"/>
          <w:sz w:val="28"/>
          <w:szCs w:val="28"/>
          <w14:textFill>
            <w14:solidFill>
              <w14:schemeClr w14:val="tx1">
                <w14:lumMod w14:val="95000"/>
                <w14:lumOff w14:val="5000"/>
              </w14:schemeClr>
            </w14:solidFill>
          </w14:textFill>
        </w:rPr>
      </w:pPr>
      <w:bookmarkStart w:id="226" w:name="_Toc27522227"/>
      <w:r>
        <w:rPr>
          <w:rFonts w:cs="Times New Roman"/>
          <w:color w:val="0D0D0D" w:themeColor="text1" w:themeTint="F2"/>
          <w:sz w:val="28"/>
          <w:szCs w:val="28"/>
          <w14:textFill>
            <w14:solidFill>
              <w14:schemeClr w14:val="tx1">
                <w14:lumMod w14:val="95000"/>
                <w14:lumOff w14:val="5000"/>
              </w14:schemeClr>
            </w14:solidFill>
          </w14:textFill>
        </w:rPr>
        <w:t>附表</w:t>
      </w:r>
      <w:r>
        <w:rPr>
          <w:rFonts w:hint="eastAsia" w:cs="Times New Roman"/>
          <w:color w:val="0D0D0D" w:themeColor="text1" w:themeTint="F2"/>
          <w:sz w:val="28"/>
          <w:szCs w:val="28"/>
          <w14:textFill>
            <w14:solidFill>
              <w14:schemeClr w14:val="tx1">
                <w14:lumMod w14:val="95000"/>
                <w14:lumOff w14:val="5000"/>
              </w14:schemeClr>
            </w14:solidFill>
          </w14:textFill>
        </w:rPr>
        <w:t>4 富源县亦佐水库饮用水水源地保护区污染源调查表</w:t>
      </w:r>
      <w:bookmarkEnd w:id="226"/>
    </w:p>
    <w:p>
      <w:pPr>
        <w:adjustRightInd w:val="0"/>
        <w:snapToGrid w:val="0"/>
        <w:spacing w:line="240" w:lineRule="atLeast"/>
        <w:jc w:val="center"/>
        <w:rPr>
          <w:rFonts w:ascii="仿宋" w:hAnsi="仿宋" w:eastAsia="仿宋"/>
          <w:b/>
          <w:color w:val="0D0D0D" w:themeColor="text1" w:themeTint="F2"/>
          <w:kern w:val="0"/>
          <w:sz w:val="28"/>
          <w:szCs w:val="28"/>
          <w:u w:val="single"/>
          <w14:textFill>
            <w14:solidFill>
              <w14:schemeClr w14:val="tx1">
                <w14:lumMod w14:val="95000"/>
                <w14:lumOff w14:val="5000"/>
              </w14:schemeClr>
            </w14:solidFill>
          </w14:textFill>
        </w:rPr>
      </w:pPr>
      <w:r>
        <w:rPr>
          <w:rFonts w:hint="eastAsia" w:ascii="仿宋" w:hAnsi="仿宋" w:eastAsia="仿宋"/>
          <w:b/>
          <w:color w:val="0D0D0D" w:themeColor="text1" w:themeTint="F2"/>
          <w:kern w:val="0"/>
          <w:sz w:val="28"/>
          <w:szCs w:val="28"/>
          <w:u w:val="single"/>
          <w14:textFill>
            <w14:solidFill>
              <w14:schemeClr w14:val="tx1">
                <w14:lumMod w14:val="95000"/>
                <w14:lumOff w14:val="5000"/>
              </w14:schemeClr>
            </w14:solidFill>
          </w14:textFill>
        </w:rPr>
        <w:t>亦佐水库</w:t>
      </w:r>
      <w:r>
        <w:rPr>
          <w:rFonts w:ascii="仿宋" w:hAnsi="仿宋" w:eastAsia="仿宋"/>
          <w:b/>
          <w:color w:val="0D0D0D" w:themeColor="text1" w:themeTint="F2"/>
          <w:kern w:val="0"/>
          <w:sz w:val="28"/>
          <w:szCs w:val="28"/>
          <w:u w:val="single"/>
          <w14:textFill>
            <w14:solidFill>
              <w14:schemeClr w14:val="tx1">
                <w14:lumMod w14:val="95000"/>
                <w14:lumOff w14:val="5000"/>
              </w14:schemeClr>
            </w14:solidFill>
          </w14:textFill>
        </w:rPr>
        <w:t>饮用水水源地保护区污染源调查表</w:t>
      </w:r>
    </w:p>
    <w:tbl>
      <w:tblPr>
        <w:tblStyle w:val="44"/>
        <w:tblW w:w="14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134"/>
        <w:gridCol w:w="1134"/>
        <w:gridCol w:w="2297"/>
        <w:gridCol w:w="1086"/>
        <w:gridCol w:w="1847"/>
        <w:gridCol w:w="2550"/>
        <w:gridCol w:w="3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trPr>
        <w:tc>
          <w:tcPr>
            <w:tcW w:w="959" w:type="dxa"/>
            <w:vMerge w:val="restart"/>
            <w:shd w:val="clear" w:color="auto" w:fill="auto"/>
            <w:vAlign w:val="center"/>
          </w:tcPr>
          <w:p>
            <w:pPr>
              <w:widowControl/>
              <w:jc w:val="cente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水源地名称</w:t>
            </w:r>
          </w:p>
        </w:tc>
        <w:tc>
          <w:tcPr>
            <w:tcW w:w="1134" w:type="dxa"/>
            <w:vMerge w:val="restart"/>
            <w:shd w:val="clear" w:color="auto" w:fill="auto"/>
            <w:vAlign w:val="center"/>
          </w:tcPr>
          <w:p>
            <w:pPr>
              <w:widowControl/>
              <w:jc w:val="cente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保护区级别</w:t>
            </w:r>
          </w:p>
        </w:tc>
        <w:tc>
          <w:tcPr>
            <w:tcW w:w="4517" w:type="dxa"/>
            <w:gridSpan w:val="3"/>
            <w:shd w:val="clear" w:color="auto" w:fill="auto"/>
            <w:vAlign w:val="center"/>
          </w:tcPr>
          <w:p>
            <w:pPr>
              <w:widowControl/>
              <w:jc w:val="cente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主要污染源</w:t>
            </w:r>
          </w:p>
        </w:tc>
        <w:tc>
          <w:tcPr>
            <w:tcW w:w="1847" w:type="dxa"/>
            <w:vMerge w:val="restart"/>
            <w:shd w:val="clear" w:color="auto" w:fill="auto"/>
            <w:vAlign w:val="center"/>
          </w:tcPr>
          <w:p>
            <w:pPr>
              <w:widowControl/>
              <w:jc w:val="cente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环境风险</w:t>
            </w:r>
          </w:p>
        </w:tc>
        <w:tc>
          <w:tcPr>
            <w:tcW w:w="2550" w:type="dxa"/>
            <w:vMerge w:val="restart"/>
            <w:shd w:val="clear" w:color="auto" w:fill="auto"/>
            <w:vAlign w:val="center"/>
          </w:tcPr>
          <w:p>
            <w:pPr>
              <w:widowControl/>
              <w:jc w:val="cente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存在的主要环境问题</w:t>
            </w:r>
          </w:p>
        </w:tc>
        <w:tc>
          <w:tcPr>
            <w:tcW w:w="3177" w:type="dxa"/>
            <w:vMerge w:val="restart"/>
            <w:shd w:val="clear" w:color="auto" w:fill="auto"/>
            <w:vAlign w:val="center"/>
          </w:tcPr>
          <w:p>
            <w:pPr>
              <w:widowControl/>
              <w:jc w:val="cente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规范化建设项目及管理措施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trPr>
        <w:tc>
          <w:tcPr>
            <w:tcW w:w="959" w:type="dxa"/>
            <w:vMerge w:val="continue"/>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c>
          <w:tcPr>
            <w:tcW w:w="1134" w:type="dxa"/>
            <w:vMerge w:val="continue"/>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c>
          <w:tcPr>
            <w:tcW w:w="1134" w:type="dxa"/>
            <w:shd w:val="clear" w:color="auto" w:fill="auto"/>
            <w:vAlign w:val="center"/>
          </w:tcPr>
          <w:p>
            <w:pPr>
              <w:widowControl/>
              <w:jc w:val="cente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点源</w:t>
            </w:r>
          </w:p>
        </w:tc>
        <w:tc>
          <w:tcPr>
            <w:tcW w:w="2297" w:type="dxa"/>
            <w:shd w:val="clear" w:color="auto" w:fill="auto"/>
            <w:vAlign w:val="center"/>
          </w:tcPr>
          <w:p>
            <w:pPr>
              <w:widowControl/>
              <w:jc w:val="cente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面源</w:t>
            </w:r>
          </w:p>
        </w:tc>
        <w:tc>
          <w:tcPr>
            <w:tcW w:w="1086" w:type="dxa"/>
            <w:shd w:val="clear" w:color="auto" w:fill="auto"/>
            <w:vAlign w:val="center"/>
          </w:tcPr>
          <w:p>
            <w:pPr>
              <w:widowControl/>
              <w:jc w:val="cente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kern w:val="0"/>
                <w:sz w:val="24"/>
                <w:szCs w:val="24"/>
                <w14:textFill>
                  <w14:solidFill>
                    <w14:schemeClr w14:val="tx1">
                      <w14:lumMod w14:val="95000"/>
                      <w14:lumOff w14:val="5000"/>
                    </w14:schemeClr>
                  </w14:solidFill>
                </w14:textFill>
              </w:rPr>
              <w:t>流动源</w:t>
            </w:r>
          </w:p>
        </w:tc>
        <w:tc>
          <w:tcPr>
            <w:tcW w:w="1847" w:type="dxa"/>
            <w:vMerge w:val="continue"/>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c>
          <w:tcPr>
            <w:tcW w:w="2550" w:type="dxa"/>
            <w:vMerge w:val="continue"/>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c>
          <w:tcPr>
            <w:tcW w:w="3177" w:type="dxa"/>
            <w:vMerge w:val="continue"/>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59"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亦佐水库</w:t>
            </w:r>
          </w:p>
        </w:tc>
        <w:tc>
          <w:tcPr>
            <w:tcW w:w="1134"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一级区</w:t>
            </w:r>
          </w:p>
        </w:tc>
        <w:tc>
          <w:tcPr>
            <w:tcW w:w="1134"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无</w:t>
            </w:r>
          </w:p>
        </w:tc>
        <w:tc>
          <w:tcPr>
            <w:tcW w:w="2297" w:type="dxa"/>
            <w:shd w:val="clear" w:color="auto" w:fill="auto"/>
            <w:vAlign w:val="center"/>
          </w:tcPr>
          <w:p>
            <w:pPr>
              <w:widowControl/>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1</w:t>
            </w: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.农业种植污染，涉及耕地</w:t>
            </w: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22.64公顷；</w:t>
            </w:r>
          </w:p>
          <w:p>
            <w:pPr>
              <w:widowControl/>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2</w:t>
            </w: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.水土流失</w:t>
            </w: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63.68</w:t>
            </w: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公顷</w:t>
            </w: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w:t>
            </w:r>
          </w:p>
        </w:tc>
        <w:tc>
          <w:tcPr>
            <w:tcW w:w="1086" w:type="dxa"/>
            <w:shd w:val="clear" w:color="auto" w:fill="auto"/>
            <w:vAlign w:val="center"/>
          </w:tcPr>
          <w:p>
            <w:pPr>
              <w:widowControl/>
              <w:jc w:val="cente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乡村道路</w:t>
            </w:r>
          </w:p>
        </w:tc>
        <w:tc>
          <w:tcPr>
            <w:tcW w:w="1847" w:type="dxa"/>
            <w:shd w:val="clear" w:color="auto" w:fill="auto"/>
            <w:vAlign w:val="center"/>
          </w:tcPr>
          <w:p>
            <w:pPr>
              <w:widowControl/>
              <w:jc w:val="left"/>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农业面源</w:t>
            </w: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及水土流失非点源</w:t>
            </w: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w:t>
            </w: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流动源</w:t>
            </w:r>
          </w:p>
        </w:tc>
        <w:tc>
          <w:tcPr>
            <w:tcW w:w="2550" w:type="dxa"/>
            <w:shd w:val="clear" w:color="auto" w:fill="auto"/>
            <w:vAlign w:val="center"/>
          </w:tcPr>
          <w:p>
            <w:pPr>
              <w:widowControl/>
              <w:jc w:val="left"/>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1</w:t>
            </w: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.农业种植化肥、农药面源污染；</w:t>
            </w:r>
          </w:p>
          <w:p>
            <w:pPr>
              <w:widowControl/>
              <w:jc w:val="left"/>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2</w:t>
            </w: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.交通污染风险；</w:t>
            </w:r>
          </w:p>
          <w:p>
            <w:pPr>
              <w:widowControl/>
              <w:jc w:val="left"/>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3</w:t>
            </w: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.水土流失面源污染。</w:t>
            </w:r>
          </w:p>
        </w:tc>
        <w:tc>
          <w:tcPr>
            <w:tcW w:w="3177" w:type="dxa"/>
            <w:shd w:val="clear" w:color="auto" w:fill="auto"/>
            <w:vAlign w:val="center"/>
          </w:tcPr>
          <w:p>
            <w:pPr>
              <w:widowControl/>
              <w:jc w:val="left"/>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1.一级保护区防护围网、交通警示牌设置</w:t>
            </w: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、告示牌、界桩</w:t>
            </w: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w:t>
            </w:r>
          </w:p>
          <w:p>
            <w:pPr>
              <w:widowControl/>
              <w:jc w:val="left"/>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2.退耕还林、人工造林工程；</w:t>
            </w:r>
          </w:p>
          <w:p>
            <w:pPr>
              <w:widowControl/>
              <w:jc w:val="left"/>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3.交通污染控制工程；</w:t>
            </w:r>
          </w:p>
          <w:p>
            <w:pPr>
              <w:widowControl/>
              <w:jc w:val="left"/>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4</w:t>
            </w:r>
            <w:r>
              <w:rPr>
                <w:rFonts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t>.水土流失治理工程。</w:t>
            </w:r>
          </w:p>
        </w:tc>
      </w:tr>
    </w:tbl>
    <w:p>
      <w:pPr>
        <w:rPr>
          <w:color w:val="0D0D0D" w:themeColor="text1" w:themeTint="F2"/>
          <w:lang w:val="en-GB"/>
          <w14:textFill>
            <w14:solidFill>
              <w14:schemeClr w14:val="tx1">
                <w14:lumMod w14:val="95000"/>
                <w14:lumOff w14:val="5000"/>
              </w14:schemeClr>
            </w14:solidFill>
          </w14:textFill>
        </w:rPr>
      </w:pPr>
    </w:p>
    <w:p>
      <w:pPr>
        <w:rPr>
          <w:color w:val="0D0D0D" w:themeColor="text1" w:themeTint="F2"/>
          <w:lang w:val="en-GB"/>
          <w14:textFill>
            <w14:solidFill>
              <w14:schemeClr w14:val="tx1">
                <w14:lumMod w14:val="95000"/>
                <w14:lumOff w14:val="5000"/>
              </w14:schemeClr>
            </w14:solidFill>
          </w14:textFill>
        </w:rPr>
      </w:pPr>
    </w:p>
    <w:sectPr>
      <w:pgSz w:w="16838" w:h="11906" w:orient="landscape"/>
      <w:pgMar w:top="1236" w:right="1440" w:bottom="1236" w:left="1440"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swiss"/>
    <w:pitch w:val="default"/>
    <w:sig w:usb0="E0002AFF" w:usb1="C0007843" w:usb2="00000009" w:usb3="00000000" w:csb0="400001FF" w:csb1="FFFF0000"/>
  </w:font>
  <w:font w:name="Microsoft YaHei UI">
    <w:altName w:val="宋体"/>
    <w:panose1 w:val="020B0503020204020204"/>
    <w:charset w:val="86"/>
    <w:family w:val="swiss"/>
    <w:pitch w:val="default"/>
    <w:sig w:usb0="00000000" w:usb1="00000000"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 w:name="Courier New">
    <w:panose1 w:val="02070309020205020404"/>
    <w:charset w:val="00"/>
    <w:family w:val="modern"/>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0468632"/>
      <w:docPartObj>
        <w:docPartGallery w:val="AutoText"/>
      </w:docPartObj>
    </w:sdtPr>
    <w:sdtContent>
      <w:p>
        <w:pPr>
          <w:pStyle w:val="28"/>
          <w:jc w:val="center"/>
        </w:pPr>
      </w:p>
    </w:sdtContent>
  </w:sdt>
  <w:p>
    <w:pPr>
      <w:pStyle w:val="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p>
  <w:p>
    <w:pPr>
      <w:pStyle w:val="2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5807744"/>
      <w:docPartObj>
        <w:docPartGallery w:val="AutoText"/>
      </w:docPartObj>
    </w:sdtPr>
    <w:sdtContent>
      <w:p>
        <w:pPr>
          <w:pStyle w:val="28"/>
          <w:jc w:val="center"/>
        </w:pPr>
        <w:r>
          <w:fldChar w:fldCharType="begin"/>
        </w:r>
        <w:r>
          <w:instrText xml:space="preserve">PAGE   \* MERGEFORMAT</w:instrText>
        </w:r>
        <w:r>
          <w:fldChar w:fldCharType="separate"/>
        </w:r>
        <w:r>
          <w:rPr>
            <w:lang w:val="zh-CN"/>
          </w:rPr>
          <w:t>iii</w:t>
        </w:r>
        <w:r>
          <w:fldChar w:fldCharType="end"/>
        </w:r>
      </w:p>
    </w:sdtContent>
  </w:sdt>
  <w:p>
    <w:pPr>
      <w:pStyle w:val="2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5811363"/>
      <w:docPartObj>
        <w:docPartGallery w:val="AutoText"/>
      </w:docPartObj>
    </w:sdtPr>
    <w:sdtContent>
      <w:p>
        <w:pPr>
          <w:pStyle w:val="28"/>
          <w:jc w:val="center"/>
        </w:pPr>
        <w:r>
          <w:fldChar w:fldCharType="begin"/>
        </w:r>
        <w:r>
          <w:instrText xml:space="preserve">PAGE   \* MERGEFORMAT</w:instrText>
        </w:r>
        <w:r>
          <w:fldChar w:fldCharType="separate"/>
        </w:r>
        <w:r>
          <w:rPr>
            <w:lang w:val="zh-CN"/>
          </w:rPr>
          <w:t>-</w:t>
        </w:r>
        <w:r>
          <w:t xml:space="preserve"> 4 -</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8861279"/>
      <w:docPartObj>
        <w:docPartGallery w:val="AutoText"/>
      </w:docPartObj>
    </w:sdtPr>
    <w:sdtContent>
      <w:p>
        <w:pPr>
          <w:pStyle w:val="28"/>
          <w:jc w:val="center"/>
        </w:pPr>
        <w:r>
          <w:fldChar w:fldCharType="begin"/>
        </w:r>
        <w:r>
          <w:instrText xml:space="preserve">PAGE   \* MERGEFORMAT</w:instrText>
        </w:r>
        <w:r>
          <w:fldChar w:fldCharType="separate"/>
        </w:r>
        <w:r>
          <w:rPr>
            <w:lang w:val="zh-CN"/>
          </w:rPr>
          <w:t>-</w:t>
        </w:r>
        <w:r>
          <w:t xml:space="preserve"> 43 -</w:t>
        </w:r>
        <w:r>
          <w:fldChar w:fldCharType="end"/>
        </w:r>
      </w:p>
    </w:sdtContent>
  </w:sdt>
  <w:p>
    <w:pPr>
      <w:pStyle w:val="28"/>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tentative="0">
      <w:start w:val="1"/>
      <w:numFmt w:val="bullet"/>
      <w:pStyle w:val="15"/>
      <w:lvlText w:val=""/>
      <w:lvlJc w:val="left"/>
      <w:pPr>
        <w:tabs>
          <w:tab w:val="left" w:pos="360"/>
        </w:tabs>
        <w:ind w:left="360" w:hanging="360" w:hangingChars="20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092"/>
    <w:rsid w:val="00000BAA"/>
    <w:rsid w:val="00002B1D"/>
    <w:rsid w:val="000051A7"/>
    <w:rsid w:val="000057B4"/>
    <w:rsid w:val="000057E5"/>
    <w:rsid w:val="00006389"/>
    <w:rsid w:val="00012715"/>
    <w:rsid w:val="0002043B"/>
    <w:rsid w:val="000214DD"/>
    <w:rsid w:val="00023B70"/>
    <w:rsid w:val="000245F6"/>
    <w:rsid w:val="00024D03"/>
    <w:rsid w:val="000315A7"/>
    <w:rsid w:val="0003527E"/>
    <w:rsid w:val="0003553B"/>
    <w:rsid w:val="000362D7"/>
    <w:rsid w:val="00036A97"/>
    <w:rsid w:val="00037199"/>
    <w:rsid w:val="00041333"/>
    <w:rsid w:val="00042407"/>
    <w:rsid w:val="000439BE"/>
    <w:rsid w:val="00044BEE"/>
    <w:rsid w:val="000453C1"/>
    <w:rsid w:val="0004636E"/>
    <w:rsid w:val="00047106"/>
    <w:rsid w:val="00053EA4"/>
    <w:rsid w:val="00055B7B"/>
    <w:rsid w:val="00055BA1"/>
    <w:rsid w:val="0005728E"/>
    <w:rsid w:val="00057724"/>
    <w:rsid w:val="0006100B"/>
    <w:rsid w:val="00071E63"/>
    <w:rsid w:val="00073188"/>
    <w:rsid w:val="00073243"/>
    <w:rsid w:val="0008082C"/>
    <w:rsid w:val="000809AA"/>
    <w:rsid w:val="000857FC"/>
    <w:rsid w:val="00087EE8"/>
    <w:rsid w:val="000924F1"/>
    <w:rsid w:val="00092F78"/>
    <w:rsid w:val="000946A3"/>
    <w:rsid w:val="000951D8"/>
    <w:rsid w:val="000A0EB9"/>
    <w:rsid w:val="000A30C6"/>
    <w:rsid w:val="000A42F3"/>
    <w:rsid w:val="000B2196"/>
    <w:rsid w:val="000B32DF"/>
    <w:rsid w:val="000B75C5"/>
    <w:rsid w:val="000C4766"/>
    <w:rsid w:val="000D6FD0"/>
    <w:rsid w:val="000E1D72"/>
    <w:rsid w:val="000E3763"/>
    <w:rsid w:val="000E5B0E"/>
    <w:rsid w:val="000F0431"/>
    <w:rsid w:val="000F2DDA"/>
    <w:rsid w:val="000F3D90"/>
    <w:rsid w:val="000F51D5"/>
    <w:rsid w:val="000F724C"/>
    <w:rsid w:val="000F7402"/>
    <w:rsid w:val="00103D7C"/>
    <w:rsid w:val="00104C08"/>
    <w:rsid w:val="00110EEA"/>
    <w:rsid w:val="00115274"/>
    <w:rsid w:val="00117795"/>
    <w:rsid w:val="00120915"/>
    <w:rsid w:val="00120A22"/>
    <w:rsid w:val="00126FF8"/>
    <w:rsid w:val="00130C7D"/>
    <w:rsid w:val="00130E81"/>
    <w:rsid w:val="00132BB7"/>
    <w:rsid w:val="00133EF1"/>
    <w:rsid w:val="00134E5A"/>
    <w:rsid w:val="0014035B"/>
    <w:rsid w:val="00142C7C"/>
    <w:rsid w:val="00143B51"/>
    <w:rsid w:val="001450A5"/>
    <w:rsid w:val="001515D1"/>
    <w:rsid w:val="00154210"/>
    <w:rsid w:val="00154E81"/>
    <w:rsid w:val="00160938"/>
    <w:rsid w:val="001609FA"/>
    <w:rsid w:val="0016142D"/>
    <w:rsid w:val="0016272A"/>
    <w:rsid w:val="00163FD7"/>
    <w:rsid w:val="001650DD"/>
    <w:rsid w:val="0017193D"/>
    <w:rsid w:val="0017196E"/>
    <w:rsid w:val="00173D56"/>
    <w:rsid w:val="00173E5C"/>
    <w:rsid w:val="00174CAB"/>
    <w:rsid w:val="001752E9"/>
    <w:rsid w:val="0017618B"/>
    <w:rsid w:val="00176EA7"/>
    <w:rsid w:val="0017771E"/>
    <w:rsid w:val="00183092"/>
    <w:rsid w:val="00186949"/>
    <w:rsid w:val="00194212"/>
    <w:rsid w:val="001A0ADE"/>
    <w:rsid w:val="001A2E28"/>
    <w:rsid w:val="001A4329"/>
    <w:rsid w:val="001B0953"/>
    <w:rsid w:val="001B3522"/>
    <w:rsid w:val="001B399F"/>
    <w:rsid w:val="001B4EB6"/>
    <w:rsid w:val="001B6646"/>
    <w:rsid w:val="001C0FDC"/>
    <w:rsid w:val="001C3F90"/>
    <w:rsid w:val="001C5CC1"/>
    <w:rsid w:val="001C79D2"/>
    <w:rsid w:val="001C7F24"/>
    <w:rsid w:val="001D007F"/>
    <w:rsid w:val="001D2B32"/>
    <w:rsid w:val="001D4DCB"/>
    <w:rsid w:val="001E28B4"/>
    <w:rsid w:val="001E2CBB"/>
    <w:rsid w:val="001E3BB6"/>
    <w:rsid w:val="001E7E56"/>
    <w:rsid w:val="001F09BA"/>
    <w:rsid w:val="001F1CA1"/>
    <w:rsid w:val="001F246C"/>
    <w:rsid w:val="001F2ED2"/>
    <w:rsid w:val="001F39C9"/>
    <w:rsid w:val="001F4959"/>
    <w:rsid w:val="001F52BD"/>
    <w:rsid w:val="001F63D6"/>
    <w:rsid w:val="00200B72"/>
    <w:rsid w:val="00201A2D"/>
    <w:rsid w:val="002048A9"/>
    <w:rsid w:val="00204F32"/>
    <w:rsid w:val="0021314E"/>
    <w:rsid w:val="00214F7F"/>
    <w:rsid w:val="00217CB5"/>
    <w:rsid w:val="00220ABF"/>
    <w:rsid w:val="002232B1"/>
    <w:rsid w:val="00224286"/>
    <w:rsid w:val="002242F4"/>
    <w:rsid w:val="00224325"/>
    <w:rsid w:val="00225115"/>
    <w:rsid w:val="00225CD6"/>
    <w:rsid w:val="00225CE4"/>
    <w:rsid w:val="00226D3D"/>
    <w:rsid w:val="00234AD7"/>
    <w:rsid w:val="00234D47"/>
    <w:rsid w:val="00235180"/>
    <w:rsid w:val="00235ADC"/>
    <w:rsid w:val="00236BEF"/>
    <w:rsid w:val="00240A23"/>
    <w:rsid w:val="002428DE"/>
    <w:rsid w:val="00242E6F"/>
    <w:rsid w:val="00242F0A"/>
    <w:rsid w:val="00245EF1"/>
    <w:rsid w:val="00254575"/>
    <w:rsid w:val="002567B7"/>
    <w:rsid w:val="0026158C"/>
    <w:rsid w:val="0027167D"/>
    <w:rsid w:val="00274605"/>
    <w:rsid w:val="002802DD"/>
    <w:rsid w:val="002802F5"/>
    <w:rsid w:val="0028794B"/>
    <w:rsid w:val="00287ED2"/>
    <w:rsid w:val="002920BF"/>
    <w:rsid w:val="0029326D"/>
    <w:rsid w:val="0029330D"/>
    <w:rsid w:val="00293CBE"/>
    <w:rsid w:val="002952CC"/>
    <w:rsid w:val="002A0A80"/>
    <w:rsid w:val="002A1BF4"/>
    <w:rsid w:val="002B782D"/>
    <w:rsid w:val="002C011A"/>
    <w:rsid w:val="002C03F5"/>
    <w:rsid w:val="002C1896"/>
    <w:rsid w:val="002C2F2C"/>
    <w:rsid w:val="002C7C4F"/>
    <w:rsid w:val="002D0832"/>
    <w:rsid w:val="002D0CA3"/>
    <w:rsid w:val="002D311E"/>
    <w:rsid w:val="002D34B3"/>
    <w:rsid w:val="002D34CB"/>
    <w:rsid w:val="002D5179"/>
    <w:rsid w:val="002D7662"/>
    <w:rsid w:val="002D792B"/>
    <w:rsid w:val="002E2790"/>
    <w:rsid w:val="002E392F"/>
    <w:rsid w:val="002E3B7F"/>
    <w:rsid w:val="002F3241"/>
    <w:rsid w:val="002F66F4"/>
    <w:rsid w:val="002F6799"/>
    <w:rsid w:val="002F7BDA"/>
    <w:rsid w:val="0030118C"/>
    <w:rsid w:val="00303208"/>
    <w:rsid w:val="00310CB9"/>
    <w:rsid w:val="003122E2"/>
    <w:rsid w:val="00321A93"/>
    <w:rsid w:val="00323D7E"/>
    <w:rsid w:val="003246BF"/>
    <w:rsid w:val="0032502D"/>
    <w:rsid w:val="00326FEE"/>
    <w:rsid w:val="003273E4"/>
    <w:rsid w:val="00331309"/>
    <w:rsid w:val="00334C17"/>
    <w:rsid w:val="0034299F"/>
    <w:rsid w:val="003477F8"/>
    <w:rsid w:val="00352FAA"/>
    <w:rsid w:val="00355FE5"/>
    <w:rsid w:val="00356AAB"/>
    <w:rsid w:val="00357883"/>
    <w:rsid w:val="003607FE"/>
    <w:rsid w:val="0036175A"/>
    <w:rsid w:val="00363792"/>
    <w:rsid w:val="0036488D"/>
    <w:rsid w:val="00364FC4"/>
    <w:rsid w:val="00366654"/>
    <w:rsid w:val="003700F0"/>
    <w:rsid w:val="00370EE0"/>
    <w:rsid w:val="00371709"/>
    <w:rsid w:val="0037229F"/>
    <w:rsid w:val="00377B96"/>
    <w:rsid w:val="00377CBD"/>
    <w:rsid w:val="00377F77"/>
    <w:rsid w:val="00382B27"/>
    <w:rsid w:val="00385DD3"/>
    <w:rsid w:val="00386464"/>
    <w:rsid w:val="003867C9"/>
    <w:rsid w:val="00392320"/>
    <w:rsid w:val="00393054"/>
    <w:rsid w:val="00394A47"/>
    <w:rsid w:val="003A0A97"/>
    <w:rsid w:val="003A25C1"/>
    <w:rsid w:val="003A72D2"/>
    <w:rsid w:val="003B0CA0"/>
    <w:rsid w:val="003B14E9"/>
    <w:rsid w:val="003B28C4"/>
    <w:rsid w:val="003B437D"/>
    <w:rsid w:val="003C0DB4"/>
    <w:rsid w:val="003C522D"/>
    <w:rsid w:val="003C5268"/>
    <w:rsid w:val="003C6F4A"/>
    <w:rsid w:val="003C749D"/>
    <w:rsid w:val="003D161A"/>
    <w:rsid w:val="003D18FF"/>
    <w:rsid w:val="003D255A"/>
    <w:rsid w:val="003D33EA"/>
    <w:rsid w:val="003D5C8D"/>
    <w:rsid w:val="003D6A90"/>
    <w:rsid w:val="003E538F"/>
    <w:rsid w:val="003E6141"/>
    <w:rsid w:val="003F5C1B"/>
    <w:rsid w:val="00400090"/>
    <w:rsid w:val="00400A21"/>
    <w:rsid w:val="0040266F"/>
    <w:rsid w:val="004031BA"/>
    <w:rsid w:val="004106CF"/>
    <w:rsid w:val="00410A35"/>
    <w:rsid w:val="00412929"/>
    <w:rsid w:val="00414205"/>
    <w:rsid w:val="0041546F"/>
    <w:rsid w:val="00416620"/>
    <w:rsid w:val="004228AD"/>
    <w:rsid w:val="00423A27"/>
    <w:rsid w:val="00425590"/>
    <w:rsid w:val="004255AC"/>
    <w:rsid w:val="004272C3"/>
    <w:rsid w:val="00427307"/>
    <w:rsid w:val="00432439"/>
    <w:rsid w:val="00434F19"/>
    <w:rsid w:val="004367C6"/>
    <w:rsid w:val="00441F44"/>
    <w:rsid w:val="00445E0F"/>
    <w:rsid w:val="00446EFC"/>
    <w:rsid w:val="0045221E"/>
    <w:rsid w:val="00454914"/>
    <w:rsid w:val="00455EB4"/>
    <w:rsid w:val="004628EA"/>
    <w:rsid w:val="004635E7"/>
    <w:rsid w:val="00470C5A"/>
    <w:rsid w:val="0047226A"/>
    <w:rsid w:val="00472908"/>
    <w:rsid w:val="004736C1"/>
    <w:rsid w:val="00474846"/>
    <w:rsid w:val="00474D90"/>
    <w:rsid w:val="004812C3"/>
    <w:rsid w:val="004834DC"/>
    <w:rsid w:val="004855FD"/>
    <w:rsid w:val="00486D39"/>
    <w:rsid w:val="0049184D"/>
    <w:rsid w:val="00494395"/>
    <w:rsid w:val="004950FB"/>
    <w:rsid w:val="004957DF"/>
    <w:rsid w:val="004979B2"/>
    <w:rsid w:val="004A1047"/>
    <w:rsid w:val="004A1E4D"/>
    <w:rsid w:val="004B1778"/>
    <w:rsid w:val="004B4154"/>
    <w:rsid w:val="004B6FC4"/>
    <w:rsid w:val="004B7587"/>
    <w:rsid w:val="004B76E0"/>
    <w:rsid w:val="004C3EA4"/>
    <w:rsid w:val="004D15CB"/>
    <w:rsid w:val="004D36C5"/>
    <w:rsid w:val="004D5043"/>
    <w:rsid w:val="004D5DA4"/>
    <w:rsid w:val="004E0B8A"/>
    <w:rsid w:val="004E1181"/>
    <w:rsid w:val="004E1C68"/>
    <w:rsid w:val="004E268D"/>
    <w:rsid w:val="004E30F3"/>
    <w:rsid w:val="004E31D3"/>
    <w:rsid w:val="004E3B02"/>
    <w:rsid w:val="004F1096"/>
    <w:rsid w:val="004F2555"/>
    <w:rsid w:val="004F305F"/>
    <w:rsid w:val="004F4AFA"/>
    <w:rsid w:val="004F6DBF"/>
    <w:rsid w:val="004F7688"/>
    <w:rsid w:val="00510733"/>
    <w:rsid w:val="00511B03"/>
    <w:rsid w:val="005128A7"/>
    <w:rsid w:val="00514A0D"/>
    <w:rsid w:val="0051699F"/>
    <w:rsid w:val="00516DD9"/>
    <w:rsid w:val="005219B0"/>
    <w:rsid w:val="00521B3D"/>
    <w:rsid w:val="0053357C"/>
    <w:rsid w:val="00534D33"/>
    <w:rsid w:val="00537DB7"/>
    <w:rsid w:val="0054428F"/>
    <w:rsid w:val="0054698B"/>
    <w:rsid w:val="005531EA"/>
    <w:rsid w:val="00555F14"/>
    <w:rsid w:val="00556B48"/>
    <w:rsid w:val="005633C1"/>
    <w:rsid w:val="00563DBF"/>
    <w:rsid w:val="00565CF6"/>
    <w:rsid w:val="00567D90"/>
    <w:rsid w:val="00567ED6"/>
    <w:rsid w:val="0057052D"/>
    <w:rsid w:val="00570568"/>
    <w:rsid w:val="00572A40"/>
    <w:rsid w:val="00575518"/>
    <w:rsid w:val="00576547"/>
    <w:rsid w:val="00580DD0"/>
    <w:rsid w:val="00582F51"/>
    <w:rsid w:val="00585A3E"/>
    <w:rsid w:val="0059048D"/>
    <w:rsid w:val="00595351"/>
    <w:rsid w:val="00596FA7"/>
    <w:rsid w:val="005A1DE4"/>
    <w:rsid w:val="005A4C50"/>
    <w:rsid w:val="005A5A35"/>
    <w:rsid w:val="005B10E7"/>
    <w:rsid w:val="005B277E"/>
    <w:rsid w:val="005B28A0"/>
    <w:rsid w:val="005B2D29"/>
    <w:rsid w:val="005B2EE2"/>
    <w:rsid w:val="005B6C87"/>
    <w:rsid w:val="005C1F31"/>
    <w:rsid w:val="005C5598"/>
    <w:rsid w:val="005D0A91"/>
    <w:rsid w:val="005D423A"/>
    <w:rsid w:val="005D4BBD"/>
    <w:rsid w:val="005E074F"/>
    <w:rsid w:val="005E1777"/>
    <w:rsid w:val="005E2D96"/>
    <w:rsid w:val="005F04D2"/>
    <w:rsid w:val="005F2B58"/>
    <w:rsid w:val="005F2DD4"/>
    <w:rsid w:val="00601654"/>
    <w:rsid w:val="00601FB1"/>
    <w:rsid w:val="006022B8"/>
    <w:rsid w:val="00602BC7"/>
    <w:rsid w:val="00604C86"/>
    <w:rsid w:val="0061223E"/>
    <w:rsid w:val="0061288E"/>
    <w:rsid w:val="006129B1"/>
    <w:rsid w:val="006148E7"/>
    <w:rsid w:val="00614957"/>
    <w:rsid w:val="006153FE"/>
    <w:rsid w:val="00617DF6"/>
    <w:rsid w:val="006210E7"/>
    <w:rsid w:val="00621F12"/>
    <w:rsid w:val="00623420"/>
    <w:rsid w:val="00625A14"/>
    <w:rsid w:val="00631FC0"/>
    <w:rsid w:val="00637330"/>
    <w:rsid w:val="006402C6"/>
    <w:rsid w:val="00640911"/>
    <w:rsid w:val="006427C0"/>
    <w:rsid w:val="0064313D"/>
    <w:rsid w:val="0064789A"/>
    <w:rsid w:val="00652246"/>
    <w:rsid w:val="006538FA"/>
    <w:rsid w:val="00655FE6"/>
    <w:rsid w:val="00662FC1"/>
    <w:rsid w:val="00663B8F"/>
    <w:rsid w:val="006659B8"/>
    <w:rsid w:val="006717CF"/>
    <w:rsid w:val="006751E8"/>
    <w:rsid w:val="00675688"/>
    <w:rsid w:val="00676817"/>
    <w:rsid w:val="00676EAC"/>
    <w:rsid w:val="00680815"/>
    <w:rsid w:val="00681908"/>
    <w:rsid w:val="00683CEB"/>
    <w:rsid w:val="0068449E"/>
    <w:rsid w:val="00686452"/>
    <w:rsid w:val="0068715B"/>
    <w:rsid w:val="00690182"/>
    <w:rsid w:val="0069443F"/>
    <w:rsid w:val="00694D4E"/>
    <w:rsid w:val="0069529D"/>
    <w:rsid w:val="006A11EE"/>
    <w:rsid w:val="006A2C50"/>
    <w:rsid w:val="006A4D30"/>
    <w:rsid w:val="006A4F95"/>
    <w:rsid w:val="006A546F"/>
    <w:rsid w:val="006B0565"/>
    <w:rsid w:val="006B16F0"/>
    <w:rsid w:val="006B1EA8"/>
    <w:rsid w:val="006B2091"/>
    <w:rsid w:val="006B337B"/>
    <w:rsid w:val="006C13F3"/>
    <w:rsid w:val="006C170A"/>
    <w:rsid w:val="006C224B"/>
    <w:rsid w:val="006D05B1"/>
    <w:rsid w:val="006D0F75"/>
    <w:rsid w:val="006D3B5C"/>
    <w:rsid w:val="006D5639"/>
    <w:rsid w:val="006D6030"/>
    <w:rsid w:val="006E0D67"/>
    <w:rsid w:val="006E18EA"/>
    <w:rsid w:val="006E2A62"/>
    <w:rsid w:val="006E357C"/>
    <w:rsid w:val="006E684A"/>
    <w:rsid w:val="006F640B"/>
    <w:rsid w:val="006F7475"/>
    <w:rsid w:val="007106E4"/>
    <w:rsid w:val="007145E5"/>
    <w:rsid w:val="00717CC5"/>
    <w:rsid w:val="0072026D"/>
    <w:rsid w:val="00720E1F"/>
    <w:rsid w:val="0072335D"/>
    <w:rsid w:val="00725180"/>
    <w:rsid w:val="00727A98"/>
    <w:rsid w:val="00727B4B"/>
    <w:rsid w:val="00730FB8"/>
    <w:rsid w:val="00731DE8"/>
    <w:rsid w:val="00734873"/>
    <w:rsid w:val="00735ADA"/>
    <w:rsid w:val="00736108"/>
    <w:rsid w:val="00740ED7"/>
    <w:rsid w:val="0074155F"/>
    <w:rsid w:val="00741ACC"/>
    <w:rsid w:val="00741BA0"/>
    <w:rsid w:val="00741CB4"/>
    <w:rsid w:val="00742036"/>
    <w:rsid w:val="00742055"/>
    <w:rsid w:val="007436D7"/>
    <w:rsid w:val="00743BFF"/>
    <w:rsid w:val="00744B3C"/>
    <w:rsid w:val="00753267"/>
    <w:rsid w:val="0075607B"/>
    <w:rsid w:val="0075638A"/>
    <w:rsid w:val="007614F8"/>
    <w:rsid w:val="00761D23"/>
    <w:rsid w:val="00762B55"/>
    <w:rsid w:val="00763645"/>
    <w:rsid w:val="007641B6"/>
    <w:rsid w:val="00764B2F"/>
    <w:rsid w:val="0076611B"/>
    <w:rsid w:val="00767447"/>
    <w:rsid w:val="007711DE"/>
    <w:rsid w:val="00771671"/>
    <w:rsid w:val="00774566"/>
    <w:rsid w:val="00774AAF"/>
    <w:rsid w:val="00775329"/>
    <w:rsid w:val="00775C7F"/>
    <w:rsid w:val="007806D9"/>
    <w:rsid w:val="00780EB1"/>
    <w:rsid w:val="0078133D"/>
    <w:rsid w:val="007830F0"/>
    <w:rsid w:val="00783D7A"/>
    <w:rsid w:val="00784D61"/>
    <w:rsid w:val="00784EEC"/>
    <w:rsid w:val="00790B54"/>
    <w:rsid w:val="007929C4"/>
    <w:rsid w:val="007A2581"/>
    <w:rsid w:val="007A33C1"/>
    <w:rsid w:val="007A3642"/>
    <w:rsid w:val="007A590D"/>
    <w:rsid w:val="007A65FC"/>
    <w:rsid w:val="007A67B2"/>
    <w:rsid w:val="007A79B8"/>
    <w:rsid w:val="007B0AA1"/>
    <w:rsid w:val="007B0CE6"/>
    <w:rsid w:val="007B32E7"/>
    <w:rsid w:val="007B4755"/>
    <w:rsid w:val="007B5260"/>
    <w:rsid w:val="007C1D67"/>
    <w:rsid w:val="007C3B7D"/>
    <w:rsid w:val="007C435F"/>
    <w:rsid w:val="007C47F3"/>
    <w:rsid w:val="007C5750"/>
    <w:rsid w:val="007C6646"/>
    <w:rsid w:val="007C69E7"/>
    <w:rsid w:val="007C7B3A"/>
    <w:rsid w:val="007C7EE3"/>
    <w:rsid w:val="007D0BBD"/>
    <w:rsid w:val="007D13F3"/>
    <w:rsid w:val="007D5A1E"/>
    <w:rsid w:val="007D65E3"/>
    <w:rsid w:val="007E0966"/>
    <w:rsid w:val="007E5CCE"/>
    <w:rsid w:val="007F04EA"/>
    <w:rsid w:val="007F493E"/>
    <w:rsid w:val="007F4C0A"/>
    <w:rsid w:val="007F56F7"/>
    <w:rsid w:val="007F5E23"/>
    <w:rsid w:val="00806C65"/>
    <w:rsid w:val="008071DA"/>
    <w:rsid w:val="0080747F"/>
    <w:rsid w:val="00807A38"/>
    <w:rsid w:val="0081099A"/>
    <w:rsid w:val="00811BBF"/>
    <w:rsid w:val="00812CBA"/>
    <w:rsid w:val="0081736B"/>
    <w:rsid w:val="00820606"/>
    <w:rsid w:val="00824544"/>
    <w:rsid w:val="008252D8"/>
    <w:rsid w:val="00832112"/>
    <w:rsid w:val="00832472"/>
    <w:rsid w:val="00832C3E"/>
    <w:rsid w:val="00833AEE"/>
    <w:rsid w:val="0083534B"/>
    <w:rsid w:val="00835636"/>
    <w:rsid w:val="0084428E"/>
    <w:rsid w:val="00846C7B"/>
    <w:rsid w:val="00850F99"/>
    <w:rsid w:val="008526A3"/>
    <w:rsid w:val="00853B99"/>
    <w:rsid w:val="00853C1D"/>
    <w:rsid w:val="00854DD7"/>
    <w:rsid w:val="00854FCB"/>
    <w:rsid w:val="008567CC"/>
    <w:rsid w:val="00860C8B"/>
    <w:rsid w:val="00860CA7"/>
    <w:rsid w:val="00867D4D"/>
    <w:rsid w:val="00870B10"/>
    <w:rsid w:val="00872263"/>
    <w:rsid w:val="0088359E"/>
    <w:rsid w:val="00884367"/>
    <w:rsid w:val="00887E27"/>
    <w:rsid w:val="00893F55"/>
    <w:rsid w:val="00895DA8"/>
    <w:rsid w:val="008968C5"/>
    <w:rsid w:val="00897381"/>
    <w:rsid w:val="008A2074"/>
    <w:rsid w:val="008A3990"/>
    <w:rsid w:val="008A4333"/>
    <w:rsid w:val="008A528B"/>
    <w:rsid w:val="008A53A1"/>
    <w:rsid w:val="008A6B6E"/>
    <w:rsid w:val="008A742C"/>
    <w:rsid w:val="008A7792"/>
    <w:rsid w:val="008B170A"/>
    <w:rsid w:val="008B2450"/>
    <w:rsid w:val="008B69D0"/>
    <w:rsid w:val="008C1E7A"/>
    <w:rsid w:val="008C256E"/>
    <w:rsid w:val="008D3212"/>
    <w:rsid w:val="008D41D7"/>
    <w:rsid w:val="008D7256"/>
    <w:rsid w:val="008E08B8"/>
    <w:rsid w:val="008E0D02"/>
    <w:rsid w:val="008E1ADD"/>
    <w:rsid w:val="008E6F1F"/>
    <w:rsid w:val="008F3704"/>
    <w:rsid w:val="008F582E"/>
    <w:rsid w:val="008F5C40"/>
    <w:rsid w:val="009022BF"/>
    <w:rsid w:val="00903920"/>
    <w:rsid w:val="0090420A"/>
    <w:rsid w:val="00904DD5"/>
    <w:rsid w:val="00913E6E"/>
    <w:rsid w:val="009200F6"/>
    <w:rsid w:val="00921713"/>
    <w:rsid w:val="00924266"/>
    <w:rsid w:val="0092507B"/>
    <w:rsid w:val="00925799"/>
    <w:rsid w:val="009308D2"/>
    <w:rsid w:val="009331A9"/>
    <w:rsid w:val="00935524"/>
    <w:rsid w:val="009431F5"/>
    <w:rsid w:val="00943383"/>
    <w:rsid w:val="0094425D"/>
    <w:rsid w:val="00945519"/>
    <w:rsid w:val="00945BEA"/>
    <w:rsid w:val="009461F6"/>
    <w:rsid w:val="00947534"/>
    <w:rsid w:val="009477A5"/>
    <w:rsid w:val="00952441"/>
    <w:rsid w:val="00952CA9"/>
    <w:rsid w:val="0095602F"/>
    <w:rsid w:val="00956F20"/>
    <w:rsid w:val="00960D6D"/>
    <w:rsid w:val="009616D8"/>
    <w:rsid w:val="00970864"/>
    <w:rsid w:val="00970A9D"/>
    <w:rsid w:val="0097140D"/>
    <w:rsid w:val="00972238"/>
    <w:rsid w:val="00975C9D"/>
    <w:rsid w:val="00976ACF"/>
    <w:rsid w:val="0097772A"/>
    <w:rsid w:val="00977BFB"/>
    <w:rsid w:val="009805DC"/>
    <w:rsid w:val="00981160"/>
    <w:rsid w:val="00981568"/>
    <w:rsid w:val="0098418B"/>
    <w:rsid w:val="00985F15"/>
    <w:rsid w:val="00990BF3"/>
    <w:rsid w:val="00990E03"/>
    <w:rsid w:val="00993B69"/>
    <w:rsid w:val="009947F8"/>
    <w:rsid w:val="00995A84"/>
    <w:rsid w:val="009966D7"/>
    <w:rsid w:val="009976CB"/>
    <w:rsid w:val="00997C30"/>
    <w:rsid w:val="009A13AB"/>
    <w:rsid w:val="009A1604"/>
    <w:rsid w:val="009A2681"/>
    <w:rsid w:val="009A4A36"/>
    <w:rsid w:val="009A50C2"/>
    <w:rsid w:val="009A5975"/>
    <w:rsid w:val="009A6EAA"/>
    <w:rsid w:val="009A73AD"/>
    <w:rsid w:val="009B02F5"/>
    <w:rsid w:val="009B32C2"/>
    <w:rsid w:val="009B6416"/>
    <w:rsid w:val="009B65A1"/>
    <w:rsid w:val="009B734F"/>
    <w:rsid w:val="009B7709"/>
    <w:rsid w:val="009C0133"/>
    <w:rsid w:val="009C2FB2"/>
    <w:rsid w:val="009C624A"/>
    <w:rsid w:val="009D03B9"/>
    <w:rsid w:val="009D11E8"/>
    <w:rsid w:val="009D25CC"/>
    <w:rsid w:val="009D2EE4"/>
    <w:rsid w:val="009D4FCE"/>
    <w:rsid w:val="009E147C"/>
    <w:rsid w:val="009E20A5"/>
    <w:rsid w:val="009E3084"/>
    <w:rsid w:val="009E36CF"/>
    <w:rsid w:val="009E4358"/>
    <w:rsid w:val="009E513E"/>
    <w:rsid w:val="009F039A"/>
    <w:rsid w:val="009F0C6B"/>
    <w:rsid w:val="009F5F24"/>
    <w:rsid w:val="00A0037A"/>
    <w:rsid w:val="00A02C05"/>
    <w:rsid w:val="00A05395"/>
    <w:rsid w:val="00A06BED"/>
    <w:rsid w:val="00A07136"/>
    <w:rsid w:val="00A11282"/>
    <w:rsid w:val="00A14E86"/>
    <w:rsid w:val="00A15D1C"/>
    <w:rsid w:val="00A21269"/>
    <w:rsid w:val="00A2291B"/>
    <w:rsid w:val="00A23014"/>
    <w:rsid w:val="00A2335D"/>
    <w:rsid w:val="00A24853"/>
    <w:rsid w:val="00A24ACA"/>
    <w:rsid w:val="00A24C15"/>
    <w:rsid w:val="00A26414"/>
    <w:rsid w:val="00A2679E"/>
    <w:rsid w:val="00A2759D"/>
    <w:rsid w:val="00A277FC"/>
    <w:rsid w:val="00A27A1B"/>
    <w:rsid w:val="00A30C5F"/>
    <w:rsid w:val="00A31CE1"/>
    <w:rsid w:val="00A333B1"/>
    <w:rsid w:val="00A341A6"/>
    <w:rsid w:val="00A35854"/>
    <w:rsid w:val="00A37A36"/>
    <w:rsid w:val="00A37E34"/>
    <w:rsid w:val="00A4301A"/>
    <w:rsid w:val="00A432FC"/>
    <w:rsid w:val="00A437A2"/>
    <w:rsid w:val="00A45964"/>
    <w:rsid w:val="00A5247D"/>
    <w:rsid w:val="00A52561"/>
    <w:rsid w:val="00A55E77"/>
    <w:rsid w:val="00A56C73"/>
    <w:rsid w:val="00A64720"/>
    <w:rsid w:val="00A65960"/>
    <w:rsid w:val="00A70B0F"/>
    <w:rsid w:val="00A74CEF"/>
    <w:rsid w:val="00A75CC6"/>
    <w:rsid w:val="00A80215"/>
    <w:rsid w:val="00A81521"/>
    <w:rsid w:val="00A82BC4"/>
    <w:rsid w:val="00A85DB4"/>
    <w:rsid w:val="00A85E44"/>
    <w:rsid w:val="00A86AD4"/>
    <w:rsid w:val="00A90708"/>
    <w:rsid w:val="00A90B13"/>
    <w:rsid w:val="00A918E4"/>
    <w:rsid w:val="00A9233F"/>
    <w:rsid w:val="00A96FC5"/>
    <w:rsid w:val="00A97FD5"/>
    <w:rsid w:val="00AA2D02"/>
    <w:rsid w:val="00AA4AB9"/>
    <w:rsid w:val="00AA648F"/>
    <w:rsid w:val="00AB11F3"/>
    <w:rsid w:val="00AB197F"/>
    <w:rsid w:val="00AB25F7"/>
    <w:rsid w:val="00AB4EB3"/>
    <w:rsid w:val="00AB5427"/>
    <w:rsid w:val="00AB6F59"/>
    <w:rsid w:val="00AC0EA6"/>
    <w:rsid w:val="00AC2043"/>
    <w:rsid w:val="00AC6D09"/>
    <w:rsid w:val="00AC6DC8"/>
    <w:rsid w:val="00AD1B79"/>
    <w:rsid w:val="00AD4395"/>
    <w:rsid w:val="00AD44CD"/>
    <w:rsid w:val="00AD72B6"/>
    <w:rsid w:val="00AD73FE"/>
    <w:rsid w:val="00AE1C33"/>
    <w:rsid w:val="00AE4814"/>
    <w:rsid w:val="00AE5202"/>
    <w:rsid w:val="00AE624F"/>
    <w:rsid w:val="00AE7304"/>
    <w:rsid w:val="00AF1958"/>
    <w:rsid w:val="00AF48D0"/>
    <w:rsid w:val="00AF6EE6"/>
    <w:rsid w:val="00B00F3B"/>
    <w:rsid w:val="00B024E9"/>
    <w:rsid w:val="00B02E29"/>
    <w:rsid w:val="00B04954"/>
    <w:rsid w:val="00B04A7F"/>
    <w:rsid w:val="00B0539E"/>
    <w:rsid w:val="00B05450"/>
    <w:rsid w:val="00B13699"/>
    <w:rsid w:val="00B1449C"/>
    <w:rsid w:val="00B14A32"/>
    <w:rsid w:val="00B15EE6"/>
    <w:rsid w:val="00B2110C"/>
    <w:rsid w:val="00B24229"/>
    <w:rsid w:val="00B24FAB"/>
    <w:rsid w:val="00B2620A"/>
    <w:rsid w:val="00B26D42"/>
    <w:rsid w:val="00B277FC"/>
    <w:rsid w:val="00B3029B"/>
    <w:rsid w:val="00B344A4"/>
    <w:rsid w:val="00B34CBF"/>
    <w:rsid w:val="00B37296"/>
    <w:rsid w:val="00B410E3"/>
    <w:rsid w:val="00B43DD2"/>
    <w:rsid w:val="00B44499"/>
    <w:rsid w:val="00B4525C"/>
    <w:rsid w:val="00B4687C"/>
    <w:rsid w:val="00B50B41"/>
    <w:rsid w:val="00B56480"/>
    <w:rsid w:val="00B56EF4"/>
    <w:rsid w:val="00B57C3B"/>
    <w:rsid w:val="00B63579"/>
    <w:rsid w:val="00B66BC3"/>
    <w:rsid w:val="00B66FAA"/>
    <w:rsid w:val="00B67D3A"/>
    <w:rsid w:val="00B72C3F"/>
    <w:rsid w:val="00B72D16"/>
    <w:rsid w:val="00B80EF8"/>
    <w:rsid w:val="00B8720F"/>
    <w:rsid w:val="00B90F8C"/>
    <w:rsid w:val="00B94C1C"/>
    <w:rsid w:val="00B95C42"/>
    <w:rsid w:val="00B96E2C"/>
    <w:rsid w:val="00B97F03"/>
    <w:rsid w:val="00BA3623"/>
    <w:rsid w:val="00BB1804"/>
    <w:rsid w:val="00BB1C5E"/>
    <w:rsid w:val="00BB2580"/>
    <w:rsid w:val="00BB25EF"/>
    <w:rsid w:val="00BB37D7"/>
    <w:rsid w:val="00BB4D24"/>
    <w:rsid w:val="00BB7437"/>
    <w:rsid w:val="00BC55CB"/>
    <w:rsid w:val="00BC6127"/>
    <w:rsid w:val="00BD1009"/>
    <w:rsid w:val="00BD294D"/>
    <w:rsid w:val="00BD2DDF"/>
    <w:rsid w:val="00BD48C9"/>
    <w:rsid w:val="00BD66E4"/>
    <w:rsid w:val="00BE2192"/>
    <w:rsid w:val="00BE2BE8"/>
    <w:rsid w:val="00BE364C"/>
    <w:rsid w:val="00BE39E5"/>
    <w:rsid w:val="00BE5049"/>
    <w:rsid w:val="00BE6A4D"/>
    <w:rsid w:val="00BF0BE3"/>
    <w:rsid w:val="00BF0E97"/>
    <w:rsid w:val="00BF3E15"/>
    <w:rsid w:val="00BF4B4F"/>
    <w:rsid w:val="00C037A8"/>
    <w:rsid w:val="00C04BA7"/>
    <w:rsid w:val="00C054D8"/>
    <w:rsid w:val="00C07690"/>
    <w:rsid w:val="00C118FF"/>
    <w:rsid w:val="00C12762"/>
    <w:rsid w:val="00C139C0"/>
    <w:rsid w:val="00C20D1C"/>
    <w:rsid w:val="00C21409"/>
    <w:rsid w:val="00C273DF"/>
    <w:rsid w:val="00C279D8"/>
    <w:rsid w:val="00C27B6A"/>
    <w:rsid w:val="00C3123B"/>
    <w:rsid w:val="00C36310"/>
    <w:rsid w:val="00C36C5E"/>
    <w:rsid w:val="00C36F46"/>
    <w:rsid w:val="00C41E47"/>
    <w:rsid w:val="00C4395B"/>
    <w:rsid w:val="00C44554"/>
    <w:rsid w:val="00C45D6A"/>
    <w:rsid w:val="00C46E34"/>
    <w:rsid w:val="00C47205"/>
    <w:rsid w:val="00C503E4"/>
    <w:rsid w:val="00C531B5"/>
    <w:rsid w:val="00C57BC8"/>
    <w:rsid w:val="00C707EB"/>
    <w:rsid w:val="00C76B4C"/>
    <w:rsid w:val="00C8237E"/>
    <w:rsid w:val="00C8348B"/>
    <w:rsid w:val="00C84291"/>
    <w:rsid w:val="00C875E3"/>
    <w:rsid w:val="00C92DB3"/>
    <w:rsid w:val="00C979F7"/>
    <w:rsid w:val="00C97B30"/>
    <w:rsid w:val="00CA0CF8"/>
    <w:rsid w:val="00CA67F2"/>
    <w:rsid w:val="00CB284C"/>
    <w:rsid w:val="00CB5362"/>
    <w:rsid w:val="00CB7AE0"/>
    <w:rsid w:val="00CC0316"/>
    <w:rsid w:val="00CC34D9"/>
    <w:rsid w:val="00CC434C"/>
    <w:rsid w:val="00CC4D8C"/>
    <w:rsid w:val="00CD48C7"/>
    <w:rsid w:val="00CD6C16"/>
    <w:rsid w:val="00CD7884"/>
    <w:rsid w:val="00CD7A25"/>
    <w:rsid w:val="00CE7246"/>
    <w:rsid w:val="00CF1356"/>
    <w:rsid w:val="00CF247F"/>
    <w:rsid w:val="00CF5B31"/>
    <w:rsid w:val="00CF7D17"/>
    <w:rsid w:val="00CF7F7F"/>
    <w:rsid w:val="00D019B0"/>
    <w:rsid w:val="00D01FBD"/>
    <w:rsid w:val="00D029BC"/>
    <w:rsid w:val="00D030FE"/>
    <w:rsid w:val="00D04631"/>
    <w:rsid w:val="00D1020C"/>
    <w:rsid w:val="00D1060A"/>
    <w:rsid w:val="00D106CF"/>
    <w:rsid w:val="00D10FE8"/>
    <w:rsid w:val="00D143A0"/>
    <w:rsid w:val="00D1799A"/>
    <w:rsid w:val="00D203B5"/>
    <w:rsid w:val="00D2062B"/>
    <w:rsid w:val="00D24229"/>
    <w:rsid w:val="00D26C3D"/>
    <w:rsid w:val="00D3383E"/>
    <w:rsid w:val="00D41894"/>
    <w:rsid w:val="00D44870"/>
    <w:rsid w:val="00D527E0"/>
    <w:rsid w:val="00D52CD7"/>
    <w:rsid w:val="00D54CD2"/>
    <w:rsid w:val="00D5648C"/>
    <w:rsid w:val="00D6016B"/>
    <w:rsid w:val="00D614D5"/>
    <w:rsid w:val="00D61DAE"/>
    <w:rsid w:val="00D626D6"/>
    <w:rsid w:val="00D65429"/>
    <w:rsid w:val="00D70ED2"/>
    <w:rsid w:val="00D7111C"/>
    <w:rsid w:val="00D71D90"/>
    <w:rsid w:val="00D735DC"/>
    <w:rsid w:val="00D76CD5"/>
    <w:rsid w:val="00D817A9"/>
    <w:rsid w:val="00D817E2"/>
    <w:rsid w:val="00D83714"/>
    <w:rsid w:val="00D8546C"/>
    <w:rsid w:val="00D86000"/>
    <w:rsid w:val="00D8669A"/>
    <w:rsid w:val="00D90197"/>
    <w:rsid w:val="00D94B5D"/>
    <w:rsid w:val="00D95116"/>
    <w:rsid w:val="00D95D7A"/>
    <w:rsid w:val="00D96CFB"/>
    <w:rsid w:val="00DA0E5F"/>
    <w:rsid w:val="00DA2789"/>
    <w:rsid w:val="00DA6240"/>
    <w:rsid w:val="00DA68A2"/>
    <w:rsid w:val="00DB1AF5"/>
    <w:rsid w:val="00DB39C1"/>
    <w:rsid w:val="00DB60F2"/>
    <w:rsid w:val="00DB68DE"/>
    <w:rsid w:val="00DB7AF8"/>
    <w:rsid w:val="00DC0681"/>
    <w:rsid w:val="00DC2E6B"/>
    <w:rsid w:val="00DC612E"/>
    <w:rsid w:val="00DC76C6"/>
    <w:rsid w:val="00DD1D80"/>
    <w:rsid w:val="00DD2647"/>
    <w:rsid w:val="00DE06AA"/>
    <w:rsid w:val="00DE1CE3"/>
    <w:rsid w:val="00DE55A7"/>
    <w:rsid w:val="00DF07BD"/>
    <w:rsid w:val="00DF2ACF"/>
    <w:rsid w:val="00DF3275"/>
    <w:rsid w:val="00DF4465"/>
    <w:rsid w:val="00DF5FDE"/>
    <w:rsid w:val="00DF71D2"/>
    <w:rsid w:val="00E0197F"/>
    <w:rsid w:val="00E01D45"/>
    <w:rsid w:val="00E02F95"/>
    <w:rsid w:val="00E034ED"/>
    <w:rsid w:val="00E06398"/>
    <w:rsid w:val="00E1183E"/>
    <w:rsid w:val="00E13022"/>
    <w:rsid w:val="00E15319"/>
    <w:rsid w:val="00E163AF"/>
    <w:rsid w:val="00E23852"/>
    <w:rsid w:val="00E249AF"/>
    <w:rsid w:val="00E25E9E"/>
    <w:rsid w:val="00E26198"/>
    <w:rsid w:val="00E305C8"/>
    <w:rsid w:val="00E32BA2"/>
    <w:rsid w:val="00E35FB8"/>
    <w:rsid w:val="00E36E93"/>
    <w:rsid w:val="00E400BC"/>
    <w:rsid w:val="00E42B07"/>
    <w:rsid w:val="00E445E3"/>
    <w:rsid w:val="00E4493C"/>
    <w:rsid w:val="00E52265"/>
    <w:rsid w:val="00E555D2"/>
    <w:rsid w:val="00E5719D"/>
    <w:rsid w:val="00E628A5"/>
    <w:rsid w:val="00E66747"/>
    <w:rsid w:val="00E67058"/>
    <w:rsid w:val="00E704DC"/>
    <w:rsid w:val="00E708D4"/>
    <w:rsid w:val="00E70E4D"/>
    <w:rsid w:val="00E71516"/>
    <w:rsid w:val="00E740DF"/>
    <w:rsid w:val="00E75251"/>
    <w:rsid w:val="00E85C0A"/>
    <w:rsid w:val="00E87336"/>
    <w:rsid w:val="00E91059"/>
    <w:rsid w:val="00E91661"/>
    <w:rsid w:val="00E93EF5"/>
    <w:rsid w:val="00E9483B"/>
    <w:rsid w:val="00EA0459"/>
    <w:rsid w:val="00EA17E0"/>
    <w:rsid w:val="00EA2607"/>
    <w:rsid w:val="00EA2C71"/>
    <w:rsid w:val="00EA395F"/>
    <w:rsid w:val="00EA62E8"/>
    <w:rsid w:val="00EA63E3"/>
    <w:rsid w:val="00EB0813"/>
    <w:rsid w:val="00EB10FC"/>
    <w:rsid w:val="00EB1853"/>
    <w:rsid w:val="00EB24D7"/>
    <w:rsid w:val="00EB31F8"/>
    <w:rsid w:val="00EB62E3"/>
    <w:rsid w:val="00EB6A65"/>
    <w:rsid w:val="00EC27D5"/>
    <w:rsid w:val="00EC6C2C"/>
    <w:rsid w:val="00ED169D"/>
    <w:rsid w:val="00ED1F25"/>
    <w:rsid w:val="00ED3B84"/>
    <w:rsid w:val="00ED499B"/>
    <w:rsid w:val="00ED525A"/>
    <w:rsid w:val="00ED5E01"/>
    <w:rsid w:val="00EE2406"/>
    <w:rsid w:val="00EE2825"/>
    <w:rsid w:val="00EE3459"/>
    <w:rsid w:val="00EE3C96"/>
    <w:rsid w:val="00EE791A"/>
    <w:rsid w:val="00EF1F22"/>
    <w:rsid w:val="00EF21B3"/>
    <w:rsid w:val="00EF291E"/>
    <w:rsid w:val="00EF428C"/>
    <w:rsid w:val="00EF4ECD"/>
    <w:rsid w:val="00EF5F8E"/>
    <w:rsid w:val="00EF66E0"/>
    <w:rsid w:val="00EF70E2"/>
    <w:rsid w:val="00EF7DFA"/>
    <w:rsid w:val="00F006A8"/>
    <w:rsid w:val="00F00BAF"/>
    <w:rsid w:val="00F01F82"/>
    <w:rsid w:val="00F024BB"/>
    <w:rsid w:val="00F03116"/>
    <w:rsid w:val="00F03986"/>
    <w:rsid w:val="00F044A2"/>
    <w:rsid w:val="00F06018"/>
    <w:rsid w:val="00F105DE"/>
    <w:rsid w:val="00F11C8F"/>
    <w:rsid w:val="00F12BD5"/>
    <w:rsid w:val="00F145DE"/>
    <w:rsid w:val="00F15652"/>
    <w:rsid w:val="00F201D8"/>
    <w:rsid w:val="00F22942"/>
    <w:rsid w:val="00F22BAD"/>
    <w:rsid w:val="00F24F6D"/>
    <w:rsid w:val="00F30BA4"/>
    <w:rsid w:val="00F31718"/>
    <w:rsid w:val="00F33DE4"/>
    <w:rsid w:val="00F35384"/>
    <w:rsid w:val="00F36AA0"/>
    <w:rsid w:val="00F449EB"/>
    <w:rsid w:val="00F455D7"/>
    <w:rsid w:val="00F50A53"/>
    <w:rsid w:val="00F51A17"/>
    <w:rsid w:val="00F51E06"/>
    <w:rsid w:val="00F53083"/>
    <w:rsid w:val="00F546AD"/>
    <w:rsid w:val="00F54951"/>
    <w:rsid w:val="00F564E8"/>
    <w:rsid w:val="00F572E6"/>
    <w:rsid w:val="00F61742"/>
    <w:rsid w:val="00F640E5"/>
    <w:rsid w:val="00F65CC8"/>
    <w:rsid w:val="00F66B8F"/>
    <w:rsid w:val="00F716BB"/>
    <w:rsid w:val="00F73DE7"/>
    <w:rsid w:val="00F73F6D"/>
    <w:rsid w:val="00F74719"/>
    <w:rsid w:val="00F76C96"/>
    <w:rsid w:val="00F7783B"/>
    <w:rsid w:val="00F8163F"/>
    <w:rsid w:val="00F82566"/>
    <w:rsid w:val="00F825DE"/>
    <w:rsid w:val="00F844B0"/>
    <w:rsid w:val="00F84C59"/>
    <w:rsid w:val="00F85C38"/>
    <w:rsid w:val="00F93BFF"/>
    <w:rsid w:val="00F93E52"/>
    <w:rsid w:val="00F95758"/>
    <w:rsid w:val="00F95F77"/>
    <w:rsid w:val="00F96078"/>
    <w:rsid w:val="00F97699"/>
    <w:rsid w:val="00FA426E"/>
    <w:rsid w:val="00FA518D"/>
    <w:rsid w:val="00FA7518"/>
    <w:rsid w:val="00FB064D"/>
    <w:rsid w:val="00FB0B3B"/>
    <w:rsid w:val="00FB6A24"/>
    <w:rsid w:val="00FC0DE5"/>
    <w:rsid w:val="00FC12FF"/>
    <w:rsid w:val="00FC3739"/>
    <w:rsid w:val="00FC3B6C"/>
    <w:rsid w:val="00FC47FC"/>
    <w:rsid w:val="00FC6174"/>
    <w:rsid w:val="00FC7CC5"/>
    <w:rsid w:val="00FD15F3"/>
    <w:rsid w:val="00FD1785"/>
    <w:rsid w:val="00FD3CC3"/>
    <w:rsid w:val="00FD4B1F"/>
    <w:rsid w:val="00FD5D2F"/>
    <w:rsid w:val="00FE2186"/>
    <w:rsid w:val="00FF5208"/>
    <w:rsid w:val="00FF5E1F"/>
    <w:rsid w:val="00FF799F"/>
    <w:rsid w:val="20932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uiPriority="39" w:semiHidden="0" w:name="toc 7"/>
    <w:lsdException w:qFormat="1" w:uiPriority="39" w:semiHidden="0" w:name="toc 8"/>
    <w:lsdException w:uiPriority="39" w:semiHidden="0" w:name="toc 9"/>
    <w:lsdException w:qFormat="1" w:unhideWhenUsed="0" w:uiPriority="0" w:semiHidden="0" w:name="Normal Indent"/>
    <w:lsdException w:qFormat="1" w:uiPriority="0"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0" w:semiHidden="0" w:name="Date"/>
    <w:lsdException w:uiPriority="99" w:name="Body Text First Indent"/>
    <w:lsdException w:qFormat="1" w:uiPriority="99" w:name="Body Text First Indent 2"/>
    <w:lsdException w:qFormat="1" w:unhideWhenUsed="0" w:uiPriority="0" w:name="Note Heading"/>
    <w:lsdException w:qFormat="1" w:uiPriority="0" w:name="Body Text 2"/>
    <w:lsdException w:uiPriority="0" w:name="Body Text 3"/>
    <w:lsdException w:unhideWhenUsed="0" w:uiPriority="0" w:name="Body Text Indent 2"/>
    <w:lsdException w:qFormat="1" w:uiPriority="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60"/>
    <w:qFormat/>
    <w:uiPriority w:val="9"/>
    <w:pPr>
      <w:keepNext/>
      <w:keepLines/>
      <w:spacing w:before="340" w:after="330" w:line="578" w:lineRule="auto"/>
      <w:outlineLvl w:val="0"/>
    </w:pPr>
    <w:rPr>
      <w:rFonts w:ascii="Times New Roman" w:hAnsi="Times New Roman" w:eastAsia="仿宋"/>
      <w:b/>
      <w:bCs/>
      <w:kern w:val="44"/>
      <w:sz w:val="36"/>
      <w:szCs w:val="44"/>
    </w:rPr>
  </w:style>
  <w:style w:type="paragraph" w:styleId="3">
    <w:name w:val="heading 2"/>
    <w:basedOn w:val="1"/>
    <w:next w:val="1"/>
    <w:link w:val="56"/>
    <w:unhideWhenUsed/>
    <w:qFormat/>
    <w:uiPriority w:val="0"/>
    <w:pPr>
      <w:keepNext/>
      <w:keepLines/>
      <w:spacing w:before="260" w:after="260" w:line="416" w:lineRule="auto"/>
      <w:outlineLvl w:val="1"/>
    </w:pPr>
    <w:rPr>
      <w:rFonts w:ascii="Times New Roman" w:hAnsi="Times New Roman" w:eastAsia="仿宋" w:cstheme="majorBidi"/>
      <w:b/>
      <w:bCs/>
      <w:sz w:val="32"/>
      <w:szCs w:val="32"/>
    </w:rPr>
  </w:style>
  <w:style w:type="paragraph" w:styleId="4">
    <w:name w:val="heading 3"/>
    <w:basedOn w:val="1"/>
    <w:next w:val="1"/>
    <w:link w:val="57"/>
    <w:unhideWhenUsed/>
    <w:qFormat/>
    <w:uiPriority w:val="0"/>
    <w:pPr>
      <w:keepNext/>
      <w:keepLines/>
      <w:spacing w:before="260" w:after="260" w:line="416" w:lineRule="auto"/>
      <w:outlineLvl w:val="2"/>
    </w:pPr>
    <w:rPr>
      <w:rFonts w:ascii="Times New Roman" w:hAnsi="Times New Roman" w:eastAsia="仿宋"/>
      <w:b/>
      <w:bCs/>
      <w:sz w:val="30"/>
      <w:szCs w:val="32"/>
    </w:rPr>
  </w:style>
  <w:style w:type="paragraph" w:styleId="5">
    <w:name w:val="heading 4"/>
    <w:basedOn w:val="1"/>
    <w:next w:val="1"/>
    <w:link w:val="66"/>
    <w:unhideWhenUsed/>
    <w:qFormat/>
    <w:uiPriority w:val="0"/>
    <w:pPr>
      <w:keepNext/>
      <w:keepLines/>
      <w:spacing w:line="360" w:lineRule="auto"/>
      <w:outlineLvl w:val="3"/>
    </w:pPr>
    <w:rPr>
      <w:rFonts w:ascii="Times New Roman" w:hAnsi="Times New Roman" w:eastAsia="仿宋" w:cstheme="majorBidi"/>
      <w:b/>
      <w:bCs/>
      <w:sz w:val="24"/>
      <w:szCs w:val="28"/>
    </w:rPr>
  </w:style>
  <w:style w:type="paragraph" w:styleId="6">
    <w:name w:val="heading 5"/>
    <w:basedOn w:val="1"/>
    <w:next w:val="1"/>
    <w:link w:val="84"/>
    <w:qFormat/>
    <w:uiPriority w:val="0"/>
    <w:pPr>
      <w:widowControl/>
      <w:spacing w:before="240" w:after="60" w:line="360" w:lineRule="auto"/>
      <w:ind w:firstLine="200" w:firstLineChars="200"/>
      <w:jc w:val="left"/>
      <w:outlineLvl w:val="4"/>
    </w:pPr>
    <w:rPr>
      <w:rFonts w:ascii="Calibri" w:hAnsi="Calibri" w:eastAsia="宋体" w:cs="Times New Roman"/>
      <w:b/>
      <w:bCs/>
      <w:i/>
      <w:iCs/>
      <w:kern w:val="0"/>
      <w:sz w:val="26"/>
      <w:szCs w:val="26"/>
      <w:lang w:bidi="en-US"/>
    </w:rPr>
  </w:style>
  <w:style w:type="paragraph" w:styleId="7">
    <w:name w:val="heading 6"/>
    <w:basedOn w:val="1"/>
    <w:next w:val="1"/>
    <w:link w:val="85"/>
    <w:qFormat/>
    <w:uiPriority w:val="0"/>
    <w:pPr>
      <w:widowControl/>
      <w:spacing w:before="240" w:after="60" w:line="360" w:lineRule="auto"/>
      <w:ind w:firstLine="200" w:firstLineChars="200"/>
      <w:jc w:val="left"/>
      <w:outlineLvl w:val="5"/>
    </w:pPr>
    <w:rPr>
      <w:rFonts w:ascii="Calibri" w:hAnsi="Calibri" w:eastAsia="宋体" w:cs="Times New Roman"/>
      <w:b/>
      <w:bCs/>
      <w:kern w:val="0"/>
      <w:sz w:val="22"/>
      <w:szCs w:val="28"/>
      <w:lang w:bidi="en-US"/>
    </w:rPr>
  </w:style>
  <w:style w:type="paragraph" w:styleId="8">
    <w:name w:val="heading 7"/>
    <w:basedOn w:val="1"/>
    <w:next w:val="1"/>
    <w:link w:val="86"/>
    <w:qFormat/>
    <w:uiPriority w:val="0"/>
    <w:pPr>
      <w:widowControl/>
      <w:spacing w:before="240" w:after="60" w:line="360" w:lineRule="auto"/>
      <w:ind w:firstLine="200" w:firstLineChars="200"/>
      <w:jc w:val="left"/>
      <w:outlineLvl w:val="6"/>
    </w:pPr>
    <w:rPr>
      <w:rFonts w:ascii="Calibri" w:hAnsi="Calibri" w:eastAsia="宋体" w:cs="Times New Roman"/>
      <w:kern w:val="0"/>
      <w:sz w:val="24"/>
      <w:szCs w:val="24"/>
      <w:lang w:bidi="en-US"/>
    </w:rPr>
  </w:style>
  <w:style w:type="paragraph" w:styleId="9">
    <w:name w:val="heading 8"/>
    <w:basedOn w:val="1"/>
    <w:next w:val="1"/>
    <w:link w:val="87"/>
    <w:qFormat/>
    <w:uiPriority w:val="0"/>
    <w:pPr>
      <w:widowControl/>
      <w:spacing w:before="240" w:after="60" w:line="360" w:lineRule="auto"/>
      <w:ind w:firstLine="200" w:firstLineChars="200"/>
      <w:jc w:val="left"/>
      <w:outlineLvl w:val="7"/>
    </w:pPr>
    <w:rPr>
      <w:rFonts w:ascii="Calibri" w:hAnsi="Calibri" w:eastAsia="宋体" w:cs="Times New Roman"/>
      <w:i/>
      <w:iCs/>
      <w:kern w:val="0"/>
      <w:sz w:val="24"/>
      <w:szCs w:val="24"/>
      <w:lang w:bidi="en-US"/>
    </w:rPr>
  </w:style>
  <w:style w:type="paragraph" w:styleId="10">
    <w:name w:val="heading 9"/>
    <w:basedOn w:val="1"/>
    <w:next w:val="1"/>
    <w:link w:val="88"/>
    <w:qFormat/>
    <w:uiPriority w:val="0"/>
    <w:pPr>
      <w:widowControl/>
      <w:spacing w:before="240" w:after="60" w:line="360" w:lineRule="auto"/>
      <w:ind w:firstLine="200" w:firstLineChars="200"/>
      <w:jc w:val="left"/>
      <w:outlineLvl w:val="8"/>
    </w:pPr>
    <w:rPr>
      <w:rFonts w:ascii="Cambria" w:hAnsi="Cambria" w:eastAsia="宋体" w:cs="Times New Roman"/>
      <w:kern w:val="0"/>
      <w:sz w:val="22"/>
      <w:szCs w:val="28"/>
      <w:lang w:bidi="en-US"/>
    </w:rPr>
  </w:style>
  <w:style w:type="character" w:default="1" w:styleId="46">
    <w:name w:val="Default Paragraph Font"/>
    <w:semiHidden/>
    <w:unhideWhenUsed/>
    <w:uiPriority w:val="1"/>
  </w:style>
  <w:style w:type="table" w:default="1" w:styleId="44">
    <w:name w:val="Normal Table"/>
    <w:semiHidden/>
    <w:unhideWhenUsed/>
    <w:uiPriority w:val="99"/>
    <w:tblPr>
      <w:tblLayout w:type="fixed"/>
      <w:tblCellMar>
        <w:top w:w="0" w:type="dxa"/>
        <w:left w:w="108" w:type="dxa"/>
        <w:bottom w:w="0" w:type="dxa"/>
        <w:right w:w="108" w:type="dxa"/>
      </w:tblCellMar>
    </w:tblPr>
  </w:style>
  <w:style w:type="paragraph" w:styleId="11">
    <w:name w:val="toc 7"/>
    <w:basedOn w:val="1"/>
    <w:next w:val="1"/>
    <w:unhideWhenUsed/>
    <w:uiPriority w:val="39"/>
    <w:pPr>
      <w:ind w:left="2520" w:leftChars="1200"/>
    </w:pPr>
  </w:style>
  <w:style w:type="paragraph" w:styleId="12">
    <w:name w:val="Note Heading"/>
    <w:basedOn w:val="1"/>
    <w:next w:val="1"/>
    <w:link w:val="146"/>
    <w:semiHidden/>
    <w:qFormat/>
    <w:uiPriority w:val="0"/>
    <w:pPr>
      <w:jc w:val="center"/>
    </w:pPr>
    <w:rPr>
      <w:rFonts w:ascii="Times New Roman" w:hAnsi="Times New Roman" w:eastAsia="宋体" w:cs="Times New Roman"/>
      <w:kern w:val="0"/>
      <w:sz w:val="28"/>
      <w:szCs w:val="24"/>
    </w:rPr>
  </w:style>
  <w:style w:type="paragraph" w:styleId="13">
    <w:name w:val="Normal Indent"/>
    <w:basedOn w:val="1"/>
    <w:qFormat/>
    <w:uiPriority w:val="0"/>
    <w:pPr>
      <w:ind w:firstLine="420" w:firstLineChars="200"/>
    </w:pPr>
    <w:rPr>
      <w:rFonts w:ascii="Times New Roman" w:hAnsi="Times New Roman" w:eastAsia="宋体" w:cs="Times New Roman"/>
      <w:kern w:val="0"/>
      <w:sz w:val="28"/>
      <w:szCs w:val="24"/>
    </w:rPr>
  </w:style>
  <w:style w:type="paragraph" w:styleId="14">
    <w:name w:val="caption"/>
    <w:basedOn w:val="1"/>
    <w:next w:val="1"/>
    <w:qFormat/>
    <w:uiPriority w:val="0"/>
    <w:pPr>
      <w:widowControl/>
      <w:ind w:firstLine="200" w:firstLineChars="200"/>
      <w:jc w:val="left"/>
    </w:pPr>
    <w:rPr>
      <w:rFonts w:ascii="Calibri" w:hAnsi="Calibri" w:eastAsia="宋体" w:cs="Times New Roman"/>
      <w:b/>
      <w:bCs/>
      <w:color w:val="4F81BD"/>
      <w:kern w:val="0"/>
      <w:sz w:val="18"/>
      <w:szCs w:val="18"/>
      <w:lang w:bidi="en-US"/>
    </w:rPr>
  </w:style>
  <w:style w:type="paragraph" w:styleId="15">
    <w:name w:val="List Bullet"/>
    <w:basedOn w:val="1"/>
    <w:unhideWhenUsed/>
    <w:uiPriority w:val="99"/>
    <w:pPr>
      <w:numPr>
        <w:ilvl w:val="0"/>
        <w:numId w:val="1"/>
      </w:numPr>
      <w:contextualSpacing/>
    </w:pPr>
  </w:style>
  <w:style w:type="paragraph" w:styleId="16">
    <w:name w:val="Document Map"/>
    <w:basedOn w:val="1"/>
    <w:link w:val="92"/>
    <w:semiHidden/>
    <w:qFormat/>
    <w:uiPriority w:val="0"/>
    <w:pPr>
      <w:shd w:val="clear" w:color="auto" w:fill="000080"/>
      <w:spacing w:line="360" w:lineRule="auto"/>
      <w:ind w:firstLine="200" w:firstLineChars="200"/>
    </w:pPr>
    <w:rPr>
      <w:rFonts w:ascii="仿宋_GB2312" w:hAnsi="Times New Roman" w:eastAsia="仿宋_GB2312" w:cs="Times New Roman"/>
      <w:kern w:val="0"/>
      <w:sz w:val="24"/>
      <w:szCs w:val="24"/>
    </w:rPr>
  </w:style>
  <w:style w:type="paragraph" w:styleId="17">
    <w:name w:val="annotation text"/>
    <w:basedOn w:val="1"/>
    <w:link w:val="67"/>
    <w:unhideWhenUsed/>
    <w:qFormat/>
    <w:uiPriority w:val="99"/>
    <w:pPr>
      <w:jc w:val="left"/>
    </w:pPr>
  </w:style>
  <w:style w:type="paragraph" w:styleId="18">
    <w:name w:val="Body Text 3"/>
    <w:basedOn w:val="1"/>
    <w:link w:val="132"/>
    <w:semiHidden/>
    <w:unhideWhenUsed/>
    <w:uiPriority w:val="0"/>
    <w:pPr>
      <w:widowControl/>
      <w:spacing w:after="120" w:line="360" w:lineRule="auto"/>
      <w:ind w:firstLine="200" w:firstLineChars="200"/>
      <w:jc w:val="left"/>
    </w:pPr>
    <w:rPr>
      <w:rFonts w:ascii="Calibri" w:hAnsi="Calibri" w:eastAsia="宋体" w:cs="Times New Roman"/>
      <w:kern w:val="0"/>
      <w:sz w:val="16"/>
      <w:szCs w:val="16"/>
      <w:lang w:bidi="en-US"/>
    </w:rPr>
  </w:style>
  <w:style w:type="paragraph" w:styleId="19">
    <w:name w:val="Body Text"/>
    <w:basedOn w:val="1"/>
    <w:link w:val="128"/>
    <w:qFormat/>
    <w:uiPriority w:val="0"/>
    <w:pPr>
      <w:spacing w:after="120"/>
    </w:pPr>
    <w:rPr>
      <w:rFonts w:ascii="Times New Roman" w:hAnsi="Times New Roman" w:eastAsia="宋体" w:cs="Times New Roman"/>
      <w:kern w:val="0"/>
      <w:sz w:val="24"/>
      <w:szCs w:val="24"/>
    </w:rPr>
  </w:style>
  <w:style w:type="paragraph" w:styleId="20">
    <w:name w:val="Body Text Indent"/>
    <w:basedOn w:val="1"/>
    <w:link w:val="100"/>
    <w:qFormat/>
    <w:uiPriority w:val="0"/>
    <w:pPr>
      <w:spacing w:line="360" w:lineRule="auto"/>
      <w:ind w:firstLine="480" w:firstLineChars="200"/>
    </w:pPr>
    <w:rPr>
      <w:rFonts w:ascii="宋体" w:hAnsi="宋体" w:eastAsia="宋体" w:cs="Times New Roman"/>
      <w:kern w:val="0"/>
      <w:sz w:val="24"/>
      <w:szCs w:val="24"/>
    </w:rPr>
  </w:style>
  <w:style w:type="paragraph" w:styleId="21">
    <w:name w:val="toc 5"/>
    <w:basedOn w:val="1"/>
    <w:next w:val="1"/>
    <w:unhideWhenUsed/>
    <w:qFormat/>
    <w:uiPriority w:val="39"/>
    <w:pPr>
      <w:ind w:left="1680" w:leftChars="800"/>
    </w:pPr>
  </w:style>
  <w:style w:type="paragraph" w:styleId="22">
    <w:name w:val="toc 3"/>
    <w:basedOn w:val="1"/>
    <w:next w:val="1"/>
    <w:unhideWhenUsed/>
    <w:qFormat/>
    <w:uiPriority w:val="39"/>
    <w:pPr>
      <w:widowControl/>
      <w:spacing w:after="100" w:line="276" w:lineRule="auto"/>
      <w:ind w:left="440"/>
      <w:jc w:val="left"/>
    </w:pPr>
    <w:rPr>
      <w:kern w:val="0"/>
      <w:sz w:val="22"/>
    </w:rPr>
  </w:style>
  <w:style w:type="paragraph" w:styleId="23">
    <w:name w:val="Plain Text"/>
    <w:basedOn w:val="1"/>
    <w:link w:val="125"/>
    <w:qFormat/>
    <w:uiPriority w:val="0"/>
    <w:rPr>
      <w:rFonts w:ascii="宋体" w:hAnsi="Courier New" w:eastAsia="宋体" w:cs="Courier New"/>
      <w:kern w:val="0"/>
      <w:sz w:val="28"/>
      <w:szCs w:val="21"/>
    </w:rPr>
  </w:style>
  <w:style w:type="paragraph" w:styleId="24">
    <w:name w:val="toc 8"/>
    <w:basedOn w:val="1"/>
    <w:next w:val="1"/>
    <w:unhideWhenUsed/>
    <w:qFormat/>
    <w:uiPriority w:val="39"/>
    <w:pPr>
      <w:ind w:left="2940" w:leftChars="1400"/>
    </w:pPr>
  </w:style>
  <w:style w:type="paragraph" w:styleId="25">
    <w:name w:val="Date"/>
    <w:basedOn w:val="1"/>
    <w:next w:val="1"/>
    <w:link w:val="64"/>
    <w:unhideWhenUsed/>
    <w:qFormat/>
    <w:uiPriority w:val="0"/>
    <w:pPr>
      <w:ind w:left="100" w:leftChars="2500"/>
    </w:pPr>
  </w:style>
  <w:style w:type="paragraph" w:styleId="26">
    <w:name w:val="Body Text Indent 2"/>
    <w:basedOn w:val="1"/>
    <w:link w:val="138"/>
    <w:semiHidden/>
    <w:uiPriority w:val="0"/>
    <w:pPr>
      <w:spacing w:after="120" w:line="480" w:lineRule="auto"/>
      <w:ind w:left="420" w:leftChars="200"/>
    </w:pPr>
    <w:rPr>
      <w:rFonts w:ascii="Times New Roman" w:hAnsi="Times New Roman" w:eastAsia="宋体" w:cs="Times New Roman"/>
      <w:sz w:val="28"/>
      <w:szCs w:val="24"/>
    </w:rPr>
  </w:style>
  <w:style w:type="paragraph" w:styleId="27">
    <w:name w:val="Balloon Text"/>
    <w:basedOn w:val="1"/>
    <w:link w:val="63"/>
    <w:semiHidden/>
    <w:unhideWhenUsed/>
    <w:qFormat/>
    <w:uiPriority w:val="99"/>
    <w:rPr>
      <w:sz w:val="18"/>
      <w:szCs w:val="18"/>
    </w:rPr>
  </w:style>
  <w:style w:type="paragraph" w:styleId="28">
    <w:name w:val="footer"/>
    <w:basedOn w:val="1"/>
    <w:link w:val="54"/>
    <w:unhideWhenUsed/>
    <w:qFormat/>
    <w:uiPriority w:val="99"/>
    <w:pPr>
      <w:tabs>
        <w:tab w:val="center" w:pos="4153"/>
        <w:tab w:val="right" w:pos="8306"/>
      </w:tabs>
      <w:snapToGrid w:val="0"/>
      <w:jc w:val="left"/>
    </w:pPr>
    <w:rPr>
      <w:sz w:val="18"/>
      <w:szCs w:val="18"/>
    </w:rPr>
  </w:style>
  <w:style w:type="paragraph" w:styleId="29">
    <w:name w:val="header"/>
    <w:basedOn w:val="1"/>
    <w:link w:val="53"/>
    <w:unhideWhenUsed/>
    <w:qFormat/>
    <w:uiPriority w:val="99"/>
    <w:pPr>
      <w:pBdr>
        <w:bottom w:val="single" w:color="auto" w:sz="6" w:space="1"/>
      </w:pBdr>
      <w:tabs>
        <w:tab w:val="center" w:pos="4153"/>
        <w:tab w:val="right" w:pos="8306"/>
      </w:tabs>
      <w:snapToGrid w:val="0"/>
      <w:jc w:val="center"/>
    </w:pPr>
    <w:rPr>
      <w:sz w:val="18"/>
      <w:szCs w:val="18"/>
    </w:rPr>
  </w:style>
  <w:style w:type="paragraph" w:styleId="30">
    <w:name w:val="toc 1"/>
    <w:basedOn w:val="1"/>
    <w:next w:val="1"/>
    <w:unhideWhenUsed/>
    <w:qFormat/>
    <w:uiPriority w:val="39"/>
    <w:pPr>
      <w:widowControl/>
      <w:spacing w:after="100" w:line="276" w:lineRule="auto"/>
      <w:jc w:val="left"/>
    </w:pPr>
    <w:rPr>
      <w:kern w:val="0"/>
      <w:sz w:val="22"/>
    </w:rPr>
  </w:style>
  <w:style w:type="paragraph" w:styleId="31">
    <w:name w:val="toc 4"/>
    <w:basedOn w:val="1"/>
    <w:next w:val="1"/>
    <w:unhideWhenUsed/>
    <w:qFormat/>
    <w:uiPriority w:val="39"/>
    <w:pPr>
      <w:ind w:left="1260" w:leftChars="600"/>
    </w:pPr>
  </w:style>
  <w:style w:type="paragraph" w:styleId="32">
    <w:name w:val="Subtitle"/>
    <w:basedOn w:val="1"/>
    <w:next w:val="1"/>
    <w:link w:val="109"/>
    <w:qFormat/>
    <w:uiPriority w:val="0"/>
    <w:pPr>
      <w:widowControl/>
      <w:spacing w:after="60" w:line="360" w:lineRule="auto"/>
      <w:ind w:firstLine="200" w:firstLineChars="200"/>
      <w:jc w:val="center"/>
      <w:outlineLvl w:val="1"/>
    </w:pPr>
    <w:rPr>
      <w:rFonts w:ascii="Cambria" w:hAnsi="Cambria" w:eastAsia="宋体" w:cs="Times New Roman"/>
      <w:kern w:val="0"/>
      <w:sz w:val="24"/>
      <w:szCs w:val="24"/>
      <w:lang w:bidi="en-US"/>
    </w:rPr>
  </w:style>
  <w:style w:type="paragraph" w:styleId="33">
    <w:name w:val="footnote text"/>
    <w:basedOn w:val="1"/>
    <w:link w:val="204"/>
    <w:unhideWhenUsed/>
    <w:qFormat/>
    <w:uiPriority w:val="0"/>
    <w:pPr>
      <w:widowControl/>
      <w:jc w:val="left"/>
    </w:pPr>
    <w:rPr>
      <w:rFonts w:ascii="Calibri" w:hAnsi="Calibri" w:eastAsia="宋体" w:cs="Times New Roman"/>
      <w:kern w:val="0"/>
      <w:sz w:val="20"/>
      <w:szCs w:val="20"/>
    </w:rPr>
  </w:style>
  <w:style w:type="paragraph" w:styleId="34">
    <w:name w:val="toc 6"/>
    <w:basedOn w:val="1"/>
    <w:next w:val="1"/>
    <w:unhideWhenUsed/>
    <w:qFormat/>
    <w:uiPriority w:val="39"/>
    <w:pPr>
      <w:ind w:left="2100" w:leftChars="1000"/>
    </w:pPr>
  </w:style>
  <w:style w:type="paragraph" w:styleId="35">
    <w:name w:val="Body Text Indent 3"/>
    <w:basedOn w:val="1"/>
    <w:link w:val="135"/>
    <w:semiHidden/>
    <w:unhideWhenUsed/>
    <w:qFormat/>
    <w:uiPriority w:val="0"/>
    <w:pPr>
      <w:widowControl/>
      <w:spacing w:after="120" w:line="360" w:lineRule="auto"/>
      <w:ind w:left="420" w:leftChars="200" w:firstLine="200" w:firstLineChars="200"/>
      <w:jc w:val="left"/>
    </w:pPr>
    <w:rPr>
      <w:rFonts w:ascii="Calibri" w:hAnsi="Calibri" w:eastAsia="宋体" w:cs="Times New Roman"/>
      <w:kern w:val="0"/>
      <w:sz w:val="16"/>
      <w:szCs w:val="16"/>
      <w:lang w:bidi="en-US"/>
    </w:rPr>
  </w:style>
  <w:style w:type="paragraph" w:styleId="36">
    <w:name w:val="toc 2"/>
    <w:basedOn w:val="1"/>
    <w:next w:val="1"/>
    <w:unhideWhenUsed/>
    <w:qFormat/>
    <w:uiPriority w:val="39"/>
    <w:pPr>
      <w:widowControl/>
      <w:spacing w:after="100" w:line="276" w:lineRule="auto"/>
      <w:ind w:left="220"/>
      <w:jc w:val="left"/>
    </w:pPr>
    <w:rPr>
      <w:kern w:val="0"/>
      <w:sz w:val="22"/>
    </w:rPr>
  </w:style>
  <w:style w:type="paragraph" w:styleId="37">
    <w:name w:val="toc 9"/>
    <w:basedOn w:val="1"/>
    <w:next w:val="1"/>
    <w:unhideWhenUsed/>
    <w:uiPriority w:val="39"/>
    <w:pPr>
      <w:ind w:left="3360" w:leftChars="1600"/>
    </w:pPr>
  </w:style>
  <w:style w:type="paragraph" w:styleId="38">
    <w:name w:val="Body Text 2"/>
    <w:basedOn w:val="1"/>
    <w:link w:val="141"/>
    <w:semiHidden/>
    <w:unhideWhenUsed/>
    <w:qFormat/>
    <w:uiPriority w:val="0"/>
    <w:pPr>
      <w:widowControl/>
      <w:spacing w:after="120" w:line="480" w:lineRule="auto"/>
      <w:ind w:firstLine="200" w:firstLineChars="200"/>
      <w:jc w:val="left"/>
    </w:pPr>
    <w:rPr>
      <w:rFonts w:ascii="Calibri" w:hAnsi="Calibri" w:eastAsia="宋体" w:cs="Times New Roman"/>
      <w:kern w:val="0"/>
      <w:sz w:val="24"/>
      <w:szCs w:val="24"/>
      <w:lang w:bidi="en-US"/>
    </w:rPr>
  </w:style>
  <w:style w:type="paragraph" w:styleId="39">
    <w:name w:val="Normal (Web)"/>
    <w:basedOn w:val="1"/>
    <w:qFormat/>
    <w:uiPriority w:val="0"/>
    <w:pPr>
      <w:widowControl/>
      <w:spacing w:before="100" w:beforeAutospacing="1" w:after="100" w:afterAutospacing="1"/>
      <w:jc w:val="left"/>
    </w:pPr>
    <w:rPr>
      <w:rFonts w:ascii="宋体" w:hAnsi="宋体" w:eastAsia="宋体" w:cs="Times New Roman"/>
      <w:color w:val="000000"/>
      <w:kern w:val="0"/>
      <w:sz w:val="24"/>
      <w:szCs w:val="24"/>
    </w:rPr>
  </w:style>
  <w:style w:type="paragraph" w:styleId="40">
    <w:name w:val="Title"/>
    <w:basedOn w:val="1"/>
    <w:next w:val="1"/>
    <w:link w:val="107"/>
    <w:qFormat/>
    <w:uiPriority w:val="10"/>
    <w:pPr>
      <w:widowControl/>
      <w:spacing w:before="240" w:after="60" w:line="360" w:lineRule="auto"/>
      <w:ind w:firstLine="200" w:firstLineChars="200"/>
      <w:jc w:val="center"/>
      <w:outlineLvl w:val="0"/>
    </w:pPr>
    <w:rPr>
      <w:rFonts w:ascii="Cambria" w:hAnsi="Cambria" w:eastAsia="宋体" w:cs="Times New Roman"/>
      <w:b/>
      <w:bCs/>
      <w:kern w:val="28"/>
      <w:sz w:val="32"/>
      <w:szCs w:val="32"/>
      <w:lang w:bidi="en-US"/>
    </w:rPr>
  </w:style>
  <w:style w:type="paragraph" w:styleId="41">
    <w:name w:val="annotation subject"/>
    <w:basedOn w:val="17"/>
    <w:next w:val="17"/>
    <w:link w:val="68"/>
    <w:semiHidden/>
    <w:unhideWhenUsed/>
    <w:uiPriority w:val="99"/>
    <w:rPr>
      <w:b/>
      <w:bCs/>
    </w:rPr>
  </w:style>
  <w:style w:type="paragraph" w:styleId="42">
    <w:name w:val="Body Text First Indent"/>
    <w:basedOn w:val="19"/>
    <w:link w:val="315"/>
    <w:semiHidden/>
    <w:unhideWhenUsed/>
    <w:uiPriority w:val="99"/>
    <w:pPr>
      <w:ind w:firstLine="420" w:firstLineChars="100"/>
    </w:pPr>
    <w:rPr>
      <w:rFonts w:asciiTheme="minorHAnsi" w:hAnsiTheme="minorHAnsi" w:eastAsiaTheme="minorEastAsia" w:cstheme="minorBidi"/>
      <w:kern w:val="2"/>
      <w:sz w:val="21"/>
      <w:szCs w:val="22"/>
    </w:rPr>
  </w:style>
  <w:style w:type="paragraph" w:styleId="43">
    <w:name w:val="Body Text First Indent 2"/>
    <w:basedOn w:val="20"/>
    <w:link w:val="316"/>
    <w:semiHidden/>
    <w:unhideWhenUsed/>
    <w:qFormat/>
    <w:uiPriority w:val="99"/>
    <w:pPr>
      <w:spacing w:after="120" w:line="240" w:lineRule="auto"/>
      <w:ind w:left="420" w:leftChars="200" w:firstLine="420"/>
    </w:pPr>
    <w:rPr>
      <w:rFonts w:asciiTheme="minorHAnsi" w:hAnsiTheme="minorHAnsi" w:eastAsiaTheme="minorEastAsia" w:cstheme="minorBidi"/>
      <w:kern w:val="2"/>
      <w:sz w:val="21"/>
      <w:szCs w:val="22"/>
    </w:rPr>
  </w:style>
  <w:style w:type="table" w:styleId="45">
    <w:name w:val="Table Grid"/>
    <w:basedOn w:val="4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47">
    <w:name w:val="Strong"/>
    <w:qFormat/>
    <w:uiPriority w:val="0"/>
    <w:rPr>
      <w:b/>
      <w:bCs/>
    </w:rPr>
  </w:style>
  <w:style w:type="character" w:styleId="48">
    <w:name w:val="page number"/>
    <w:basedOn w:val="46"/>
    <w:qFormat/>
    <w:uiPriority w:val="0"/>
  </w:style>
  <w:style w:type="character" w:styleId="49">
    <w:name w:val="FollowedHyperlink"/>
    <w:qFormat/>
    <w:uiPriority w:val="99"/>
    <w:rPr>
      <w:color w:val="800080"/>
      <w:u w:val="single"/>
    </w:rPr>
  </w:style>
  <w:style w:type="character" w:styleId="50">
    <w:name w:val="Emphasis"/>
    <w:qFormat/>
    <w:uiPriority w:val="0"/>
    <w:rPr>
      <w:rFonts w:ascii="Calibri" w:hAnsi="Calibri"/>
      <w:b/>
      <w:i/>
      <w:iCs/>
    </w:rPr>
  </w:style>
  <w:style w:type="character" w:styleId="51">
    <w:name w:val="Hyperlink"/>
    <w:qFormat/>
    <w:uiPriority w:val="99"/>
    <w:rPr>
      <w:color w:val="0000FF"/>
      <w:u w:val="single"/>
    </w:rPr>
  </w:style>
  <w:style w:type="character" w:styleId="52">
    <w:name w:val="annotation reference"/>
    <w:basedOn w:val="46"/>
    <w:unhideWhenUsed/>
    <w:qFormat/>
    <w:uiPriority w:val="99"/>
    <w:rPr>
      <w:sz w:val="21"/>
      <w:szCs w:val="21"/>
    </w:rPr>
  </w:style>
  <w:style w:type="character" w:customStyle="1" w:styleId="53">
    <w:name w:val="页眉 Char1"/>
    <w:basedOn w:val="46"/>
    <w:link w:val="29"/>
    <w:qFormat/>
    <w:uiPriority w:val="99"/>
    <w:rPr>
      <w:sz w:val="18"/>
      <w:szCs w:val="18"/>
    </w:rPr>
  </w:style>
  <w:style w:type="character" w:customStyle="1" w:styleId="54">
    <w:name w:val="页脚 Char1"/>
    <w:basedOn w:val="46"/>
    <w:link w:val="28"/>
    <w:qFormat/>
    <w:uiPriority w:val="99"/>
    <w:rPr>
      <w:sz w:val="18"/>
      <w:szCs w:val="18"/>
    </w:rPr>
  </w:style>
  <w:style w:type="paragraph" w:styleId="55">
    <w:name w:val="List Paragraph"/>
    <w:basedOn w:val="1"/>
    <w:qFormat/>
    <w:uiPriority w:val="34"/>
    <w:pPr>
      <w:ind w:firstLine="420" w:firstLineChars="200"/>
    </w:pPr>
  </w:style>
  <w:style w:type="character" w:customStyle="1" w:styleId="56">
    <w:name w:val="标题 2 Char2"/>
    <w:basedOn w:val="46"/>
    <w:link w:val="3"/>
    <w:qFormat/>
    <w:uiPriority w:val="9"/>
    <w:rPr>
      <w:rFonts w:ascii="Times New Roman" w:hAnsi="Times New Roman" w:eastAsia="仿宋" w:cstheme="majorBidi"/>
      <w:b/>
      <w:bCs/>
      <w:sz w:val="32"/>
      <w:szCs w:val="32"/>
    </w:rPr>
  </w:style>
  <w:style w:type="character" w:customStyle="1" w:styleId="57">
    <w:name w:val="标题 3 Char2"/>
    <w:basedOn w:val="46"/>
    <w:link w:val="4"/>
    <w:uiPriority w:val="9"/>
    <w:rPr>
      <w:rFonts w:ascii="Times New Roman" w:hAnsi="Times New Roman" w:eastAsia="仿宋"/>
      <w:b/>
      <w:bCs/>
      <w:sz w:val="30"/>
      <w:szCs w:val="32"/>
    </w:rPr>
  </w:style>
  <w:style w:type="paragraph" w:customStyle="1" w:styleId="58">
    <w:name w:val="Char Char Char"/>
    <w:basedOn w:val="1"/>
    <w:semiHidden/>
    <w:uiPriority w:val="0"/>
    <w:rPr>
      <w:rFonts w:ascii="Times New Roman" w:hAnsi="Times New Roman" w:eastAsia="宋体" w:cs="Times New Roman"/>
      <w:szCs w:val="24"/>
    </w:rPr>
  </w:style>
  <w:style w:type="character" w:customStyle="1" w:styleId="59">
    <w:name w:val="15"/>
    <w:basedOn w:val="46"/>
    <w:qFormat/>
    <w:uiPriority w:val="0"/>
    <w:rPr>
      <w:rFonts w:hint="default" w:ascii="Times New Roman" w:hAnsi="Times New Roman" w:cs="Times New Roman"/>
      <w:color w:val="0000FF"/>
      <w:u w:val="single"/>
    </w:rPr>
  </w:style>
  <w:style w:type="character" w:customStyle="1" w:styleId="60">
    <w:name w:val="标题 1 Char2"/>
    <w:basedOn w:val="46"/>
    <w:link w:val="2"/>
    <w:uiPriority w:val="9"/>
    <w:rPr>
      <w:rFonts w:ascii="Times New Roman" w:hAnsi="Times New Roman" w:eastAsia="仿宋"/>
      <w:b/>
      <w:bCs/>
      <w:kern w:val="44"/>
      <w:sz w:val="36"/>
      <w:szCs w:val="44"/>
    </w:rPr>
  </w:style>
  <w:style w:type="paragraph" w:customStyle="1" w:styleId="61">
    <w:name w:val="文字"/>
    <w:basedOn w:val="1"/>
    <w:link w:val="97"/>
    <w:qFormat/>
    <w:uiPriority w:val="0"/>
    <w:pPr>
      <w:widowControl/>
      <w:spacing w:after="120" w:afterLines="50" w:line="360" w:lineRule="auto"/>
      <w:ind w:firstLine="420"/>
    </w:pPr>
    <w:rPr>
      <w:rFonts w:ascii="Times New Roman" w:hAnsi="Times New Roman" w:eastAsia="宋体" w:cs="Times New Roman"/>
      <w:kern w:val="0"/>
      <w:sz w:val="24"/>
      <w:szCs w:val="24"/>
    </w:rPr>
  </w:style>
  <w:style w:type="paragraph" w:customStyle="1" w:styleId="62">
    <w:name w:val="Char Char Char2"/>
    <w:basedOn w:val="1"/>
    <w:semiHidden/>
    <w:qFormat/>
    <w:uiPriority w:val="0"/>
    <w:rPr>
      <w:rFonts w:ascii="Times New Roman" w:hAnsi="Times New Roman" w:eastAsia="宋体" w:cs="Times New Roman"/>
      <w:szCs w:val="24"/>
    </w:rPr>
  </w:style>
  <w:style w:type="character" w:customStyle="1" w:styleId="63">
    <w:name w:val="批注框文本 Char2"/>
    <w:basedOn w:val="46"/>
    <w:link w:val="27"/>
    <w:semiHidden/>
    <w:qFormat/>
    <w:uiPriority w:val="99"/>
    <w:rPr>
      <w:sz w:val="18"/>
      <w:szCs w:val="18"/>
    </w:rPr>
  </w:style>
  <w:style w:type="character" w:customStyle="1" w:styleId="64">
    <w:name w:val="日期 Char1"/>
    <w:basedOn w:val="46"/>
    <w:link w:val="25"/>
    <w:qFormat/>
    <w:uiPriority w:val="0"/>
  </w:style>
  <w:style w:type="paragraph" w:customStyle="1" w:styleId="65">
    <w:name w:val="表格内容"/>
    <w:basedOn w:val="1"/>
    <w:next w:val="1"/>
    <w:qFormat/>
    <w:uiPriority w:val="0"/>
    <w:pPr>
      <w:jc w:val="center"/>
    </w:pPr>
    <w:rPr>
      <w:rFonts w:ascii="Times New Roman" w:hAnsi="Times New Roman" w:eastAsia="仿宋_GB2312" w:cs="Times New Roman"/>
      <w:kern w:val="0"/>
      <w:sz w:val="24"/>
      <w:szCs w:val="24"/>
    </w:rPr>
  </w:style>
  <w:style w:type="character" w:customStyle="1" w:styleId="66">
    <w:name w:val="标题 4 Char1"/>
    <w:basedOn w:val="46"/>
    <w:link w:val="5"/>
    <w:qFormat/>
    <w:uiPriority w:val="9"/>
    <w:rPr>
      <w:rFonts w:ascii="Times New Roman" w:hAnsi="Times New Roman" w:eastAsia="仿宋" w:cstheme="majorBidi"/>
      <w:b/>
      <w:bCs/>
      <w:sz w:val="24"/>
      <w:szCs w:val="28"/>
    </w:rPr>
  </w:style>
  <w:style w:type="character" w:customStyle="1" w:styleId="67">
    <w:name w:val="批注文字 Char1"/>
    <w:basedOn w:val="46"/>
    <w:link w:val="17"/>
    <w:qFormat/>
    <w:uiPriority w:val="99"/>
  </w:style>
  <w:style w:type="character" w:customStyle="1" w:styleId="68">
    <w:name w:val="批注主题 Char1"/>
    <w:basedOn w:val="67"/>
    <w:link w:val="41"/>
    <w:semiHidden/>
    <w:uiPriority w:val="99"/>
    <w:rPr>
      <w:b/>
      <w:bCs/>
    </w:rPr>
  </w:style>
  <w:style w:type="character" w:customStyle="1" w:styleId="69">
    <w:name w:val="标题 5 字符"/>
    <w:basedOn w:val="46"/>
    <w:semiHidden/>
    <w:qFormat/>
    <w:uiPriority w:val="9"/>
    <w:rPr>
      <w:b/>
      <w:bCs/>
      <w:sz w:val="28"/>
      <w:szCs w:val="28"/>
    </w:rPr>
  </w:style>
  <w:style w:type="character" w:customStyle="1" w:styleId="70">
    <w:name w:val="标题 6 字符"/>
    <w:basedOn w:val="46"/>
    <w:semiHidden/>
    <w:qFormat/>
    <w:uiPriority w:val="9"/>
    <w:rPr>
      <w:rFonts w:asciiTheme="majorHAnsi" w:hAnsiTheme="majorHAnsi" w:eastAsiaTheme="majorEastAsia" w:cstheme="majorBidi"/>
      <w:b/>
      <w:bCs/>
      <w:sz w:val="24"/>
      <w:szCs w:val="24"/>
    </w:rPr>
  </w:style>
  <w:style w:type="character" w:customStyle="1" w:styleId="71">
    <w:name w:val="标题 7 字符"/>
    <w:basedOn w:val="46"/>
    <w:semiHidden/>
    <w:uiPriority w:val="9"/>
    <w:rPr>
      <w:b/>
      <w:bCs/>
      <w:sz w:val="24"/>
      <w:szCs w:val="24"/>
    </w:rPr>
  </w:style>
  <w:style w:type="character" w:customStyle="1" w:styleId="72">
    <w:name w:val="标题 8 字符"/>
    <w:basedOn w:val="46"/>
    <w:semiHidden/>
    <w:qFormat/>
    <w:uiPriority w:val="9"/>
    <w:rPr>
      <w:rFonts w:asciiTheme="majorHAnsi" w:hAnsiTheme="majorHAnsi" w:eastAsiaTheme="majorEastAsia" w:cstheme="majorBidi"/>
      <w:sz w:val="24"/>
      <w:szCs w:val="24"/>
    </w:rPr>
  </w:style>
  <w:style w:type="character" w:customStyle="1" w:styleId="73">
    <w:name w:val="标题 9 字符"/>
    <w:basedOn w:val="46"/>
    <w:semiHidden/>
    <w:qFormat/>
    <w:uiPriority w:val="9"/>
    <w:rPr>
      <w:rFonts w:asciiTheme="majorHAnsi" w:hAnsiTheme="majorHAnsi" w:eastAsiaTheme="majorEastAsia" w:cstheme="majorBidi"/>
      <w:szCs w:val="21"/>
    </w:rPr>
  </w:style>
  <w:style w:type="character" w:customStyle="1" w:styleId="74">
    <w:name w:val="页脚 Char"/>
    <w:uiPriority w:val="99"/>
    <w:rPr>
      <w:sz w:val="18"/>
      <w:szCs w:val="18"/>
    </w:rPr>
  </w:style>
  <w:style w:type="paragraph" w:customStyle="1" w:styleId="75">
    <w:name w:val="Char Char Char1 Char Char Char Char Char Char2 Char"/>
    <w:basedOn w:val="1"/>
    <w:semiHidden/>
    <w:qFormat/>
    <w:uiPriority w:val="0"/>
    <w:rPr>
      <w:rFonts w:ascii="黑体" w:hAnsi="Times New Roman" w:eastAsia="黑体" w:cs="Times New Roman"/>
      <w:b/>
      <w:kern w:val="0"/>
      <w:sz w:val="32"/>
      <w:szCs w:val="32"/>
    </w:rPr>
  </w:style>
  <w:style w:type="character" w:customStyle="1" w:styleId="76">
    <w:name w:val="页眉 Char"/>
    <w:uiPriority w:val="99"/>
    <w:rPr>
      <w:sz w:val="18"/>
      <w:szCs w:val="18"/>
    </w:rPr>
  </w:style>
  <w:style w:type="paragraph" w:customStyle="1" w:styleId="77">
    <w:name w:val="Char Char Char1 Char Char Char Char Char Char2 Char1"/>
    <w:basedOn w:val="1"/>
    <w:semiHidden/>
    <w:qFormat/>
    <w:uiPriority w:val="0"/>
    <w:rPr>
      <w:rFonts w:ascii="黑体" w:hAnsi="Times New Roman" w:eastAsia="黑体" w:cs="Times New Roman"/>
      <w:b/>
      <w:kern w:val="0"/>
      <w:sz w:val="32"/>
      <w:szCs w:val="32"/>
    </w:rPr>
  </w:style>
  <w:style w:type="paragraph" w:customStyle="1" w:styleId="78">
    <w:name w:val="Char"/>
    <w:basedOn w:val="1"/>
    <w:next w:val="1"/>
    <w:link w:val="150"/>
    <w:qFormat/>
    <w:uiPriority w:val="0"/>
    <w:pPr>
      <w:spacing w:line="360" w:lineRule="auto"/>
      <w:ind w:left="240" w:firstLine="200" w:firstLineChars="200"/>
      <w:jc w:val="left"/>
    </w:pPr>
    <w:rPr>
      <w:rFonts w:ascii="Calibri" w:hAnsi="Calibri" w:eastAsia="宋体" w:cs="Times New Roman"/>
      <w:kern w:val="0"/>
      <w:sz w:val="24"/>
      <w:szCs w:val="24"/>
      <w:lang w:bidi="en-US"/>
    </w:rPr>
  </w:style>
  <w:style w:type="character" w:customStyle="1" w:styleId="79">
    <w:name w:val="日期 Char"/>
    <w:basedOn w:val="46"/>
    <w:qFormat/>
    <w:uiPriority w:val="0"/>
  </w:style>
  <w:style w:type="character" w:customStyle="1" w:styleId="80">
    <w:name w:val="标题 1 Char"/>
    <w:qFormat/>
    <w:uiPriority w:val="0"/>
    <w:rPr>
      <w:b/>
      <w:bCs/>
      <w:kern w:val="44"/>
      <w:sz w:val="44"/>
      <w:szCs w:val="44"/>
    </w:rPr>
  </w:style>
  <w:style w:type="character" w:customStyle="1" w:styleId="81">
    <w:name w:val="标题 2 Char"/>
    <w:uiPriority w:val="9"/>
    <w:rPr>
      <w:rFonts w:ascii="Calibri Light" w:hAnsi="Calibri Light" w:eastAsia="宋体" w:cs="Times New Roman"/>
      <w:b/>
      <w:bCs/>
      <w:sz w:val="32"/>
      <w:szCs w:val="32"/>
    </w:rPr>
  </w:style>
  <w:style w:type="character" w:customStyle="1" w:styleId="82">
    <w:name w:val="标题 3 Char"/>
    <w:qFormat/>
    <w:uiPriority w:val="9"/>
    <w:rPr>
      <w:b/>
      <w:bCs/>
      <w:sz w:val="32"/>
      <w:szCs w:val="32"/>
    </w:rPr>
  </w:style>
  <w:style w:type="character" w:customStyle="1" w:styleId="83">
    <w:name w:val="标题 4 Char"/>
    <w:uiPriority w:val="0"/>
    <w:rPr>
      <w:rFonts w:ascii="Calibri" w:hAnsi="Calibri" w:eastAsia="宋体" w:cs="Times New Roman"/>
      <w:b/>
      <w:bCs/>
      <w:kern w:val="0"/>
      <w:sz w:val="28"/>
      <w:szCs w:val="28"/>
      <w:lang w:bidi="en-US"/>
    </w:rPr>
  </w:style>
  <w:style w:type="character" w:customStyle="1" w:styleId="84">
    <w:name w:val="标题 5 Char1"/>
    <w:link w:val="6"/>
    <w:uiPriority w:val="0"/>
    <w:rPr>
      <w:rFonts w:ascii="Calibri" w:hAnsi="Calibri" w:eastAsia="宋体" w:cs="Times New Roman"/>
      <w:b/>
      <w:bCs/>
      <w:i/>
      <w:iCs/>
      <w:kern w:val="0"/>
      <w:sz w:val="26"/>
      <w:szCs w:val="26"/>
      <w:lang w:bidi="en-US"/>
    </w:rPr>
  </w:style>
  <w:style w:type="character" w:customStyle="1" w:styleId="85">
    <w:name w:val="标题 6 Char1"/>
    <w:link w:val="7"/>
    <w:qFormat/>
    <w:uiPriority w:val="0"/>
    <w:rPr>
      <w:rFonts w:ascii="Calibri" w:hAnsi="Calibri" w:eastAsia="宋体" w:cs="Times New Roman"/>
      <w:b/>
      <w:bCs/>
      <w:kern w:val="0"/>
      <w:sz w:val="22"/>
      <w:szCs w:val="28"/>
      <w:lang w:bidi="en-US"/>
    </w:rPr>
  </w:style>
  <w:style w:type="character" w:customStyle="1" w:styleId="86">
    <w:name w:val="标题 7 Char1"/>
    <w:link w:val="8"/>
    <w:qFormat/>
    <w:uiPriority w:val="0"/>
    <w:rPr>
      <w:rFonts w:ascii="Calibri" w:hAnsi="Calibri" w:eastAsia="宋体" w:cs="Times New Roman"/>
      <w:kern w:val="0"/>
      <w:sz w:val="24"/>
      <w:szCs w:val="24"/>
      <w:lang w:bidi="en-US"/>
    </w:rPr>
  </w:style>
  <w:style w:type="character" w:customStyle="1" w:styleId="87">
    <w:name w:val="标题 8 Char1"/>
    <w:link w:val="9"/>
    <w:qFormat/>
    <w:uiPriority w:val="0"/>
    <w:rPr>
      <w:rFonts w:ascii="Calibri" w:hAnsi="Calibri" w:eastAsia="宋体" w:cs="Times New Roman"/>
      <w:i/>
      <w:iCs/>
      <w:kern w:val="0"/>
      <w:sz w:val="24"/>
      <w:szCs w:val="24"/>
      <w:lang w:bidi="en-US"/>
    </w:rPr>
  </w:style>
  <w:style w:type="character" w:customStyle="1" w:styleId="88">
    <w:name w:val="标题 9 Char1"/>
    <w:link w:val="10"/>
    <w:qFormat/>
    <w:uiPriority w:val="0"/>
    <w:rPr>
      <w:rFonts w:ascii="Cambria" w:hAnsi="Cambria" w:eastAsia="宋体" w:cs="Times New Roman"/>
      <w:kern w:val="0"/>
      <w:sz w:val="22"/>
      <w:szCs w:val="28"/>
      <w:lang w:bidi="en-US"/>
    </w:rPr>
  </w:style>
  <w:style w:type="character" w:customStyle="1" w:styleId="89">
    <w:name w:val="标题 1 Char1"/>
    <w:qFormat/>
    <w:uiPriority w:val="0"/>
    <w:rPr>
      <w:rFonts w:ascii="仿宋_GB2312" w:hAnsi="Times New Roman" w:eastAsia="仿宋_GB2312" w:cs="Times New Roman"/>
      <w:b/>
      <w:bCs/>
      <w:kern w:val="44"/>
      <w:sz w:val="32"/>
      <w:szCs w:val="44"/>
    </w:rPr>
  </w:style>
  <w:style w:type="character" w:customStyle="1" w:styleId="90">
    <w:name w:val="标题 2 Char1"/>
    <w:qFormat/>
    <w:uiPriority w:val="0"/>
    <w:rPr>
      <w:rFonts w:ascii="Arial" w:hAnsi="Arial" w:eastAsia="黑体" w:cs="Times New Roman"/>
      <w:b/>
      <w:bCs/>
      <w:kern w:val="0"/>
      <w:sz w:val="30"/>
      <w:szCs w:val="32"/>
    </w:rPr>
  </w:style>
  <w:style w:type="character" w:customStyle="1" w:styleId="91">
    <w:name w:val="标题 3 Char1"/>
    <w:uiPriority w:val="0"/>
    <w:rPr>
      <w:rFonts w:ascii="仿宋_GB2312" w:hAnsi="Times New Roman" w:eastAsia="仿宋_GB2312" w:cs="Times New Roman"/>
      <w:b/>
      <w:bCs/>
      <w:kern w:val="0"/>
      <w:sz w:val="28"/>
      <w:szCs w:val="32"/>
    </w:rPr>
  </w:style>
  <w:style w:type="character" w:customStyle="1" w:styleId="92">
    <w:name w:val="文档结构图 Char2"/>
    <w:link w:val="16"/>
    <w:semiHidden/>
    <w:qFormat/>
    <w:uiPriority w:val="0"/>
    <w:rPr>
      <w:rFonts w:ascii="仿宋_GB2312" w:hAnsi="Times New Roman" w:eastAsia="仿宋_GB2312" w:cs="Times New Roman"/>
      <w:kern w:val="0"/>
      <w:sz w:val="24"/>
      <w:szCs w:val="24"/>
      <w:shd w:val="clear" w:color="auto" w:fill="000080"/>
    </w:rPr>
  </w:style>
  <w:style w:type="character" w:customStyle="1" w:styleId="93">
    <w:name w:val="文档结构图 字符"/>
    <w:basedOn w:val="46"/>
    <w:semiHidden/>
    <w:uiPriority w:val="99"/>
    <w:rPr>
      <w:rFonts w:ascii="Microsoft YaHei UI" w:eastAsia="Microsoft YaHei UI"/>
      <w:sz w:val="18"/>
      <w:szCs w:val="18"/>
    </w:rPr>
  </w:style>
  <w:style w:type="character" w:customStyle="1" w:styleId="94">
    <w:name w:val="文档结构图 Char1"/>
    <w:semiHidden/>
    <w:uiPriority w:val="99"/>
    <w:rPr>
      <w:rFonts w:ascii="Microsoft YaHei UI" w:eastAsia="Microsoft YaHei UI"/>
      <w:sz w:val="18"/>
      <w:szCs w:val="18"/>
    </w:rPr>
  </w:style>
  <w:style w:type="paragraph" w:customStyle="1" w:styleId="95">
    <w:name w:val="样式 标题 2 + 首行缩进:  2 字符 段前: 0.5 行 段后: 0.5 行"/>
    <w:basedOn w:val="3"/>
    <w:uiPriority w:val="0"/>
    <w:pPr>
      <w:spacing w:before="50" w:beforeLines="50" w:after="50" w:afterLines="50" w:line="360" w:lineRule="auto"/>
    </w:pPr>
    <w:rPr>
      <w:rFonts w:ascii="Arial" w:hAnsi="Arial" w:eastAsia="黑体" w:cs="宋体"/>
      <w:kern w:val="0"/>
      <w:sz w:val="30"/>
      <w:szCs w:val="20"/>
    </w:rPr>
  </w:style>
  <w:style w:type="paragraph" w:customStyle="1" w:styleId="96">
    <w:name w:val="样式 标题 3 + 首行缩进:  2 字符"/>
    <w:basedOn w:val="4"/>
    <w:qFormat/>
    <w:uiPriority w:val="0"/>
    <w:pPr>
      <w:spacing w:before="0" w:after="0" w:line="360" w:lineRule="auto"/>
    </w:pPr>
    <w:rPr>
      <w:rFonts w:ascii="仿宋_GB2312" w:eastAsia="仿宋_GB2312" w:cs="宋体"/>
      <w:kern w:val="0"/>
      <w:sz w:val="28"/>
      <w:szCs w:val="20"/>
    </w:rPr>
  </w:style>
  <w:style w:type="character" w:customStyle="1" w:styleId="97">
    <w:name w:val="文字 Char"/>
    <w:link w:val="61"/>
    <w:qFormat/>
    <w:uiPriority w:val="0"/>
    <w:rPr>
      <w:rFonts w:ascii="Times New Roman" w:hAnsi="Times New Roman" w:eastAsia="宋体" w:cs="Times New Roman"/>
      <w:kern w:val="0"/>
      <w:sz w:val="24"/>
      <w:szCs w:val="24"/>
    </w:rPr>
  </w:style>
  <w:style w:type="character" w:customStyle="1" w:styleId="98">
    <w:name w:val="正文文本缩进 字符"/>
    <w:basedOn w:val="46"/>
    <w:semiHidden/>
    <w:qFormat/>
    <w:uiPriority w:val="99"/>
  </w:style>
  <w:style w:type="character" w:customStyle="1" w:styleId="99">
    <w:name w:val="正文文本缩进 Char"/>
    <w:basedOn w:val="46"/>
    <w:qFormat/>
    <w:uiPriority w:val="0"/>
  </w:style>
  <w:style w:type="character" w:customStyle="1" w:styleId="100">
    <w:name w:val="正文文本缩进 Char2"/>
    <w:link w:val="20"/>
    <w:uiPriority w:val="0"/>
    <w:rPr>
      <w:rFonts w:ascii="宋体" w:hAnsi="宋体" w:eastAsia="宋体" w:cs="Times New Roman"/>
      <w:kern w:val="0"/>
      <w:sz w:val="24"/>
      <w:szCs w:val="24"/>
    </w:rPr>
  </w:style>
  <w:style w:type="paragraph" w:customStyle="1" w:styleId="101">
    <w:name w:val="l_text"/>
    <w:basedOn w:val="1"/>
    <w:qFormat/>
    <w:uiPriority w:val="0"/>
    <w:pPr>
      <w:overflowPunct w:val="0"/>
      <w:autoSpaceDE w:val="0"/>
      <w:autoSpaceDN w:val="0"/>
      <w:adjustRightInd w:val="0"/>
      <w:spacing w:line="360" w:lineRule="auto"/>
      <w:ind w:left="200" w:leftChars="100" w:right="12" w:rightChars="6" w:firstLine="562"/>
      <w:textAlignment w:val="baseline"/>
    </w:pPr>
    <w:rPr>
      <w:rFonts w:ascii="宋体" w:hAnsi="Times New Roman" w:eastAsia="宋体" w:cs="Times New Roman"/>
      <w:kern w:val="0"/>
      <w:sz w:val="28"/>
      <w:szCs w:val="20"/>
      <w:lang w:val="en-GB"/>
    </w:rPr>
  </w:style>
  <w:style w:type="paragraph" w:customStyle="1" w:styleId="102">
    <w:name w:val="其他表格"/>
    <w:basedOn w:val="1"/>
    <w:qFormat/>
    <w:uiPriority w:val="0"/>
    <w:pPr>
      <w:widowControl/>
      <w:spacing w:line="360" w:lineRule="exact"/>
    </w:pPr>
    <w:rPr>
      <w:rFonts w:ascii="宋体" w:hAnsi="宋体" w:eastAsia="宋体" w:cs="Times New Roman"/>
      <w:kern w:val="0"/>
      <w:sz w:val="28"/>
      <w:szCs w:val="21"/>
    </w:rPr>
  </w:style>
  <w:style w:type="paragraph" w:customStyle="1" w:styleId="103">
    <w:name w:val="样式 表中文字 + 行距: 固定值 14 磅"/>
    <w:basedOn w:val="1"/>
    <w:qFormat/>
    <w:uiPriority w:val="0"/>
    <w:pPr>
      <w:widowControl/>
      <w:adjustRightInd w:val="0"/>
      <w:snapToGrid w:val="0"/>
      <w:spacing w:line="280" w:lineRule="exact"/>
      <w:jc w:val="center"/>
    </w:pPr>
    <w:rPr>
      <w:rFonts w:ascii="Times New Roman" w:hAnsi="Times New Roman" w:eastAsia="华文中宋" w:cs="Times New Roman"/>
      <w:kern w:val="0"/>
      <w:sz w:val="28"/>
      <w:szCs w:val="20"/>
    </w:rPr>
  </w:style>
  <w:style w:type="paragraph" w:customStyle="1" w:styleId="104">
    <w:name w:val="样式 首行缩进:  2 字符"/>
    <w:basedOn w:val="1"/>
    <w:next w:val="1"/>
    <w:qFormat/>
    <w:uiPriority w:val="0"/>
    <w:pPr>
      <w:widowControl/>
      <w:spacing w:line="360" w:lineRule="auto"/>
      <w:ind w:firstLine="560" w:firstLineChars="200"/>
      <w:jc w:val="left"/>
    </w:pPr>
    <w:rPr>
      <w:rFonts w:ascii="Calibri" w:hAnsi="Calibri" w:eastAsia="宋体" w:cs="宋体"/>
      <w:kern w:val="0"/>
      <w:sz w:val="24"/>
      <w:szCs w:val="20"/>
      <w:lang w:bidi="en-US"/>
    </w:rPr>
  </w:style>
  <w:style w:type="character" w:customStyle="1" w:styleId="105">
    <w:name w:val="样式 超链接 + (西文) Arial (中文) 黑体 三号 加粗 自动设置 无下划线"/>
    <w:qFormat/>
    <w:uiPriority w:val="0"/>
    <w:rPr>
      <w:rFonts w:ascii="Arial" w:hAnsi="Arial" w:eastAsia="黑体"/>
      <w:b/>
      <w:bCs/>
      <w:color w:val="auto"/>
      <w:sz w:val="32"/>
      <w:u w:val="none"/>
    </w:rPr>
  </w:style>
  <w:style w:type="character" w:customStyle="1" w:styleId="106">
    <w:name w:val="标题 字符"/>
    <w:basedOn w:val="46"/>
    <w:uiPriority w:val="10"/>
    <w:rPr>
      <w:rFonts w:asciiTheme="majorHAnsi" w:hAnsiTheme="majorHAnsi" w:eastAsiaTheme="majorEastAsia" w:cstheme="majorBidi"/>
      <w:b/>
      <w:bCs/>
      <w:sz w:val="32"/>
      <w:szCs w:val="32"/>
    </w:rPr>
  </w:style>
  <w:style w:type="character" w:customStyle="1" w:styleId="107">
    <w:name w:val="标题 Char1"/>
    <w:link w:val="40"/>
    <w:qFormat/>
    <w:uiPriority w:val="0"/>
    <w:rPr>
      <w:rFonts w:ascii="Cambria" w:hAnsi="Cambria" w:eastAsia="宋体" w:cs="Times New Roman"/>
      <w:b/>
      <w:bCs/>
      <w:kern w:val="28"/>
      <w:sz w:val="32"/>
      <w:szCs w:val="32"/>
      <w:lang w:bidi="en-US"/>
    </w:rPr>
  </w:style>
  <w:style w:type="character" w:customStyle="1" w:styleId="108">
    <w:name w:val="副标题 字符"/>
    <w:basedOn w:val="46"/>
    <w:qFormat/>
    <w:uiPriority w:val="11"/>
    <w:rPr>
      <w:b/>
      <w:bCs/>
      <w:kern w:val="28"/>
      <w:sz w:val="32"/>
      <w:szCs w:val="32"/>
    </w:rPr>
  </w:style>
  <w:style w:type="character" w:customStyle="1" w:styleId="109">
    <w:name w:val="副标题 Char1"/>
    <w:link w:val="32"/>
    <w:qFormat/>
    <w:uiPriority w:val="0"/>
    <w:rPr>
      <w:rFonts w:ascii="Cambria" w:hAnsi="Cambria" w:eastAsia="宋体" w:cs="Times New Roman"/>
      <w:kern w:val="0"/>
      <w:sz w:val="24"/>
      <w:szCs w:val="24"/>
      <w:lang w:bidi="en-US"/>
    </w:rPr>
  </w:style>
  <w:style w:type="paragraph" w:styleId="110">
    <w:name w:val="No Spacing"/>
    <w:basedOn w:val="1"/>
    <w:link w:val="111"/>
    <w:qFormat/>
    <w:uiPriority w:val="0"/>
    <w:pPr>
      <w:widowControl/>
      <w:jc w:val="center"/>
    </w:pPr>
    <w:rPr>
      <w:rFonts w:ascii="Calibri" w:hAnsi="Calibri" w:eastAsia="宋体" w:cs="Times New Roman"/>
      <w:kern w:val="0"/>
      <w:sz w:val="24"/>
      <w:szCs w:val="24"/>
      <w:lang w:bidi="en-US"/>
    </w:rPr>
  </w:style>
  <w:style w:type="character" w:customStyle="1" w:styleId="111">
    <w:name w:val="无间隔 Char1"/>
    <w:link w:val="110"/>
    <w:qFormat/>
    <w:uiPriority w:val="0"/>
    <w:rPr>
      <w:rFonts w:ascii="Calibri" w:hAnsi="Calibri" w:eastAsia="宋体" w:cs="Times New Roman"/>
      <w:kern w:val="0"/>
      <w:sz w:val="24"/>
      <w:szCs w:val="24"/>
      <w:lang w:bidi="en-US"/>
    </w:rPr>
  </w:style>
  <w:style w:type="paragraph" w:styleId="112">
    <w:name w:val="Quote"/>
    <w:basedOn w:val="1"/>
    <w:next w:val="1"/>
    <w:link w:val="114"/>
    <w:qFormat/>
    <w:uiPriority w:val="0"/>
    <w:pPr>
      <w:widowControl/>
      <w:spacing w:line="360" w:lineRule="auto"/>
      <w:ind w:firstLine="200" w:firstLineChars="200"/>
      <w:jc w:val="left"/>
    </w:pPr>
    <w:rPr>
      <w:rFonts w:ascii="Calibri" w:hAnsi="Calibri" w:eastAsia="宋体" w:cs="Times New Roman"/>
      <w:i/>
      <w:kern w:val="0"/>
      <w:sz w:val="24"/>
      <w:szCs w:val="24"/>
      <w:lang w:bidi="en-US"/>
    </w:rPr>
  </w:style>
  <w:style w:type="character" w:customStyle="1" w:styleId="113">
    <w:name w:val="引用 字符"/>
    <w:basedOn w:val="46"/>
    <w:qFormat/>
    <w:uiPriority w:val="29"/>
    <w:rPr>
      <w:i/>
      <w:iCs/>
      <w:color w:val="404040" w:themeColor="text1" w:themeTint="BF"/>
      <w14:textFill>
        <w14:solidFill>
          <w14:schemeClr w14:val="tx1">
            <w14:lumMod w14:val="75000"/>
            <w14:lumOff w14:val="25000"/>
          </w14:schemeClr>
        </w14:solidFill>
      </w14:textFill>
    </w:rPr>
  </w:style>
  <w:style w:type="character" w:customStyle="1" w:styleId="114">
    <w:name w:val="引用 Char1"/>
    <w:link w:val="112"/>
    <w:qFormat/>
    <w:uiPriority w:val="0"/>
    <w:rPr>
      <w:rFonts w:ascii="Calibri" w:hAnsi="Calibri" w:eastAsia="宋体" w:cs="Times New Roman"/>
      <w:i/>
      <w:kern w:val="0"/>
      <w:sz w:val="24"/>
      <w:szCs w:val="24"/>
      <w:lang w:bidi="en-US"/>
    </w:rPr>
  </w:style>
  <w:style w:type="paragraph" w:styleId="115">
    <w:name w:val="Intense Quote"/>
    <w:basedOn w:val="1"/>
    <w:next w:val="1"/>
    <w:link w:val="117"/>
    <w:qFormat/>
    <w:uiPriority w:val="0"/>
    <w:pPr>
      <w:widowControl/>
      <w:spacing w:line="360" w:lineRule="auto"/>
      <w:ind w:left="720" w:right="720" w:firstLine="200" w:firstLineChars="200"/>
      <w:jc w:val="left"/>
    </w:pPr>
    <w:rPr>
      <w:rFonts w:ascii="Calibri" w:hAnsi="Calibri" w:eastAsia="宋体" w:cs="Times New Roman"/>
      <w:b/>
      <w:i/>
      <w:kern w:val="0"/>
      <w:sz w:val="24"/>
      <w:szCs w:val="28"/>
      <w:lang w:bidi="en-US"/>
    </w:rPr>
  </w:style>
  <w:style w:type="character" w:customStyle="1" w:styleId="116">
    <w:name w:val="明显引用 字符"/>
    <w:basedOn w:val="46"/>
    <w:qFormat/>
    <w:uiPriority w:val="30"/>
    <w:rPr>
      <w:i/>
      <w:iCs/>
      <w:color w:val="4F81BD" w:themeColor="accent1"/>
      <w14:textFill>
        <w14:solidFill>
          <w14:schemeClr w14:val="accent1"/>
        </w14:solidFill>
      </w14:textFill>
    </w:rPr>
  </w:style>
  <w:style w:type="character" w:customStyle="1" w:styleId="117">
    <w:name w:val="明显引用 Char1"/>
    <w:link w:val="115"/>
    <w:qFormat/>
    <w:uiPriority w:val="0"/>
    <w:rPr>
      <w:rFonts w:ascii="Calibri" w:hAnsi="Calibri" w:eastAsia="宋体" w:cs="Times New Roman"/>
      <w:b/>
      <w:i/>
      <w:kern w:val="0"/>
      <w:sz w:val="24"/>
      <w:szCs w:val="28"/>
      <w:lang w:bidi="en-US"/>
    </w:rPr>
  </w:style>
  <w:style w:type="character" w:customStyle="1" w:styleId="118">
    <w:name w:val="Subtle Emphasis"/>
    <w:qFormat/>
    <w:uiPriority w:val="0"/>
    <w:rPr>
      <w:i/>
      <w:color w:val="5A5A5A"/>
    </w:rPr>
  </w:style>
  <w:style w:type="character" w:customStyle="1" w:styleId="119">
    <w:name w:val="Intense Emphasis"/>
    <w:qFormat/>
    <w:uiPriority w:val="0"/>
    <w:rPr>
      <w:b/>
      <w:i/>
      <w:sz w:val="24"/>
      <w:szCs w:val="24"/>
      <w:u w:val="single"/>
    </w:rPr>
  </w:style>
  <w:style w:type="character" w:customStyle="1" w:styleId="120">
    <w:name w:val="Subtle Reference"/>
    <w:qFormat/>
    <w:uiPriority w:val="0"/>
    <w:rPr>
      <w:sz w:val="24"/>
      <w:szCs w:val="24"/>
      <w:u w:val="single"/>
    </w:rPr>
  </w:style>
  <w:style w:type="character" w:customStyle="1" w:styleId="121">
    <w:name w:val="Intense Reference"/>
    <w:qFormat/>
    <w:uiPriority w:val="0"/>
    <w:rPr>
      <w:b/>
      <w:sz w:val="24"/>
      <w:u w:val="single"/>
    </w:rPr>
  </w:style>
  <w:style w:type="character" w:customStyle="1" w:styleId="122">
    <w:name w:val="Book Title"/>
    <w:qFormat/>
    <w:uiPriority w:val="0"/>
    <w:rPr>
      <w:rFonts w:ascii="Cambria" w:hAnsi="Cambria" w:eastAsia="宋体"/>
      <w:b/>
      <w:i/>
      <w:sz w:val="24"/>
      <w:szCs w:val="24"/>
    </w:rPr>
  </w:style>
  <w:style w:type="paragraph" w:customStyle="1" w:styleId="123">
    <w:name w:val="TOC Heading"/>
    <w:basedOn w:val="2"/>
    <w:next w:val="1"/>
    <w:qFormat/>
    <w:uiPriority w:val="39"/>
    <w:pPr>
      <w:keepLines w:val="0"/>
      <w:widowControl/>
      <w:spacing w:before="240" w:after="60" w:line="360" w:lineRule="auto"/>
      <w:ind w:firstLine="200" w:firstLineChars="200"/>
      <w:jc w:val="left"/>
      <w:outlineLvl w:val="9"/>
    </w:pPr>
    <w:rPr>
      <w:rFonts w:ascii="Cambria" w:hAnsi="Cambria" w:eastAsia="宋体" w:cs="Times New Roman"/>
      <w:kern w:val="32"/>
      <w:sz w:val="32"/>
      <w:szCs w:val="32"/>
      <w:lang w:bidi="en-US"/>
    </w:rPr>
  </w:style>
  <w:style w:type="character" w:customStyle="1" w:styleId="124">
    <w:name w:val="纯文本 字符"/>
    <w:basedOn w:val="46"/>
    <w:semiHidden/>
    <w:qFormat/>
    <w:uiPriority w:val="99"/>
    <w:rPr>
      <w:rFonts w:hAnsi="Courier New" w:cs="Courier New" w:asciiTheme="minorEastAsia"/>
    </w:rPr>
  </w:style>
  <w:style w:type="character" w:customStyle="1" w:styleId="125">
    <w:name w:val="纯文本 Char1"/>
    <w:link w:val="23"/>
    <w:qFormat/>
    <w:uiPriority w:val="0"/>
    <w:rPr>
      <w:rFonts w:ascii="宋体" w:hAnsi="Courier New" w:eastAsia="宋体" w:cs="Courier New"/>
      <w:kern w:val="0"/>
      <w:sz w:val="28"/>
      <w:szCs w:val="21"/>
    </w:rPr>
  </w:style>
  <w:style w:type="character" w:customStyle="1" w:styleId="126">
    <w:name w:val="content1"/>
    <w:qFormat/>
    <w:uiPriority w:val="0"/>
    <w:rPr>
      <w:sz w:val="21"/>
      <w:szCs w:val="21"/>
    </w:rPr>
  </w:style>
  <w:style w:type="character" w:customStyle="1" w:styleId="127">
    <w:name w:val="正文文本 字符"/>
    <w:basedOn w:val="46"/>
    <w:semiHidden/>
    <w:qFormat/>
    <w:uiPriority w:val="99"/>
  </w:style>
  <w:style w:type="character" w:customStyle="1" w:styleId="128">
    <w:name w:val="正文文本 Char1"/>
    <w:link w:val="19"/>
    <w:qFormat/>
    <w:uiPriority w:val="0"/>
    <w:rPr>
      <w:rFonts w:ascii="Times New Roman" w:hAnsi="Times New Roman" w:eastAsia="宋体" w:cs="Times New Roman"/>
      <w:kern w:val="0"/>
      <w:sz w:val="24"/>
      <w:szCs w:val="24"/>
    </w:rPr>
  </w:style>
  <w:style w:type="character" w:customStyle="1" w:styleId="129">
    <w:name w:val="正文首行缩进 Char"/>
    <w:qFormat/>
    <w:uiPriority w:val="0"/>
    <w:rPr>
      <w:rFonts w:ascii="Times New Roman" w:hAnsi="Times New Roman" w:eastAsia="宋体" w:cs="Times New Roman"/>
      <w:sz w:val="24"/>
      <w:szCs w:val="24"/>
    </w:rPr>
  </w:style>
  <w:style w:type="character" w:customStyle="1" w:styleId="130">
    <w:name w:val="正文首行缩进 Char1"/>
    <w:uiPriority w:val="0"/>
    <w:rPr>
      <w:rFonts w:ascii="Times New Roman" w:hAnsi="Times New Roman" w:eastAsia="宋体" w:cs="Times New Roman"/>
      <w:sz w:val="28"/>
      <w:szCs w:val="24"/>
    </w:rPr>
  </w:style>
  <w:style w:type="paragraph" w:customStyle="1" w:styleId="131">
    <w:name w:val="样式 标题 3 + 小四 段前: 0 磅 段后: 0 磅"/>
    <w:basedOn w:val="4"/>
    <w:qFormat/>
    <w:uiPriority w:val="0"/>
    <w:pPr>
      <w:widowControl/>
      <w:spacing w:before="100" w:beforeAutospacing="1" w:after="100" w:afterAutospacing="1" w:line="360" w:lineRule="auto"/>
      <w:ind w:left="942" w:firstLine="200" w:firstLineChars="200"/>
      <w:jc w:val="left"/>
    </w:pPr>
    <w:rPr>
      <w:rFonts w:ascii="宋体" w:hAnsi="宋体" w:eastAsia="宋体" w:cs="宋体"/>
      <w:kern w:val="0"/>
      <w:sz w:val="28"/>
      <w:szCs w:val="28"/>
      <w:lang w:bidi="en-US"/>
    </w:rPr>
  </w:style>
  <w:style w:type="character" w:customStyle="1" w:styleId="132">
    <w:name w:val="正文文本 3 Char2"/>
    <w:link w:val="18"/>
    <w:semiHidden/>
    <w:uiPriority w:val="0"/>
    <w:rPr>
      <w:rFonts w:ascii="Calibri" w:hAnsi="Calibri" w:eastAsia="宋体" w:cs="Times New Roman"/>
      <w:kern w:val="0"/>
      <w:sz w:val="16"/>
      <w:szCs w:val="16"/>
      <w:lang w:bidi="en-US"/>
    </w:rPr>
  </w:style>
  <w:style w:type="character" w:customStyle="1" w:styleId="133">
    <w:name w:val="正文文本 3 字符"/>
    <w:basedOn w:val="46"/>
    <w:semiHidden/>
    <w:qFormat/>
    <w:uiPriority w:val="99"/>
    <w:rPr>
      <w:sz w:val="16"/>
      <w:szCs w:val="16"/>
    </w:rPr>
  </w:style>
  <w:style w:type="character" w:customStyle="1" w:styleId="134">
    <w:name w:val="正文文本 3 Char1"/>
    <w:semiHidden/>
    <w:qFormat/>
    <w:uiPriority w:val="99"/>
    <w:rPr>
      <w:sz w:val="16"/>
      <w:szCs w:val="16"/>
    </w:rPr>
  </w:style>
  <w:style w:type="character" w:customStyle="1" w:styleId="135">
    <w:name w:val="正文文本缩进 3 Char2"/>
    <w:link w:val="35"/>
    <w:semiHidden/>
    <w:qFormat/>
    <w:uiPriority w:val="0"/>
    <w:rPr>
      <w:rFonts w:ascii="Calibri" w:hAnsi="Calibri" w:eastAsia="宋体" w:cs="Times New Roman"/>
      <w:kern w:val="0"/>
      <w:sz w:val="16"/>
      <w:szCs w:val="16"/>
      <w:lang w:bidi="en-US"/>
    </w:rPr>
  </w:style>
  <w:style w:type="character" w:customStyle="1" w:styleId="136">
    <w:name w:val="正文文本缩进 3 字符"/>
    <w:basedOn w:val="46"/>
    <w:semiHidden/>
    <w:uiPriority w:val="99"/>
    <w:rPr>
      <w:sz w:val="16"/>
      <w:szCs w:val="16"/>
    </w:rPr>
  </w:style>
  <w:style w:type="character" w:customStyle="1" w:styleId="137">
    <w:name w:val="正文文本缩进 3 Char1"/>
    <w:semiHidden/>
    <w:qFormat/>
    <w:uiPriority w:val="99"/>
    <w:rPr>
      <w:sz w:val="16"/>
      <w:szCs w:val="16"/>
    </w:rPr>
  </w:style>
  <w:style w:type="character" w:customStyle="1" w:styleId="138">
    <w:name w:val="正文文本缩进 2 Char2"/>
    <w:link w:val="26"/>
    <w:semiHidden/>
    <w:uiPriority w:val="0"/>
    <w:rPr>
      <w:rFonts w:ascii="Times New Roman" w:hAnsi="Times New Roman" w:eastAsia="宋体" w:cs="Times New Roman"/>
      <w:sz w:val="28"/>
      <w:szCs w:val="24"/>
    </w:rPr>
  </w:style>
  <w:style w:type="character" w:customStyle="1" w:styleId="139">
    <w:name w:val="正文文本缩进 2 字符"/>
    <w:basedOn w:val="46"/>
    <w:semiHidden/>
    <w:qFormat/>
    <w:uiPriority w:val="99"/>
  </w:style>
  <w:style w:type="character" w:customStyle="1" w:styleId="140">
    <w:name w:val="正文文本缩进 2 Char1"/>
    <w:basedOn w:val="46"/>
    <w:semiHidden/>
    <w:qFormat/>
    <w:uiPriority w:val="99"/>
  </w:style>
  <w:style w:type="character" w:customStyle="1" w:styleId="141">
    <w:name w:val="正文文本 2 Char2"/>
    <w:link w:val="38"/>
    <w:semiHidden/>
    <w:qFormat/>
    <w:uiPriority w:val="0"/>
    <w:rPr>
      <w:rFonts w:ascii="Calibri" w:hAnsi="Calibri" w:eastAsia="宋体" w:cs="Times New Roman"/>
      <w:kern w:val="0"/>
      <w:sz w:val="24"/>
      <w:szCs w:val="24"/>
      <w:lang w:bidi="en-US"/>
    </w:rPr>
  </w:style>
  <w:style w:type="character" w:customStyle="1" w:styleId="142">
    <w:name w:val="正文文本 2 字符"/>
    <w:basedOn w:val="46"/>
    <w:semiHidden/>
    <w:qFormat/>
    <w:uiPriority w:val="99"/>
  </w:style>
  <w:style w:type="character" w:customStyle="1" w:styleId="143">
    <w:name w:val="正文文本 2 Char1"/>
    <w:basedOn w:val="46"/>
    <w:semiHidden/>
    <w:qFormat/>
    <w:uiPriority w:val="99"/>
  </w:style>
  <w:style w:type="paragraph" w:customStyle="1" w:styleId="144">
    <w:name w:val="样式1"/>
    <w:basedOn w:val="2"/>
    <w:next w:val="12"/>
    <w:qFormat/>
    <w:uiPriority w:val="0"/>
    <w:pPr>
      <w:widowControl/>
      <w:tabs>
        <w:tab w:val="left" w:pos="432"/>
      </w:tabs>
      <w:spacing w:before="240" w:after="240" w:line="360" w:lineRule="auto"/>
      <w:ind w:left="432" w:hanging="432" w:firstLineChars="200"/>
      <w:jc w:val="left"/>
    </w:pPr>
    <w:rPr>
      <w:rFonts w:ascii="Calibri" w:hAnsi="Calibri" w:eastAsia="黑体" w:cs="Times New Roman"/>
      <w:bCs w:val="0"/>
      <w:sz w:val="32"/>
      <w:lang w:bidi="en-US"/>
    </w:rPr>
  </w:style>
  <w:style w:type="character" w:customStyle="1" w:styleId="145">
    <w:name w:val="注释标题 字符"/>
    <w:basedOn w:val="46"/>
    <w:semiHidden/>
    <w:qFormat/>
    <w:uiPriority w:val="99"/>
  </w:style>
  <w:style w:type="character" w:customStyle="1" w:styleId="146">
    <w:name w:val="注释标题 Char1"/>
    <w:link w:val="12"/>
    <w:semiHidden/>
    <w:qFormat/>
    <w:uiPriority w:val="0"/>
    <w:rPr>
      <w:rFonts w:ascii="Times New Roman" w:hAnsi="Times New Roman" w:eastAsia="宋体" w:cs="Times New Roman"/>
      <w:kern w:val="0"/>
      <w:sz w:val="28"/>
      <w:szCs w:val="24"/>
    </w:rPr>
  </w:style>
  <w:style w:type="paragraph" w:customStyle="1" w:styleId="147">
    <w:name w:val="样式2"/>
    <w:basedOn w:val="28"/>
    <w:next w:val="144"/>
    <w:qFormat/>
    <w:uiPriority w:val="0"/>
    <w:rPr>
      <w:rFonts w:ascii="Times New Roman" w:hAnsi="Times New Roman" w:eastAsia="宋体" w:cs="Times New Roman"/>
      <w:kern w:val="0"/>
    </w:rPr>
  </w:style>
  <w:style w:type="character" w:customStyle="1" w:styleId="148">
    <w:name w:val="批注框文本 Char"/>
    <w:semiHidden/>
    <w:qFormat/>
    <w:uiPriority w:val="99"/>
    <w:rPr>
      <w:rFonts w:ascii="Calibri" w:hAnsi="Calibri" w:eastAsia="宋体" w:cs="Times New Roman"/>
      <w:kern w:val="0"/>
      <w:sz w:val="18"/>
      <w:szCs w:val="18"/>
      <w:lang w:bidi="en-US"/>
    </w:rPr>
  </w:style>
  <w:style w:type="character" w:customStyle="1" w:styleId="149">
    <w:name w:val="批注框文本 Char1"/>
    <w:semiHidden/>
    <w:qFormat/>
    <w:uiPriority w:val="99"/>
    <w:rPr>
      <w:sz w:val="18"/>
      <w:szCs w:val="18"/>
    </w:rPr>
  </w:style>
  <w:style w:type="character" w:customStyle="1" w:styleId="150">
    <w:name w:val="正文首行缩进 2 Char"/>
    <w:link w:val="78"/>
    <w:qFormat/>
    <w:uiPriority w:val="0"/>
    <w:rPr>
      <w:rFonts w:ascii="Calibri" w:hAnsi="Calibri" w:eastAsia="宋体" w:cs="Times New Roman"/>
      <w:kern w:val="0"/>
      <w:sz w:val="24"/>
      <w:szCs w:val="24"/>
      <w:lang w:bidi="en-US"/>
    </w:rPr>
  </w:style>
  <w:style w:type="character" w:customStyle="1" w:styleId="151">
    <w:name w:val="nine2"/>
    <w:basedOn w:val="46"/>
    <w:qFormat/>
    <w:uiPriority w:val="0"/>
  </w:style>
  <w:style w:type="paragraph" w:customStyle="1" w:styleId="152">
    <w:name w:val="表格1"/>
    <w:basedOn w:val="1"/>
    <w:qFormat/>
    <w:uiPriority w:val="0"/>
    <w:pPr>
      <w:wordWrap w:val="0"/>
      <w:spacing w:before="24" w:after="24"/>
      <w:jc w:val="center"/>
    </w:pPr>
    <w:rPr>
      <w:rFonts w:ascii="Times New Roman" w:hAnsi="Times New Roman" w:eastAsia="宋体" w:cs="Times New Roman"/>
      <w:kern w:val="0"/>
      <w:sz w:val="24"/>
      <w:szCs w:val="21"/>
    </w:rPr>
  </w:style>
  <w:style w:type="paragraph" w:customStyle="1" w:styleId="153">
    <w:name w:val="表格2"/>
    <w:basedOn w:val="20"/>
    <w:qFormat/>
    <w:uiPriority w:val="0"/>
    <w:pPr>
      <w:spacing w:before="20" w:after="20" w:line="240" w:lineRule="auto"/>
      <w:ind w:firstLine="0" w:firstLineChars="0"/>
      <w:jc w:val="center"/>
      <w:outlineLvl w:val="0"/>
    </w:pPr>
    <w:rPr>
      <w:rFonts w:ascii="Times New Roman" w:hAnsi="Times New Roman"/>
    </w:rPr>
  </w:style>
  <w:style w:type="paragraph" w:customStyle="1" w:styleId="154">
    <w:name w:val="表头"/>
    <w:basedOn w:val="1"/>
    <w:qFormat/>
    <w:uiPriority w:val="0"/>
    <w:pPr>
      <w:adjustRightInd w:val="0"/>
      <w:snapToGrid w:val="0"/>
      <w:spacing w:before="120" w:after="60"/>
      <w:jc w:val="center"/>
    </w:pPr>
    <w:rPr>
      <w:rFonts w:ascii="Times New Roman" w:hAnsi="Times New Roman" w:eastAsia="宋体" w:cs="Times New Roman"/>
      <w:b/>
      <w:kern w:val="0"/>
      <w:sz w:val="24"/>
      <w:szCs w:val="24"/>
    </w:rPr>
  </w:style>
  <w:style w:type="paragraph" w:customStyle="1" w:styleId="155">
    <w:name w:val="样式 正文首行缩进 + 首行缩进:  2 字符2"/>
    <w:basedOn w:val="42"/>
    <w:qFormat/>
    <w:uiPriority w:val="0"/>
    <w:pPr>
      <w:spacing w:after="0" w:line="460" w:lineRule="exact"/>
      <w:ind w:firstLine="480" w:firstLineChars="200"/>
      <w:jc w:val="left"/>
    </w:pPr>
    <w:rPr>
      <w:rFonts w:ascii="Times New Roman" w:hAnsi="Times New Roman" w:eastAsia="宋体" w:cs="宋体"/>
      <w:kern w:val="0"/>
      <w:sz w:val="24"/>
      <w:szCs w:val="24"/>
    </w:rPr>
  </w:style>
  <w:style w:type="paragraph" w:customStyle="1" w:styleId="156">
    <w:name w:val="xl31"/>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character" w:customStyle="1" w:styleId="157">
    <w:name w:val="样式"/>
    <w:qFormat/>
    <w:uiPriority w:val="0"/>
    <w:rPr>
      <w:rFonts w:eastAsia="宋体"/>
    </w:rPr>
  </w:style>
  <w:style w:type="paragraph" w:customStyle="1" w:styleId="158">
    <w:name w:val="正文文字缩进"/>
    <w:basedOn w:val="1"/>
    <w:qFormat/>
    <w:uiPriority w:val="0"/>
    <w:pPr>
      <w:spacing w:after="120"/>
      <w:ind w:left="420" w:leftChars="200"/>
    </w:pPr>
    <w:rPr>
      <w:rFonts w:ascii="Times New Roman" w:hAnsi="Times New Roman" w:eastAsia="宋体" w:cs="Times New Roman"/>
      <w:kern w:val="0"/>
      <w:sz w:val="28"/>
      <w:szCs w:val="21"/>
    </w:rPr>
  </w:style>
  <w:style w:type="paragraph" w:customStyle="1" w:styleId="159">
    <w:name w:val="样式 正文首行缩进 + 首行缩进:  2 字符1"/>
    <w:basedOn w:val="42"/>
    <w:qFormat/>
    <w:uiPriority w:val="0"/>
    <w:pPr>
      <w:spacing w:after="0" w:line="440" w:lineRule="exact"/>
      <w:ind w:firstLine="480" w:firstLineChars="200"/>
    </w:pPr>
    <w:rPr>
      <w:rFonts w:ascii="宋体" w:hAnsi="宋体" w:eastAsia="宋体" w:cs="Times New Roman"/>
      <w:kern w:val="0"/>
      <w:sz w:val="24"/>
      <w:szCs w:val="20"/>
    </w:rPr>
  </w:style>
  <w:style w:type="paragraph" w:customStyle="1" w:styleId="160">
    <w:name w:val="正文文字 3"/>
    <w:basedOn w:val="1"/>
    <w:qFormat/>
    <w:uiPriority w:val="0"/>
    <w:pPr>
      <w:widowControl/>
      <w:spacing w:after="120" w:line="360" w:lineRule="auto"/>
      <w:ind w:firstLine="200" w:firstLineChars="200"/>
      <w:jc w:val="left"/>
    </w:pPr>
    <w:rPr>
      <w:rFonts w:ascii="Times New Roman" w:hAnsi="Times New Roman" w:eastAsia="宋体" w:cs="Times New Roman"/>
      <w:kern w:val="0"/>
      <w:sz w:val="16"/>
      <w:szCs w:val="16"/>
      <w:lang w:eastAsia="en-US"/>
    </w:rPr>
  </w:style>
  <w:style w:type="paragraph" w:customStyle="1" w:styleId="161">
    <w:name w:val="样式 首行缩进:  0.99 厘米"/>
    <w:basedOn w:val="1"/>
    <w:qFormat/>
    <w:uiPriority w:val="0"/>
    <w:pPr>
      <w:spacing w:line="420" w:lineRule="exact"/>
      <w:ind w:firstLine="567"/>
    </w:pPr>
    <w:rPr>
      <w:rFonts w:ascii="Times New Roman" w:hAnsi="Times New Roman" w:eastAsia="宋体" w:cs="宋体"/>
      <w:kern w:val="0"/>
      <w:sz w:val="24"/>
      <w:szCs w:val="20"/>
    </w:rPr>
  </w:style>
  <w:style w:type="paragraph" w:customStyle="1" w:styleId="162">
    <w:name w:val="图框"/>
    <w:basedOn w:val="3"/>
    <w:qFormat/>
    <w:uiPriority w:val="0"/>
    <w:pPr>
      <w:autoSpaceDE w:val="0"/>
      <w:autoSpaceDN w:val="0"/>
      <w:adjustRightInd w:val="0"/>
      <w:spacing w:before="20" w:after="20" w:line="240" w:lineRule="auto"/>
      <w:jc w:val="center"/>
    </w:pPr>
    <w:rPr>
      <w:rFonts w:eastAsia="宋体" w:cs="Times New Roman"/>
      <w:b w:val="0"/>
      <w:bCs w:val="0"/>
      <w:color w:val="000000"/>
      <w:kern w:val="0"/>
      <w:sz w:val="24"/>
      <w:szCs w:val="20"/>
    </w:rPr>
  </w:style>
  <w:style w:type="paragraph" w:customStyle="1" w:styleId="163">
    <w:name w:val="文本框"/>
    <w:basedOn w:val="1"/>
    <w:qFormat/>
    <w:uiPriority w:val="0"/>
    <w:pPr>
      <w:adjustRightInd w:val="0"/>
      <w:spacing w:before="20" w:after="20"/>
      <w:jc w:val="center"/>
    </w:pPr>
    <w:rPr>
      <w:rFonts w:ascii="Times New Roman" w:hAnsi="Times New Roman" w:eastAsia="宋体" w:cs="Times New Roman"/>
      <w:spacing w:val="20"/>
      <w:kern w:val="0"/>
      <w:sz w:val="24"/>
      <w:szCs w:val="24"/>
    </w:rPr>
  </w:style>
  <w:style w:type="character" w:customStyle="1" w:styleId="164">
    <w:name w:val="样式 标题 3 + 宋体 小四 非加粗 蓝色 Char"/>
    <w:uiPriority w:val="0"/>
    <w:rPr>
      <w:rFonts w:ascii="宋体" w:hAnsi="宋体" w:eastAsia="宋体"/>
      <w:b/>
      <w:color w:val="0000FF"/>
      <w:kern w:val="2"/>
      <w:sz w:val="28"/>
      <w:szCs w:val="28"/>
      <w:lang w:val="en-US" w:eastAsia="zh-CN" w:bidi="ar-SA"/>
    </w:rPr>
  </w:style>
  <w:style w:type="paragraph" w:customStyle="1" w:styleId="165">
    <w:name w:val="样式 标题 1 + (符号) 宋体"/>
    <w:basedOn w:val="2"/>
    <w:uiPriority w:val="0"/>
    <w:pPr>
      <w:spacing w:before="50" w:beforeLines="50" w:after="50" w:afterLines="50" w:line="240" w:lineRule="auto"/>
    </w:pPr>
    <w:rPr>
      <w:rFonts w:ascii="黑体" w:hAnsi="Arial" w:eastAsia="黑体" w:cs="Times New Roman"/>
      <w:sz w:val="30"/>
      <w:szCs w:val="32"/>
    </w:rPr>
  </w:style>
  <w:style w:type="character" w:customStyle="1" w:styleId="166">
    <w:name w:val="样式 样式 宋体 四号 黑色 + Times New Roman 小四 加粗 自动设置"/>
    <w:uiPriority w:val="0"/>
    <w:rPr>
      <w:rFonts w:ascii="Times New Roman" w:hAnsi="Times New Roman"/>
      <w:b/>
      <w:bCs/>
      <w:color w:val="auto"/>
      <w:sz w:val="28"/>
    </w:rPr>
  </w:style>
  <w:style w:type="paragraph" w:customStyle="1" w:styleId="167">
    <w:name w:val="列表-4"/>
    <w:basedOn w:val="1"/>
    <w:qFormat/>
    <w:uiPriority w:val="0"/>
    <w:pPr>
      <w:spacing w:line="400" w:lineRule="atLeast"/>
    </w:pPr>
    <w:rPr>
      <w:rFonts w:ascii="Times New Roman" w:hAnsi="Times New Roman" w:eastAsia="宋体" w:cs="Times New Roman"/>
      <w:kern w:val="0"/>
      <w:sz w:val="24"/>
      <w:szCs w:val="20"/>
    </w:rPr>
  </w:style>
  <w:style w:type="paragraph" w:customStyle="1" w:styleId="168">
    <w:name w:val="1"/>
    <w:basedOn w:val="1"/>
    <w:next w:val="13"/>
    <w:qFormat/>
    <w:uiPriority w:val="0"/>
    <w:pPr>
      <w:spacing w:line="360" w:lineRule="auto"/>
      <w:ind w:firstLine="561"/>
    </w:pPr>
    <w:rPr>
      <w:rFonts w:ascii="Times New Roman" w:hAnsi="Times New Roman" w:eastAsia="宋体" w:cs="Times New Roman"/>
      <w:color w:val="000000"/>
      <w:kern w:val="0"/>
      <w:sz w:val="24"/>
      <w:szCs w:val="28"/>
    </w:rPr>
  </w:style>
  <w:style w:type="paragraph" w:customStyle="1" w:styleId="169">
    <w:name w:val="样式 正文首行缩进 + 首行缩进:  2 字符"/>
    <w:basedOn w:val="42"/>
    <w:qFormat/>
    <w:uiPriority w:val="0"/>
    <w:pPr>
      <w:spacing w:after="0" w:line="420" w:lineRule="exact"/>
      <w:ind w:firstLine="200" w:firstLineChars="200"/>
      <w:jc w:val="left"/>
    </w:pPr>
    <w:rPr>
      <w:rFonts w:ascii="Times New Roman" w:hAnsi="Times New Roman" w:eastAsia="宋体" w:cs="宋体"/>
      <w:kern w:val="0"/>
      <w:sz w:val="24"/>
      <w:szCs w:val="20"/>
    </w:rPr>
  </w:style>
  <w:style w:type="paragraph" w:customStyle="1" w:styleId="170">
    <w:name w:val="样式 正文首行缩进 + 黑色"/>
    <w:basedOn w:val="42"/>
    <w:qFormat/>
    <w:uiPriority w:val="0"/>
    <w:pPr>
      <w:spacing w:after="0" w:line="420" w:lineRule="exact"/>
      <w:ind w:firstLine="200" w:firstLineChars="200"/>
      <w:jc w:val="left"/>
    </w:pPr>
    <w:rPr>
      <w:rFonts w:ascii="Times New Roman" w:hAnsi="Times New Roman" w:eastAsia="宋体" w:cs="Times New Roman"/>
      <w:color w:val="000000"/>
      <w:kern w:val="0"/>
      <w:sz w:val="24"/>
      <w:szCs w:val="28"/>
    </w:rPr>
  </w:style>
  <w:style w:type="character" w:customStyle="1" w:styleId="171">
    <w:name w:val="样式 正文首行缩进 + 黑色 Char"/>
    <w:qFormat/>
    <w:uiPriority w:val="0"/>
    <w:rPr>
      <w:rFonts w:ascii="Times New Roman" w:hAnsi="Times New Roman" w:eastAsia="宋体" w:cs="Times New Roman"/>
      <w:color w:val="000000"/>
      <w:kern w:val="2"/>
      <w:sz w:val="24"/>
      <w:szCs w:val="28"/>
      <w:lang w:val="en-US" w:eastAsia="zh-CN" w:bidi="ar-SA"/>
    </w:rPr>
  </w:style>
  <w:style w:type="paragraph" w:customStyle="1" w:styleId="172">
    <w:name w:val="样式 样式 标题 3 + 段前: 1 行 段后: 6 磅 + 段前: 0.1 行 段后: 0.1 行"/>
    <w:basedOn w:val="1"/>
    <w:qFormat/>
    <w:uiPriority w:val="0"/>
    <w:pPr>
      <w:keepNext/>
      <w:keepLines/>
      <w:adjustRightInd w:val="0"/>
      <w:spacing w:before="80" w:beforeLines="80" w:line="360" w:lineRule="auto"/>
      <w:textAlignment w:val="baseline"/>
      <w:outlineLvl w:val="2"/>
    </w:pPr>
    <w:rPr>
      <w:rFonts w:ascii="Times New Roman" w:hAnsi="Times New Roman" w:eastAsia="宋体" w:cs="Times New Roman"/>
      <w:b/>
      <w:bCs/>
      <w:kern w:val="0"/>
      <w:sz w:val="24"/>
      <w:szCs w:val="20"/>
    </w:rPr>
  </w:style>
  <w:style w:type="paragraph" w:customStyle="1" w:styleId="173">
    <w:name w:val="样式 标题 2 + (中文) 宋体 蓝色"/>
    <w:basedOn w:val="3"/>
    <w:qFormat/>
    <w:uiPriority w:val="0"/>
    <w:pPr>
      <w:adjustRightInd w:val="0"/>
      <w:spacing w:before="100" w:beforeAutospacing="1" w:after="0" w:line="360" w:lineRule="auto"/>
      <w:textAlignment w:val="baseline"/>
    </w:pPr>
    <w:rPr>
      <w:rFonts w:ascii="黑体" w:eastAsia="黑体" w:cs="Times New Roman"/>
      <w:sz w:val="30"/>
      <w:szCs w:val="30"/>
    </w:rPr>
  </w:style>
  <w:style w:type="paragraph" w:customStyle="1" w:styleId="174">
    <w:name w:val="表格-01"/>
    <w:basedOn w:val="1"/>
    <w:qFormat/>
    <w:uiPriority w:val="0"/>
    <w:pPr>
      <w:adjustRightInd w:val="0"/>
      <w:spacing w:line="280" w:lineRule="exact"/>
      <w:jc w:val="center"/>
      <w:textAlignment w:val="baseline"/>
    </w:pPr>
    <w:rPr>
      <w:rFonts w:ascii="宋体" w:hAnsi="Times New Roman" w:eastAsia="宋体" w:cs="Times New Roman"/>
      <w:kern w:val="0"/>
      <w:sz w:val="18"/>
      <w:szCs w:val="18"/>
    </w:rPr>
  </w:style>
  <w:style w:type="character" w:customStyle="1" w:styleId="175">
    <w:name w:val="ourfont21"/>
    <w:qFormat/>
    <w:uiPriority w:val="0"/>
    <w:rPr>
      <w:sz w:val="18"/>
      <w:szCs w:val="18"/>
    </w:rPr>
  </w:style>
  <w:style w:type="paragraph" w:customStyle="1" w:styleId="176">
    <w:name w:val="样式 标题 2 + 段后: 3 行"/>
    <w:basedOn w:val="3"/>
    <w:qFormat/>
    <w:uiPriority w:val="0"/>
    <w:pPr>
      <w:spacing w:before="100" w:beforeLines="100" w:after="60" w:afterLines="100" w:line="400" w:lineRule="exact"/>
    </w:pPr>
    <w:rPr>
      <w:rFonts w:eastAsia="宋体" w:cs="宋体"/>
      <w:sz w:val="30"/>
      <w:szCs w:val="20"/>
    </w:rPr>
  </w:style>
  <w:style w:type="paragraph" w:customStyle="1" w:styleId="177">
    <w:name w:val="3"/>
    <w:basedOn w:val="1"/>
    <w:next w:val="13"/>
    <w:qFormat/>
    <w:uiPriority w:val="0"/>
    <w:pPr>
      <w:spacing w:line="360" w:lineRule="auto"/>
      <w:ind w:firstLine="561"/>
    </w:pPr>
    <w:rPr>
      <w:rFonts w:ascii="Times New Roman" w:hAnsi="Times New Roman" w:eastAsia="宋体" w:cs="Times New Roman"/>
      <w:color w:val="000000"/>
      <w:kern w:val="0"/>
      <w:sz w:val="24"/>
      <w:szCs w:val="28"/>
    </w:rPr>
  </w:style>
  <w:style w:type="paragraph" w:customStyle="1" w:styleId="178">
    <w:name w:val="2"/>
    <w:basedOn w:val="1"/>
    <w:next w:val="13"/>
    <w:qFormat/>
    <w:uiPriority w:val="0"/>
    <w:pPr>
      <w:spacing w:line="360" w:lineRule="auto"/>
      <w:ind w:firstLine="561"/>
    </w:pPr>
    <w:rPr>
      <w:rFonts w:ascii="Times New Roman" w:hAnsi="Times New Roman" w:eastAsia="宋体" w:cs="Times New Roman"/>
      <w:color w:val="000000"/>
      <w:kern w:val="0"/>
      <w:sz w:val="24"/>
      <w:szCs w:val="28"/>
    </w:rPr>
  </w:style>
  <w:style w:type="character" w:customStyle="1" w:styleId="179">
    <w:name w:val="样式 宋体 四号 黑色"/>
    <w:qFormat/>
    <w:uiPriority w:val="0"/>
    <w:rPr>
      <w:rFonts w:ascii="宋体" w:hAnsi="宋体"/>
      <w:color w:val="000000"/>
      <w:sz w:val="28"/>
    </w:rPr>
  </w:style>
  <w:style w:type="paragraph" w:customStyle="1" w:styleId="180">
    <w:name w:val="样式1 Char Char"/>
    <w:basedOn w:val="2"/>
    <w:qFormat/>
    <w:uiPriority w:val="0"/>
    <w:pPr>
      <w:tabs>
        <w:tab w:val="left" w:pos="720"/>
      </w:tabs>
      <w:spacing w:before="240" w:after="120" w:line="240" w:lineRule="auto"/>
    </w:pPr>
    <w:rPr>
      <w:rFonts w:eastAsia="黑体" w:cs="Times New Roman"/>
      <w:sz w:val="32"/>
    </w:rPr>
  </w:style>
  <w:style w:type="character" w:customStyle="1" w:styleId="181">
    <w:name w:val="标题 1 Char Char"/>
    <w:qFormat/>
    <w:uiPriority w:val="0"/>
    <w:rPr>
      <w:rFonts w:eastAsia="黑体"/>
      <w:b/>
      <w:bCs/>
      <w:kern w:val="44"/>
      <w:sz w:val="32"/>
      <w:szCs w:val="44"/>
      <w:lang w:val="en-US" w:eastAsia="zh-CN" w:bidi="ar-SA"/>
    </w:rPr>
  </w:style>
  <w:style w:type="character" w:customStyle="1" w:styleId="182">
    <w:name w:val="样式1 Char Char Char"/>
    <w:qFormat/>
    <w:uiPriority w:val="0"/>
    <w:rPr>
      <w:rFonts w:eastAsia="黑体"/>
      <w:b/>
      <w:bCs/>
      <w:kern w:val="44"/>
      <w:sz w:val="32"/>
      <w:szCs w:val="44"/>
      <w:lang w:val="en-US" w:eastAsia="zh-CN" w:bidi="ar-SA"/>
    </w:rPr>
  </w:style>
  <w:style w:type="paragraph" w:customStyle="1" w:styleId="183">
    <w:name w:val="样式 标题 1 + 小三 黑色 Char"/>
    <w:basedOn w:val="2"/>
    <w:qFormat/>
    <w:uiPriority w:val="0"/>
    <w:pPr>
      <w:tabs>
        <w:tab w:val="left" w:pos="720"/>
      </w:tabs>
      <w:spacing w:before="240" w:after="120" w:line="240" w:lineRule="auto"/>
    </w:pPr>
    <w:rPr>
      <w:rFonts w:eastAsia="黑体" w:cs="Times New Roman"/>
      <w:color w:val="000000"/>
      <w:sz w:val="30"/>
    </w:rPr>
  </w:style>
  <w:style w:type="character" w:customStyle="1" w:styleId="184">
    <w:name w:val="样式 标题 1 + 小三 黑色 Char Char"/>
    <w:qFormat/>
    <w:uiPriority w:val="0"/>
    <w:rPr>
      <w:rFonts w:eastAsia="黑体"/>
      <w:b/>
      <w:bCs/>
      <w:color w:val="000000"/>
      <w:kern w:val="44"/>
      <w:sz w:val="30"/>
      <w:szCs w:val="44"/>
      <w:lang w:val="en-US" w:eastAsia="zh-CN" w:bidi="ar-SA"/>
    </w:rPr>
  </w:style>
  <w:style w:type="paragraph" w:customStyle="1" w:styleId="185">
    <w:name w:val="正文文字-01"/>
    <w:basedOn w:val="1"/>
    <w:qFormat/>
    <w:uiPriority w:val="0"/>
    <w:pPr>
      <w:adjustRightInd w:val="0"/>
      <w:spacing w:line="500" w:lineRule="exact"/>
      <w:ind w:firstLine="454" w:firstLineChars="200"/>
      <w:textAlignment w:val="baseline"/>
    </w:pPr>
    <w:rPr>
      <w:rFonts w:ascii="Times New Roman" w:hAnsi="Times New Roman" w:eastAsia="宋体" w:cs="Times New Roman"/>
      <w:kern w:val="0"/>
      <w:sz w:val="24"/>
      <w:szCs w:val="20"/>
    </w:rPr>
  </w:style>
  <w:style w:type="paragraph" w:customStyle="1" w:styleId="186">
    <w:name w:val="正文2"/>
    <w:basedOn w:val="1"/>
    <w:qFormat/>
    <w:uiPriority w:val="0"/>
    <w:pPr>
      <w:tabs>
        <w:tab w:val="left" w:pos="720"/>
      </w:tabs>
      <w:adjustRightInd w:val="0"/>
      <w:spacing w:line="360" w:lineRule="auto"/>
      <w:ind w:left="720" w:hanging="720" w:firstLineChars="200"/>
      <w:textAlignment w:val="baseline"/>
    </w:pPr>
    <w:rPr>
      <w:rFonts w:ascii="Times New Roman" w:hAnsi="Times New Roman" w:eastAsia="仿宋_GB2312" w:cs="Times New Roman"/>
      <w:kern w:val="0"/>
      <w:sz w:val="28"/>
      <w:szCs w:val="20"/>
    </w:rPr>
  </w:style>
  <w:style w:type="paragraph" w:customStyle="1" w:styleId="187">
    <w:name w:val="样式3 Char Char"/>
    <w:basedOn w:val="180"/>
    <w:qFormat/>
    <w:uiPriority w:val="0"/>
    <w:pPr>
      <w:keepNext w:val="0"/>
      <w:keepLines w:val="0"/>
      <w:tabs>
        <w:tab w:val="clear" w:pos="720"/>
      </w:tabs>
      <w:adjustRightInd w:val="0"/>
      <w:snapToGrid w:val="0"/>
      <w:spacing w:before="0" w:after="0"/>
      <w:jc w:val="center"/>
      <w:outlineLvl w:val="9"/>
    </w:pPr>
    <w:rPr>
      <w:sz w:val="18"/>
    </w:rPr>
  </w:style>
  <w:style w:type="character" w:customStyle="1" w:styleId="188">
    <w:name w:val="样式3 Char Char Char"/>
    <w:qFormat/>
    <w:uiPriority w:val="0"/>
    <w:rPr>
      <w:rFonts w:eastAsia="黑体"/>
      <w:b/>
      <w:bCs/>
      <w:kern w:val="44"/>
      <w:sz w:val="18"/>
      <w:szCs w:val="44"/>
      <w:lang w:val="en-US" w:eastAsia="zh-CN" w:bidi="ar-SA"/>
    </w:rPr>
  </w:style>
  <w:style w:type="paragraph" w:customStyle="1" w:styleId="189">
    <w:name w:val="样式3"/>
    <w:basedOn w:val="144"/>
    <w:qFormat/>
    <w:uiPriority w:val="0"/>
    <w:pPr>
      <w:keepNext w:val="0"/>
      <w:keepLines w:val="0"/>
      <w:widowControl w:val="0"/>
      <w:tabs>
        <w:tab w:val="clear" w:pos="432"/>
      </w:tabs>
      <w:adjustRightInd w:val="0"/>
      <w:snapToGrid w:val="0"/>
      <w:spacing w:before="0" w:after="0" w:line="240" w:lineRule="auto"/>
      <w:ind w:left="0" w:firstLine="0" w:firstLineChars="0"/>
      <w:jc w:val="center"/>
      <w:outlineLvl w:val="9"/>
    </w:pPr>
    <w:rPr>
      <w:rFonts w:ascii="Times New Roman" w:hAnsi="Times New Roman"/>
      <w:bCs/>
      <w:sz w:val="18"/>
      <w:lang w:bidi="ar-SA"/>
    </w:rPr>
  </w:style>
  <w:style w:type="character" w:customStyle="1" w:styleId="190">
    <w:name w:val="表头 Char"/>
    <w:qFormat/>
    <w:uiPriority w:val="0"/>
    <w:rPr>
      <w:rFonts w:eastAsia="宋体"/>
      <w:b/>
      <w:kern w:val="2"/>
      <w:sz w:val="24"/>
      <w:szCs w:val="24"/>
      <w:lang w:val="en-US" w:eastAsia="zh-CN" w:bidi="ar-SA"/>
    </w:rPr>
  </w:style>
  <w:style w:type="paragraph" w:customStyle="1" w:styleId="191">
    <w:name w:val="样式 表格2 + 宋体 五号"/>
    <w:basedOn w:val="153"/>
    <w:qFormat/>
    <w:uiPriority w:val="0"/>
    <w:rPr>
      <w:spacing w:val="1"/>
      <w:sz w:val="21"/>
      <w:szCs w:val="21"/>
    </w:rPr>
  </w:style>
  <w:style w:type="character" w:customStyle="1" w:styleId="192">
    <w:name w:val="表格2 Char"/>
    <w:qFormat/>
    <w:uiPriority w:val="0"/>
    <w:rPr>
      <w:rFonts w:ascii="仿宋_GB2312" w:hAnsi="Times New Roman" w:eastAsia="宋体" w:cs="Times New Roman"/>
      <w:kern w:val="2"/>
      <w:sz w:val="24"/>
      <w:szCs w:val="24"/>
      <w:lang w:val="en-US" w:eastAsia="zh-CN" w:bidi="ar-SA"/>
    </w:rPr>
  </w:style>
  <w:style w:type="character" w:customStyle="1" w:styleId="193">
    <w:name w:val="样式 表格2 + 宋体 五号 Char"/>
    <w:qFormat/>
    <w:uiPriority w:val="0"/>
    <w:rPr>
      <w:rFonts w:ascii="仿宋_GB2312" w:hAnsi="Times New Roman" w:eastAsia="宋体" w:cs="Times New Roman"/>
      <w:spacing w:val="1"/>
      <w:kern w:val="2"/>
      <w:sz w:val="21"/>
      <w:szCs w:val="21"/>
      <w:lang w:val="en-US" w:eastAsia="zh-CN" w:bidi="ar-SA"/>
    </w:rPr>
  </w:style>
  <w:style w:type="paragraph" w:customStyle="1" w:styleId="194">
    <w:name w:val="报告正文"/>
    <w:basedOn w:val="1"/>
    <w:link w:val="195"/>
    <w:uiPriority w:val="0"/>
    <w:pPr>
      <w:spacing w:line="360" w:lineRule="auto"/>
      <w:ind w:firstLine="200" w:firstLineChars="200"/>
    </w:pPr>
    <w:rPr>
      <w:rFonts w:ascii="宋体" w:hAnsi="宋体" w:eastAsia="宋体" w:cs="仿宋_GB2312"/>
      <w:kern w:val="0"/>
      <w:sz w:val="24"/>
      <w:szCs w:val="24"/>
    </w:rPr>
  </w:style>
  <w:style w:type="character" w:customStyle="1" w:styleId="195">
    <w:name w:val="报告正文 Char"/>
    <w:link w:val="194"/>
    <w:uiPriority w:val="0"/>
    <w:rPr>
      <w:rFonts w:ascii="宋体" w:hAnsi="宋体" w:eastAsia="宋体" w:cs="仿宋_GB2312"/>
      <w:kern w:val="0"/>
      <w:sz w:val="24"/>
      <w:szCs w:val="24"/>
    </w:rPr>
  </w:style>
  <w:style w:type="paragraph" w:customStyle="1" w:styleId="196">
    <w:name w:val="PLOT"/>
    <w:basedOn w:val="1"/>
    <w:link w:val="197"/>
    <w:qFormat/>
    <w:uiPriority w:val="0"/>
    <w:pPr>
      <w:spacing w:line="360" w:lineRule="auto"/>
      <w:jc w:val="center"/>
    </w:pPr>
    <w:rPr>
      <w:rFonts w:ascii="宋体" w:hAnsi="宋体" w:eastAsia="宋体" w:cs="仿宋_GB2312"/>
      <w:b/>
      <w:kern w:val="0"/>
      <w:sz w:val="28"/>
      <w:szCs w:val="24"/>
    </w:rPr>
  </w:style>
  <w:style w:type="character" w:customStyle="1" w:styleId="197">
    <w:name w:val="PLOT Char"/>
    <w:link w:val="196"/>
    <w:qFormat/>
    <w:uiPriority w:val="0"/>
    <w:rPr>
      <w:rFonts w:ascii="宋体" w:hAnsi="宋体" w:eastAsia="宋体" w:cs="仿宋_GB2312"/>
      <w:b/>
      <w:kern w:val="0"/>
      <w:sz w:val="28"/>
      <w:szCs w:val="24"/>
    </w:rPr>
  </w:style>
  <w:style w:type="paragraph" w:customStyle="1" w:styleId="198">
    <w:name w:val="节1.2"/>
    <w:basedOn w:val="1"/>
    <w:uiPriority w:val="0"/>
    <w:pPr>
      <w:autoSpaceDE w:val="0"/>
      <w:autoSpaceDN w:val="0"/>
      <w:adjustRightInd w:val="0"/>
      <w:spacing w:line="360" w:lineRule="auto"/>
      <w:outlineLvl w:val="1"/>
    </w:pPr>
    <w:rPr>
      <w:rFonts w:ascii="宋体" w:hAnsi="宋体" w:eastAsia="宋体" w:cs="仿宋_GB2312"/>
      <w:b/>
      <w:kern w:val="0"/>
      <w:sz w:val="24"/>
      <w:szCs w:val="24"/>
    </w:rPr>
  </w:style>
  <w:style w:type="paragraph" w:customStyle="1" w:styleId="199">
    <w:name w:val="TableHead"/>
    <w:basedOn w:val="19"/>
    <w:link w:val="200"/>
    <w:qFormat/>
    <w:uiPriority w:val="0"/>
    <w:pPr>
      <w:spacing w:after="0"/>
      <w:jc w:val="center"/>
    </w:pPr>
    <w:rPr>
      <w:rFonts w:ascii="宋体" w:hAnsi="宋体" w:cs="楷体_GB2312"/>
      <w:b/>
      <w:bCs/>
      <w:sz w:val="21"/>
    </w:rPr>
  </w:style>
  <w:style w:type="character" w:customStyle="1" w:styleId="200">
    <w:name w:val="TableHead Char"/>
    <w:link w:val="199"/>
    <w:qFormat/>
    <w:uiPriority w:val="0"/>
    <w:rPr>
      <w:rFonts w:ascii="宋体" w:hAnsi="宋体" w:eastAsia="宋体" w:cs="楷体_GB2312"/>
      <w:b/>
      <w:bCs/>
      <w:kern w:val="0"/>
      <w:szCs w:val="24"/>
    </w:rPr>
  </w:style>
  <w:style w:type="paragraph" w:customStyle="1" w:styleId="201">
    <w:name w:val="节1.2.3"/>
    <w:basedOn w:val="1"/>
    <w:qFormat/>
    <w:uiPriority w:val="0"/>
    <w:pPr>
      <w:autoSpaceDE w:val="0"/>
      <w:autoSpaceDN w:val="0"/>
      <w:adjustRightInd w:val="0"/>
      <w:spacing w:line="360" w:lineRule="auto"/>
      <w:outlineLvl w:val="2"/>
    </w:pPr>
    <w:rPr>
      <w:rFonts w:ascii="宋体" w:hAnsi="宋体" w:eastAsia="宋体" w:cs="仿宋_GB2312"/>
      <w:b/>
      <w:kern w:val="0"/>
      <w:sz w:val="24"/>
      <w:szCs w:val="24"/>
    </w:rPr>
  </w:style>
  <w:style w:type="paragraph" w:customStyle="1" w:styleId="202">
    <w:name w:val="Decimal Aligned"/>
    <w:basedOn w:val="1"/>
    <w:qFormat/>
    <w:uiPriority w:val="0"/>
    <w:pPr>
      <w:widowControl/>
      <w:tabs>
        <w:tab w:val="decimal" w:pos="360"/>
      </w:tabs>
      <w:spacing w:after="200" w:line="276" w:lineRule="auto"/>
      <w:jc w:val="left"/>
    </w:pPr>
    <w:rPr>
      <w:rFonts w:ascii="Calibri" w:hAnsi="Calibri" w:eastAsia="宋体" w:cs="Times New Roman"/>
      <w:kern w:val="0"/>
      <w:sz w:val="22"/>
      <w:szCs w:val="28"/>
    </w:rPr>
  </w:style>
  <w:style w:type="character" w:customStyle="1" w:styleId="203">
    <w:name w:val="脚注文本 字符"/>
    <w:basedOn w:val="46"/>
    <w:semiHidden/>
    <w:qFormat/>
    <w:uiPriority w:val="99"/>
    <w:rPr>
      <w:sz w:val="18"/>
      <w:szCs w:val="18"/>
    </w:rPr>
  </w:style>
  <w:style w:type="character" w:customStyle="1" w:styleId="204">
    <w:name w:val="脚注文本 Char1"/>
    <w:link w:val="33"/>
    <w:qFormat/>
    <w:uiPriority w:val="0"/>
    <w:rPr>
      <w:rFonts w:ascii="Calibri" w:hAnsi="Calibri" w:eastAsia="宋体" w:cs="Times New Roman"/>
      <w:kern w:val="0"/>
      <w:sz w:val="20"/>
      <w:szCs w:val="20"/>
    </w:rPr>
  </w:style>
  <w:style w:type="paragraph" w:customStyle="1" w:styleId="205">
    <w:name w:val="普通文字"/>
    <w:basedOn w:val="1"/>
    <w:qFormat/>
    <w:uiPriority w:val="0"/>
    <w:rPr>
      <w:rFonts w:ascii="宋体" w:hAnsi="Courier New" w:eastAsia="宋体" w:cs="宋体"/>
      <w:kern w:val="0"/>
      <w:sz w:val="28"/>
      <w:szCs w:val="28"/>
    </w:rPr>
  </w:style>
  <w:style w:type="paragraph" w:customStyle="1" w:styleId="206">
    <w:name w:val="copyright"/>
    <w:basedOn w:val="1"/>
    <w:qFormat/>
    <w:uiPriority w:val="0"/>
    <w:pPr>
      <w:widowControl/>
      <w:spacing w:before="100" w:beforeAutospacing="1" w:after="100" w:afterAutospacing="1" w:line="360" w:lineRule="auto"/>
      <w:jc w:val="left"/>
    </w:pPr>
    <w:rPr>
      <w:rFonts w:ascii="仿宋_GB2312" w:hAnsi="Times New Roman" w:eastAsia="宋体" w:cs="Times New Roman"/>
      <w:color w:val="000000"/>
      <w:kern w:val="0"/>
      <w:sz w:val="24"/>
      <w:szCs w:val="24"/>
    </w:rPr>
  </w:style>
  <w:style w:type="character" w:customStyle="1" w:styleId="207">
    <w:name w:val="copyright1"/>
    <w:qFormat/>
    <w:uiPriority w:val="0"/>
    <w:rPr>
      <w:rFonts w:hint="default"/>
      <w:color w:val="000000"/>
    </w:rPr>
  </w:style>
  <w:style w:type="paragraph" w:customStyle="1" w:styleId="208">
    <w:name w:val="表"/>
    <w:basedOn w:val="1"/>
    <w:link w:val="209"/>
    <w:qFormat/>
    <w:uiPriority w:val="0"/>
    <w:pPr>
      <w:adjustRightInd w:val="0"/>
      <w:spacing w:before="50" w:after="50" w:line="240" w:lineRule="atLeast"/>
      <w:jc w:val="left"/>
      <w:textAlignment w:val="baseline"/>
    </w:pPr>
    <w:rPr>
      <w:rFonts w:ascii="Times New Roman" w:hAnsi="Times New Roman" w:eastAsia="宋体" w:cs="Times New Roman"/>
      <w:kern w:val="0"/>
      <w:sz w:val="15"/>
      <w:szCs w:val="24"/>
    </w:rPr>
  </w:style>
  <w:style w:type="character" w:customStyle="1" w:styleId="209">
    <w:name w:val="表 Char"/>
    <w:link w:val="208"/>
    <w:uiPriority w:val="0"/>
    <w:rPr>
      <w:rFonts w:ascii="Times New Roman" w:hAnsi="Times New Roman" w:eastAsia="宋体" w:cs="Times New Roman"/>
      <w:kern w:val="0"/>
      <w:sz w:val="15"/>
      <w:szCs w:val="24"/>
    </w:rPr>
  </w:style>
  <w:style w:type="paragraph" w:customStyle="1" w:styleId="210">
    <w:name w:val="表中文字（小四）"/>
    <w:basedOn w:val="1"/>
    <w:qFormat/>
    <w:uiPriority w:val="0"/>
    <w:pPr>
      <w:jc w:val="center"/>
    </w:pPr>
    <w:rPr>
      <w:rFonts w:ascii="Times New Roman" w:hAnsi="Times New Roman" w:eastAsia="宋体" w:cs="Times New Roman"/>
      <w:kern w:val="0"/>
      <w:sz w:val="24"/>
      <w:szCs w:val="18"/>
    </w:rPr>
  </w:style>
  <w:style w:type="paragraph" w:customStyle="1" w:styleId="211">
    <w:name w:val="表中文字（左对齐）"/>
    <w:basedOn w:val="1"/>
    <w:qFormat/>
    <w:uiPriority w:val="0"/>
    <w:pPr>
      <w:jc w:val="left"/>
    </w:pPr>
    <w:rPr>
      <w:rFonts w:ascii="Times New Roman" w:hAnsi="Times New Roman" w:eastAsia="宋体" w:cs="Times New Roman"/>
      <w:kern w:val="0"/>
      <w:sz w:val="18"/>
      <w:szCs w:val="18"/>
    </w:rPr>
  </w:style>
  <w:style w:type="character" w:customStyle="1" w:styleId="212">
    <w:name w:val="apple-style-span"/>
    <w:basedOn w:val="46"/>
    <w:qFormat/>
    <w:uiPriority w:val="0"/>
  </w:style>
  <w:style w:type="paragraph" w:customStyle="1" w:styleId="213">
    <w:name w:val="Char Char Char Char Char Char Char Char Char Char Char Char Char Char Char Char Char Char Char Char Char Char Char Char Char"/>
    <w:basedOn w:val="1"/>
    <w:semiHidden/>
    <w:qFormat/>
    <w:uiPriority w:val="0"/>
    <w:rPr>
      <w:rFonts w:ascii="Times New Roman" w:hAnsi="Times New Roman" w:eastAsia="宋体" w:cs="Times New Roman"/>
      <w:kern w:val="0"/>
      <w:sz w:val="28"/>
      <w:szCs w:val="24"/>
    </w:rPr>
  </w:style>
  <w:style w:type="character" w:customStyle="1" w:styleId="214">
    <w:name w:val="批注文字 字符1"/>
    <w:qFormat/>
    <w:uiPriority w:val="99"/>
    <w:rPr>
      <w:rFonts w:ascii="仿宋_GB2312" w:hAnsi="Times New Roman" w:eastAsia="仿宋_GB2312" w:cs="Times New Roman"/>
      <w:kern w:val="0"/>
      <w:sz w:val="24"/>
      <w:szCs w:val="24"/>
    </w:rPr>
  </w:style>
  <w:style w:type="character" w:customStyle="1" w:styleId="215">
    <w:name w:val="批注主题 字符1"/>
    <w:semiHidden/>
    <w:qFormat/>
    <w:uiPriority w:val="99"/>
    <w:rPr>
      <w:rFonts w:ascii="仿宋_GB2312" w:hAnsi="Times New Roman" w:eastAsia="仿宋_GB2312" w:cs="Times New Roman"/>
      <w:b/>
      <w:bCs/>
      <w:kern w:val="0"/>
      <w:sz w:val="24"/>
      <w:szCs w:val="24"/>
    </w:rPr>
  </w:style>
  <w:style w:type="character" w:styleId="216">
    <w:name w:val="Placeholder Text"/>
    <w:semiHidden/>
    <w:qFormat/>
    <w:uiPriority w:val="99"/>
    <w:rPr>
      <w:color w:val="808080"/>
    </w:rPr>
  </w:style>
  <w:style w:type="table" w:customStyle="1" w:styleId="217">
    <w:name w:val="网格型2"/>
    <w:basedOn w:val="44"/>
    <w:uiPriority w:val="59"/>
    <w:rPr>
      <w:rFonts w:ascii="Times New Roman" w:hAnsi="Times New Roman" w:eastAsia="方正仿宋_GBK"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18">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19">
    <w:name w:val="font6"/>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0"/>
      <w:szCs w:val="20"/>
    </w:rPr>
  </w:style>
  <w:style w:type="paragraph" w:customStyle="1" w:styleId="220">
    <w:name w:val="font7"/>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21">
    <w:name w:val="font8"/>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22">
    <w:name w:val="font9"/>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0"/>
      <w:szCs w:val="20"/>
    </w:rPr>
  </w:style>
  <w:style w:type="paragraph" w:customStyle="1" w:styleId="223">
    <w:name w:val="font10"/>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24">
    <w:name w:val="font11"/>
    <w:basedOn w:val="1"/>
    <w:qFormat/>
    <w:uiPriority w:val="0"/>
    <w:pPr>
      <w:widowControl/>
      <w:spacing w:before="100" w:beforeAutospacing="1" w:after="100" w:afterAutospacing="1"/>
      <w:jc w:val="left"/>
    </w:pPr>
    <w:rPr>
      <w:rFonts w:ascii="Times New Roman" w:hAnsi="Times New Roman" w:eastAsia="宋体" w:cs="Times New Roman"/>
      <w:kern w:val="0"/>
      <w:sz w:val="20"/>
      <w:szCs w:val="20"/>
    </w:rPr>
  </w:style>
  <w:style w:type="paragraph" w:customStyle="1" w:styleId="225">
    <w:name w:val="font12"/>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26">
    <w:name w:val="xl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22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228">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22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0"/>
      <w:szCs w:val="20"/>
    </w:rPr>
  </w:style>
  <w:style w:type="paragraph" w:customStyle="1" w:styleId="230">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0"/>
      <w:szCs w:val="20"/>
    </w:rPr>
  </w:style>
  <w:style w:type="paragraph" w:customStyle="1" w:styleId="231">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eastAsia="宋体" w:cs="Times New Roman"/>
      <w:kern w:val="0"/>
      <w:sz w:val="20"/>
      <w:szCs w:val="20"/>
    </w:rPr>
  </w:style>
  <w:style w:type="paragraph" w:customStyle="1" w:styleId="232">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233">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eastAsia="宋体" w:cs="Times New Roman"/>
      <w:kern w:val="0"/>
      <w:sz w:val="20"/>
      <w:szCs w:val="20"/>
    </w:rPr>
  </w:style>
  <w:style w:type="paragraph" w:customStyle="1" w:styleId="234">
    <w:name w:val="xl73"/>
    <w:basedOn w:val="1"/>
    <w:qFormat/>
    <w:uiPriority w:val="0"/>
    <w:pPr>
      <w:widowControl/>
      <w:shd w:val="clear" w:color="000000" w:fill="FFFFFF"/>
      <w:spacing w:before="100" w:beforeAutospacing="1" w:after="100" w:afterAutospacing="1"/>
      <w:jc w:val="center"/>
    </w:pPr>
    <w:rPr>
      <w:rFonts w:ascii="Times New Roman" w:hAnsi="Times New Roman" w:eastAsia="宋体" w:cs="Times New Roman"/>
      <w:kern w:val="0"/>
      <w:sz w:val="24"/>
      <w:szCs w:val="24"/>
    </w:rPr>
  </w:style>
  <w:style w:type="paragraph" w:customStyle="1" w:styleId="235">
    <w:name w:val="xl7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236">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eastAsia="宋体" w:cs="Times New Roman"/>
      <w:color w:val="000000"/>
      <w:kern w:val="0"/>
      <w:sz w:val="20"/>
      <w:szCs w:val="20"/>
    </w:rPr>
  </w:style>
  <w:style w:type="paragraph" w:customStyle="1" w:styleId="237">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eastAsia="宋体" w:cs="Times New Roman"/>
      <w:color w:val="000000"/>
      <w:kern w:val="0"/>
      <w:sz w:val="20"/>
      <w:szCs w:val="20"/>
    </w:rPr>
  </w:style>
  <w:style w:type="paragraph" w:customStyle="1" w:styleId="238">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239">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240">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eastAsia="宋体" w:cs="Times New Roman"/>
      <w:color w:val="FF0000"/>
      <w:kern w:val="0"/>
      <w:sz w:val="20"/>
      <w:szCs w:val="20"/>
    </w:rPr>
  </w:style>
  <w:style w:type="paragraph" w:customStyle="1" w:styleId="241">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eastAsia="宋体" w:cs="Times New Roman"/>
      <w:color w:val="FF0000"/>
      <w:kern w:val="0"/>
      <w:sz w:val="20"/>
      <w:szCs w:val="20"/>
    </w:rPr>
  </w:style>
  <w:style w:type="table" w:customStyle="1" w:styleId="242">
    <w:name w:val="网格型1"/>
    <w:basedOn w:val="44"/>
    <w:qFormat/>
    <w:uiPriority w:val="59"/>
    <w:rPr>
      <w:rFonts w:ascii="Times New Roman" w:hAnsi="Times New Roman" w:eastAsia="方正仿宋_GBK"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43">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244">
    <w:name w:val="xl10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245">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46">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247">
    <w:name w:val="xl111"/>
    <w:basedOn w:val="1"/>
    <w:qFormat/>
    <w:uiPriority w:val="0"/>
    <w:pPr>
      <w:widowControl/>
      <w:spacing w:before="100" w:beforeAutospacing="1" w:after="100" w:afterAutospacing="1"/>
      <w:jc w:val="left"/>
    </w:pPr>
    <w:rPr>
      <w:rFonts w:ascii="宋体" w:hAnsi="宋体" w:eastAsia="宋体" w:cs="宋体"/>
      <w:b/>
      <w:bCs/>
      <w:kern w:val="0"/>
      <w:sz w:val="24"/>
      <w:szCs w:val="24"/>
    </w:rPr>
  </w:style>
  <w:style w:type="paragraph" w:customStyle="1" w:styleId="248">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kern w:val="0"/>
      <w:sz w:val="24"/>
      <w:szCs w:val="24"/>
    </w:rPr>
  </w:style>
  <w:style w:type="paragraph" w:customStyle="1" w:styleId="249">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kern w:val="0"/>
      <w:sz w:val="24"/>
      <w:szCs w:val="24"/>
    </w:rPr>
  </w:style>
  <w:style w:type="paragraph" w:customStyle="1" w:styleId="250">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251">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252">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253">
    <w:name w:val="xl11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254">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255">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256">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257">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258">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59">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260">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color w:val="FF0000"/>
      <w:kern w:val="0"/>
      <w:sz w:val="24"/>
      <w:szCs w:val="24"/>
    </w:rPr>
  </w:style>
  <w:style w:type="paragraph" w:customStyle="1" w:styleId="261">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62">
    <w:name w:val="xl1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63">
    <w:name w:val="xl1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264">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65">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66">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267">
    <w:name w:val="xl1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268">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4"/>
      <w:szCs w:val="24"/>
    </w:rPr>
  </w:style>
  <w:style w:type="paragraph" w:customStyle="1" w:styleId="269">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4"/>
      <w:szCs w:val="24"/>
    </w:rPr>
  </w:style>
  <w:style w:type="paragraph" w:customStyle="1" w:styleId="270">
    <w:name w:val="xl134"/>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271">
    <w:name w:val="xl135"/>
    <w:basedOn w:val="1"/>
    <w:uiPriority w:val="0"/>
    <w:pPr>
      <w:widowControl/>
      <w:pBdr>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272">
    <w:name w:val="xl136"/>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273">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274">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275">
    <w:name w:val="HTML Top of Form"/>
    <w:basedOn w:val="1"/>
    <w:next w:val="1"/>
    <w:link w:val="277"/>
    <w:semiHidden/>
    <w:unhideWhenUsed/>
    <w:qFormat/>
    <w:uiPriority w:val="99"/>
    <w:pPr>
      <w:widowControl/>
      <w:pBdr>
        <w:bottom w:val="single" w:color="auto" w:sz="6" w:space="1"/>
      </w:pBdr>
      <w:jc w:val="center"/>
    </w:pPr>
    <w:rPr>
      <w:rFonts w:ascii="Arial" w:hAnsi="Arial" w:eastAsia="宋体" w:cs="Arial"/>
      <w:vanish/>
      <w:kern w:val="0"/>
      <w:sz w:val="16"/>
      <w:szCs w:val="16"/>
    </w:rPr>
  </w:style>
  <w:style w:type="character" w:customStyle="1" w:styleId="276">
    <w:name w:val="z-窗体顶端 字符"/>
    <w:basedOn w:val="46"/>
    <w:semiHidden/>
    <w:qFormat/>
    <w:uiPriority w:val="99"/>
    <w:rPr>
      <w:rFonts w:ascii="Arial" w:hAnsi="Arial" w:cs="Arial"/>
      <w:vanish/>
      <w:sz w:val="16"/>
      <w:szCs w:val="16"/>
    </w:rPr>
  </w:style>
  <w:style w:type="character" w:customStyle="1" w:styleId="277">
    <w:name w:val="z-窗体顶端 Char1"/>
    <w:link w:val="275"/>
    <w:semiHidden/>
    <w:qFormat/>
    <w:uiPriority w:val="99"/>
    <w:rPr>
      <w:rFonts w:ascii="Arial" w:hAnsi="Arial" w:eastAsia="宋体" w:cs="Arial"/>
      <w:vanish/>
      <w:kern w:val="0"/>
      <w:sz w:val="16"/>
      <w:szCs w:val="16"/>
    </w:rPr>
  </w:style>
  <w:style w:type="paragraph" w:customStyle="1" w:styleId="278">
    <w:name w:val="HTML Bottom of Form"/>
    <w:basedOn w:val="1"/>
    <w:next w:val="1"/>
    <w:link w:val="280"/>
    <w:unhideWhenUsed/>
    <w:qFormat/>
    <w:uiPriority w:val="99"/>
    <w:pPr>
      <w:widowControl/>
      <w:pBdr>
        <w:top w:val="single" w:color="auto" w:sz="6" w:space="1"/>
      </w:pBdr>
      <w:jc w:val="center"/>
    </w:pPr>
    <w:rPr>
      <w:rFonts w:ascii="Arial" w:hAnsi="Arial" w:eastAsia="宋体" w:cs="Arial"/>
      <w:vanish/>
      <w:kern w:val="0"/>
      <w:sz w:val="16"/>
      <w:szCs w:val="16"/>
    </w:rPr>
  </w:style>
  <w:style w:type="character" w:customStyle="1" w:styleId="279">
    <w:name w:val="z-窗体底端 字符"/>
    <w:basedOn w:val="46"/>
    <w:semiHidden/>
    <w:qFormat/>
    <w:uiPriority w:val="99"/>
    <w:rPr>
      <w:rFonts w:ascii="Arial" w:hAnsi="Arial" w:cs="Arial"/>
      <w:vanish/>
      <w:sz w:val="16"/>
      <w:szCs w:val="16"/>
    </w:rPr>
  </w:style>
  <w:style w:type="character" w:customStyle="1" w:styleId="280">
    <w:name w:val="z-窗体底端 Char1"/>
    <w:link w:val="278"/>
    <w:uiPriority w:val="99"/>
    <w:rPr>
      <w:rFonts w:ascii="Arial" w:hAnsi="Arial" w:eastAsia="宋体" w:cs="Arial"/>
      <w:vanish/>
      <w:kern w:val="0"/>
      <w:sz w:val="16"/>
      <w:szCs w:val="16"/>
    </w:rPr>
  </w:style>
  <w:style w:type="paragraph" w:customStyle="1" w:styleId="281">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ascii="Times New Roman" w:hAnsi="Times New Roman" w:eastAsia="宋体" w:cs="Times New Roman"/>
      <w:color w:val="00B050"/>
      <w:kern w:val="0"/>
      <w:sz w:val="24"/>
      <w:szCs w:val="24"/>
    </w:rPr>
  </w:style>
  <w:style w:type="paragraph" w:customStyle="1" w:styleId="282">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ascii="Times New Roman" w:hAnsi="Times New Roman" w:eastAsia="宋体" w:cs="Times New Roman"/>
      <w:color w:val="00B050"/>
      <w:kern w:val="0"/>
      <w:sz w:val="24"/>
      <w:szCs w:val="24"/>
    </w:rPr>
  </w:style>
  <w:style w:type="paragraph" w:customStyle="1" w:styleId="283">
    <w:name w:val="xl83"/>
    <w:basedOn w:val="1"/>
    <w:qFormat/>
    <w:uiPriority w:val="0"/>
    <w:pPr>
      <w:widowControl/>
      <w:pBdr>
        <w:top w:val="single" w:color="auto" w:sz="4" w:space="0"/>
        <w:left w:val="single" w:color="auto" w:sz="4" w:space="0"/>
        <w:bottom w:val="single" w:color="auto" w:sz="4" w:space="0"/>
        <w:right w:val="double" w:color="auto" w:sz="6" w:space="0"/>
      </w:pBdr>
      <w:shd w:val="clear" w:color="000000" w:fill="D9D9D9"/>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284">
    <w:name w:val="xl84"/>
    <w:basedOn w:val="1"/>
    <w:qFormat/>
    <w:uiPriority w:val="0"/>
    <w:pPr>
      <w:widowControl/>
      <w:pBdr>
        <w:top w:val="single" w:color="auto" w:sz="4" w:space="0"/>
        <w:left w:val="double" w:color="auto" w:sz="6"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285">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color w:val="00B050"/>
      <w:kern w:val="0"/>
      <w:sz w:val="24"/>
      <w:szCs w:val="24"/>
    </w:rPr>
  </w:style>
  <w:style w:type="paragraph" w:customStyle="1" w:styleId="286">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287">
    <w:name w:val="xl8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color w:val="00B050"/>
      <w:kern w:val="0"/>
      <w:sz w:val="24"/>
      <w:szCs w:val="24"/>
    </w:rPr>
  </w:style>
  <w:style w:type="paragraph" w:customStyle="1" w:styleId="288">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color w:val="00B050"/>
      <w:kern w:val="0"/>
      <w:sz w:val="24"/>
      <w:szCs w:val="24"/>
    </w:rPr>
  </w:style>
  <w:style w:type="paragraph" w:customStyle="1" w:styleId="289">
    <w:name w:val="xl8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color w:val="00B050"/>
      <w:kern w:val="0"/>
      <w:sz w:val="24"/>
      <w:szCs w:val="24"/>
    </w:rPr>
  </w:style>
  <w:style w:type="paragraph" w:customStyle="1" w:styleId="290">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color w:val="FF0000"/>
      <w:kern w:val="0"/>
      <w:sz w:val="24"/>
      <w:szCs w:val="24"/>
    </w:rPr>
  </w:style>
  <w:style w:type="paragraph" w:customStyle="1" w:styleId="291">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color w:val="00B050"/>
      <w:kern w:val="0"/>
      <w:sz w:val="24"/>
      <w:szCs w:val="24"/>
    </w:rPr>
  </w:style>
  <w:style w:type="paragraph" w:customStyle="1" w:styleId="292">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color w:val="00B050"/>
      <w:kern w:val="0"/>
      <w:sz w:val="24"/>
      <w:szCs w:val="24"/>
    </w:rPr>
  </w:style>
  <w:style w:type="paragraph" w:customStyle="1" w:styleId="293">
    <w:name w:val="xl93"/>
    <w:basedOn w:val="1"/>
    <w:qFormat/>
    <w:uiPriority w:val="0"/>
    <w:pPr>
      <w:widowControl/>
      <w:pBdr>
        <w:top w:val="single" w:color="auto" w:sz="4" w:space="0"/>
        <w:left w:val="single" w:color="auto" w:sz="4" w:space="0"/>
        <w:bottom w:val="single" w:color="auto" w:sz="4" w:space="0"/>
        <w:right w:val="double" w:color="auto" w:sz="6"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294">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color w:val="00B050"/>
      <w:kern w:val="0"/>
      <w:sz w:val="24"/>
      <w:szCs w:val="24"/>
    </w:rPr>
  </w:style>
  <w:style w:type="paragraph" w:customStyle="1" w:styleId="295">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color w:val="00B050"/>
      <w:kern w:val="0"/>
      <w:sz w:val="24"/>
      <w:szCs w:val="24"/>
    </w:rPr>
  </w:style>
  <w:style w:type="paragraph" w:customStyle="1" w:styleId="296">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color w:val="00B050"/>
      <w:kern w:val="0"/>
      <w:sz w:val="24"/>
      <w:szCs w:val="24"/>
    </w:rPr>
  </w:style>
  <w:style w:type="paragraph" w:customStyle="1" w:styleId="297">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eastAsia="宋体" w:cs="Times New Roman"/>
      <w:color w:val="00B050"/>
      <w:kern w:val="0"/>
      <w:sz w:val="24"/>
      <w:szCs w:val="24"/>
    </w:rPr>
  </w:style>
  <w:style w:type="paragraph" w:customStyle="1" w:styleId="298">
    <w:name w:val="xl9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color w:val="00B050"/>
      <w:kern w:val="0"/>
      <w:sz w:val="24"/>
      <w:szCs w:val="24"/>
    </w:rPr>
  </w:style>
  <w:style w:type="paragraph" w:customStyle="1" w:styleId="299">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300">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301">
    <w:name w:val="xl10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302">
    <w:name w:val="xl102"/>
    <w:basedOn w:val="1"/>
    <w:qFormat/>
    <w:uiPriority w:val="0"/>
    <w:pPr>
      <w:widowControl/>
      <w:pBdr>
        <w:top w:val="single" w:color="auto" w:sz="4" w:space="0"/>
        <w:left w:val="double" w:color="auto" w:sz="6" w:space="0"/>
        <w:bottom w:val="single" w:color="auto" w:sz="4" w:space="0"/>
        <w:right w:val="single" w:color="auto" w:sz="4" w:space="0"/>
      </w:pBdr>
      <w:shd w:val="clear" w:color="000000" w:fill="D9D9D9"/>
      <w:spacing w:before="100" w:beforeAutospacing="1" w:after="100" w:afterAutospacing="1"/>
      <w:jc w:val="center"/>
      <w:textAlignment w:val="center"/>
    </w:pPr>
    <w:rPr>
      <w:rFonts w:ascii="Times New Roman" w:hAnsi="Times New Roman" w:eastAsia="宋体" w:cs="Times New Roman"/>
      <w:color w:val="000000"/>
      <w:kern w:val="0"/>
      <w:sz w:val="24"/>
      <w:szCs w:val="24"/>
    </w:rPr>
  </w:style>
  <w:style w:type="paragraph" w:customStyle="1" w:styleId="303">
    <w:name w:val="xl103"/>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ascii="Times New Roman" w:hAnsi="Times New Roman" w:eastAsia="宋体" w:cs="Times New Roman"/>
      <w:color w:val="000000"/>
      <w:kern w:val="0"/>
      <w:sz w:val="24"/>
      <w:szCs w:val="24"/>
    </w:rPr>
  </w:style>
  <w:style w:type="paragraph" w:customStyle="1" w:styleId="304">
    <w:name w:val="xl104"/>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305">
    <w:name w:val="xl105"/>
    <w:basedOn w:val="1"/>
    <w:qFormat/>
    <w:uiPriority w:val="0"/>
    <w:pPr>
      <w:widowControl/>
      <w:pBdr>
        <w:top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306">
    <w:name w:val="xl106"/>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307">
    <w:name w:val="xl137"/>
    <w:basedOn w:val="1"/>
    <w:qFormat/>
    <w:uiPriority w:val="0"/>
    <w:pPr>
      <w:widowControl/>
      <w:pBdr>
        <w:top w:val="double" w:color="auto" w:sz="6"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eastAsia="宋体" w:cs="Times New Roman"/>
      <w:color w:val="00B050"/>
      <w:kern w:val="0"/>
      <w:sz w:val="24"/>
      <w:szCs w:val="24"/>
    </w:rPr>
  </w:style>
  <w:style w:type="paragraph" w:customStyle="1" w:styleId="308">
    <w:name w:val="xl138"/>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宋体" w:hAnsi="宋体" w:eastAsia="宋体" w:cs="宋体"/>
      <w:color w:val="00B050"/>
      <w:kern w:val="0"/>
      <w:sz w:val="24"/>
      <w:szCs w:val="24"/>
    </w:rPr>
  </w:style>
  <w:style w:type="paragraph" w:customStyle="1" w:styleId="309">
    <w:name w:val="xl13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color w:val="00B050"/>
      <w:kern w:val="0"/>
      <w:sz w:val="24"/>
      <w:szCs w:val="24"/>
    </w:rPr>
  </w:style>
  <w:style w:type="paragraph" w:customStyle="1" w:styleId="310">
    <w:name w:val="xl140"/>
    <w:basedOn w:val="1"/>
    <w:qFormat/>
    <w:uiPriority w:val="0"/>
    <w:pPr>
      <w:widowControl/>
      <w:pBdr>
        <w:top w:val="double" w:color="auto" w:sz="6" w:space="0"/>
        <w:left w:val="double" w:color="auto" w:sz="6" w:space="0"/>
        <w:bottom w:val="single" w:color="auto" w:sz="4" w:space="0"/>
        <w:right w:val="single" w:color="auto" w:sz="4" w:space="0"/>
      </w:pBdr>
      <w:shd w:val="clear" w:color="000000" w:fill="D9D9D9"/>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311">
    <w:name w:val="xl141"/>
    <w:basedOn w:val="1"/>
    <w:qFormat/>
    <w:uiPriority w:val="0"/>
    <w:pPr>
      <w:widowControl/>
      <w:pBdr>
        <w:top w:val="double" w:color="auto" w:sz="6"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312">
    <w:name w:val="xl142"/>
    <w:basedOn w:val="1"/>
    <w:qFormat/>
    <w:uiPriority w:val="0"/>
    <w:pPr>
      <w:widowControl/>
      <w:pBdr>
        <w:top w:val="double" w:color="auto" w:sz="6"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ascii="Times New Roman" w:hAnsi="Times New Roman" w:eastAsia="宋体" w:cs="Times New Roman"/>
      <w:color w:val="008000"/>
      <w:kern w:val="0"/>
      <w:sz w:val="24"/>
      <w:szCs w:val="24"/>
    </w:rPr>
  </w:style>
  <w:style w:type="paragraph" w:customStyle="1" w:styleId="313">
    <w:name w:val="font13"/>
    <w:basedOn w:val="1"/>
    <w:qFormat/>
    <w:uiPriority w:val="0"/>
    <w:pPr>
      <w:widowControl/>
      <w:spacing w:before="100" w:beforeAutospacing="1" w:after="100" w:afterAutospacing="1"/>
      <w:jc w:val="left"/>
    </w:pPr>
    <w:rPr>
      <w:rFonts w:ascii="宋体" w:hAnsi="宋体" w:eastAsia="宋体" w:cs="宋体"/>
      <w:b/>
      <w:bCs/>
      <w:kern w:val="0"/>
      <w:sz w:val="22"/>
      <w:szCs w:val="28"/>
    </w:rPr>
  </w:style>
  <w:style w:type="paragraph" w:customStyle="1" w:styleId="314">
    <w:name w:val="font14"/>
    <w:basedOn w:val="1"/>
    <w:qFormat/>
    <w:uiPriority w:val="0"/>
    <w:pPr>
      <w:widowControl/>
      <w:spacing w:before="100" w:beforeAutospacing="1" w:after="100" w:afterAutospacing="1"/>
      <w:jc w:val="left"/>
    </w:pPr>
    <w:rPr>
      <w:rFonts w:ascii="宋体" w:hAnsi="宋体" w:eastAsia="宋体" w:cs="宋体"/>
      <w:kern w:val="0"/>
      <w:sz w:val="22"/>
      <w:szCs w:val="28"/>
    </w:rPr>
  </w:style>
  <w:style w:type="character" w:customStyle="1" w:styleId="315">
    <w:name w:val="正文首行缩进 Char2"/>
    <w:basedOn w:val="127"/>
    <w:link w:val="42"/>
    <w:semiHidden/>
    <w:qFormat/>
    <w:uiPriority w:val="99"/>
  </w:style>
  <w:style w:type="character" w:customStyle="1" w:styleId="316">
    <w:name w:val="正文首行缩进 2 Char1"/>
    <w:basedOn w:val="98"/>
    <w:link w:val="43"/>
    <w:semiHidden/>
    <w:uiPriority w:val="99"/>
  </w:style>
  <w:style w:type="character" w:customStyle="1" w:styleId="317">
    <w:name w:val="标题 5 Char"/>
    <w:uiPriority w:val="0"/>
    <w:rPr>
      <w:rFonts w:ascii="Calibri" w:hAnsi="Calibri" w:eastAsia="宋体" w:cs="Times New Roman"/>
      <w:b/>
      <w:bCs/>
      <w:i/>
      <w:iCs/>
      <w:kern w:val="0"/>
      <w:sz w:val="26"/>
      <w:szCs w:val="26"/>
      <w:lang w:bidi="en-US"/>
    </w:rPr>
  </w:style>
  <w:style w:type="character" w:customStyle="1" w:styleId="318">
    <w:name w:val="标题 6 Char"/>
    <w:qFormat/>
    <w:uiPriority w:val="0"/>
    <w:rPr>
      <w:rFonts w:ascii="Calibri" w:hAnsi="Calibri" w:eastAsia="宋体" w:cs="Times New Roman"/>
      <w:b/>
      <w:bCs/>
      <w:kern w:val="0"/>
      <w:sz w:val="22"/>
      <w:lang w:bidi="en-US"/>
    </w:rPr>
  </w:style>
  <w:style w:type="character" w:customStyle="1" w:styleId="319">
    <w:name w:val="标题 7 Char"/>
    <w:uiPriority w:val="0"/>
    <w:rPr>
      <w:rFonts w:ascii="Calibri" w:hAnsi="Calibri" w:eastAsia="宋体" w:cs="Times New Roman"/>
      <w:kern w:val="0"/>
      <w:sz w:val="24"/>
      <w:szCs w:val="24"/>
      <w:lang w:bidi="en-US"/>
    </w:rPr>
  </w:style>
  <w:style w:type="character" w:customStyle="1" w:styleId="320">
    <w:name w:val="标题 8 Char"/>
    <w:qFormat/>
    <w:uiPriority w:val="0"/>
    <w:rPr>
      <w:rFonts w:ascii="Calibri" w:hAnsi="Calibri" w:eastAsia="宋体" w:cs="Times New Roman"/>
      <w:i/>
      <w:iCs/>
      <w:kern w:val="0"/>
      <w:sz w:val="24"/>
      <w:szCs w:val="24"/>
      <w:lang w:bidi="en-US"/>
    </w:rPr>
  </w:style>
  <w:style w:type="character" w:customStyle="1" w:styleId="321">
    <w:name w:val="标题 9 Char"/>
    <w:qFormat/>
    <w:uiPriority w:val="0"/>
    <w:rPr>
      <w:rFonts w:ascii="Cambria" w:hAnsi="Cambria" w:eastAsia="宋体" w:cs="Times New Roman"/>
      <w:kern w:val="0"/>
      <w:sz w:val="22"/>
      <w:lang w:bidi="en-US"/>
    </w:rPr>
  </w:style>
  <w:style w:type="character" w:customStyle="1" w:styleId="322">
    <w:name w:val="文档结构图 Char"/>
    <w:semiHidden/>
    <w:uiPriority w:val="0"/>
    <w:rPr>
      <w:rFonts w:ascii="仿宋_GB2312" w:hAnsi="Times New Roman" w:eastAsia="仿宋_GB2312" w:cs="Times New Roman"/>
      <w:kern w:val="0"/>
      <w:sz w:val="24"/>
      <w:szCs w:val="24"/>
      <w:shd w:val="clear" w:color="auto" w:fill="000080"/>
    </w:rPr>
  </w:style>
  <w:style w:type="character" w:customStyle="1" w:styleId="323">
    <w:name w:val="正文文本缩进 Char1"/>
    <w:qFormat/>
    <w:uiPriority w:val="0"/>
    <w:rPr>
      <w:rFonts w:ascii="宋体" w:hAnsi="宋体" w:eastAsia="宋体" w:cs="Times New Roman"/>
      <w:sz w:val="24"/>
      <w:szCs w:val="24"/>
    </w:rPr>
  </w:style>
  <w:style w:type="character" w:customStyle="1" w:styleId="324">
    <w:name w:val="标题 Char"/>
    <w:qFormat/>
    <w:uiPriority w:val="0"/>
    <w:rPr>
      <w:rFonts w:ascii="Cambria" w:hAnsi="Cambria" w:eastAsia="宋体" w:cs="Times New Roman"/>
      <w:b/>
      <w:bCs/>
      <w:kern w:val="28"/>
      <w:sz w:val="32"/>
      <w:szCs w:val="32"/>
      <w:lang w:bidi="en-US"/>
    </w:rPr>
  </w:style>
  <w:style w:type="character" w:customStyle="1" w:styleId="325">
    <w:name w:val="副标题 Char"/>
    <w:qFormat/>
    <w:uiPriority w:val="0"/>
    <w:rPr>
      <w:rFonts w:ascii="Cambria" w:hAnsi="Cambria" w:eastAsia="宋体" w:cs="Times New Roman"/>
      <w:kern w:val="0"/>
      <w:sz w:val="24"/>
      <w:szCs w:val="24"/>
      <w:lang w:bidi="en-US"/>
    </w:rPr>
  </w:style>
  <w:style w:type="character" w:customStyle="1" w:styleId="326">
    <w:name w:val="无间隔 Char"/>
    <w:qFormat/>
    <w:uiPriority w:val="0"/>
    <w:rPr>
      <w:rFonts w:ascii="Calibri" w:hAnsi="Calibri" w:eastAsia="宋体" w:cs="Times New Roman"/>
      <w:kern w:val="0"/>
      <w:sz w:val="24"/>
      <w:szCs w:val="24"/>
      <w:lang w:bidi="en-US"/>
    </w:rPr>
  </w:style>
  <w:style w:type="character" w:customStyle="1" w:styleId="327">
    <w:name w:val="引用 Char"/>
    <w:qFormat/>
    <w:uiPriority w:val="0"/>
    <w:rPr>
      <w:rFonts w:ascii="Calibri" w:hAnsi="Calibri" w:eastAsia="宋体" w:cs="Times New Roman"/>
      <w:i/>
      <w:kern w:val="0"/>
      <w:sz w:val="24"/>
      <w:szCs w:val="24"/>
      <w:lang w:bidi="en-US"/>
    </w:rPr>
  </w:style>
  <w:style w:type="character" w:customStyle="1" w:styleId="328">
    <w:name w:val="明显引用 Char"/>
    <w:uiPriority w:val="0"/>
    <w:rPr>
      <w:rFonts w:ascii="Calibri" w:hAnsi="Calibri" w:eastAsia="宋体" w:cs="Times New Roman"/>
      <w:b/>
      <w:i/>
      <w:kern w:val="0"/>
      <w:sz w:val="24"/>
      <w:lang w:bidi="en-US"/>
    </w:rPr>
  </w:style>
  <w:style w:type="character" w:customStyle="1" w:styleId="329">
    <w:name w:val="纯文本 Char"/>
    <w:uiPriority w:val="0"/>
    <w:rPr>
      <w:rFonts w:ascii="宋体" w:hAnsi="Courier New" w:eastAsia="宋体" w:cs="Courier New"/>
      <w:sz w:val="28"/>
      <w:szCs w:val="21"/>
    </w:rPr>
  </w:style>
  <w:style w:type="character" w:customStyle="1" w:styleId="330">
    <w:name w:val="正文文本 Char"/>
    <w:qFormat/>
    <w:uiPriority w:val="0"/>
    <w:rPr>
      <w:rFonts w:ascii="Times New Roman" w:hAnsi="Times New Roman" w:eastAsia="宋体" w:cs="Times New Roman"/>
      <w:sz w:val="24"/>
      <w:szCs w:val="24"/>
    </w:rPr>
  </w:style>
  <w:style w:type="character" w:customStyle="1" w:styleId="331">
    <w:name w:val="正文文本 3 Char"/>
    <w:semiHidden/>
    <w:uiPriority w:val="0"/>
    <w:rPr>
      <w:rFonts w:ascii="Calibri" w:hAnsi="Calibri" w:eastAsia="宋体" w:cs="Times New Roman"/>
      <w:kern w:val="0"/>
      <w:sz w:val="16"/>
      <w:szCs w:val="16"/>
      <w:lang w:bidi="en-US"/>
    </w:rPr>
  </w:style>
  <w:style w:type="character" w:customStyle="1" w:styleId="332">
    <w:name w:val="正文文本缩进 3 Char"/>
    <w:semiHidden/>
    <w:qFormat/>
    <w:uiPriority w:val="0"/>
    <w:rPr>
      <w:rFonts w:ascii="Calibri" w:hAnsi="Calibri" w:eastAsia="宋体" w:cs="Times New Roman"/>
      <w:kern w:val="0"/>
      <w:sz w:val="16"/>
      <w:szCs w:val="16"/>
      <w:lang w:bidi="en-US"/>
    </w:rPr>
  </w:style>
  <w:style w:type="character" w:customStyle="1" w:styleId="333">
    <w:name w:val="正文文本缩进 2 Char"/>
    <w:semiHidden/>
    <w:qFormat/>
    <w:uiPriority w:val="0"/>
    <w:rPr>
      <w:rFonts w:ascii="Times New Roman" w:hAnsi="Times New Roman" w:eastAsia="宋体" w:cs="Times New Roman"/>
      <w:sz w:val="28"/>
      <w:szCs w:val="24"/>
    </w:rPr>
  </w:style>
  <w:style w:type="character" w:customStyle="1" w:styleId="334">
    <w:name w:val="正文文本 2 Char"/>
    <w:semiHidden/>
    <w:uiPriority w:val="0"/>
    <w:rPr>
      <w:rFonts w:ascii="Calibri" w:hAnsi="Calibri" w:eastAsia="宋体" w:cs="Times New Roman"/>
      <w:kern w:val="0"/>
      <w:sz w:val="24"/>
      <w:szCs w:val="24"/>
      <w:lang w:bidi="en-US"/>
    </w:rPr>
  </w:style>
  <w:style w:type="character" w:customStyle="1" w:styleId="335">
    <w:name w:val="注释标题 Char"/>
    <w:semiHidden/>
    <w:qFormat/>
    <w:uiPriority w:val="0"/>
    <w:rPr>
      <w:rFonts w:ascii="Times New Roman" w:hAnsi="Times New Roman" w:eastAsia="宋体" w:cs="Times New Roman"/>
      <w:sz w:val="28"/>
      <w:szCs w:val="24"/>
    </w:rPr>
  </w:style>
  <w:style w:type="character" w:customStyle="1" w:styleId="336">
    <w:name w:val="脚注文本 Char"/>
    <w:qFormat/>
    <w:uiPriority w:val="0"/>
    <w:rPr>
      <w:rFonts w:ascii="Calibri" w:hAnsi="Calibri" w:eastAsia="宋体" w:cs="Times New Roman"/>
      <w:kern w:val="0"/>
      <w:sz w:val="20"/>
      <w:szCs w:val="20"/>
    </w:rPr>
  </w:style>
  <w:style w:type="character" w:customStyle="1" w:styleId="337">
    <w:name w:val="批注文字 Char"/>
    <w:semiHidden/>
    <w:qFormat/>
    <w:uiPriority w:val="99"/>
    <w:rPr>
      <w:rFonts w:ascii="仿宋_GB2312" w:hAnsi="Times New Roman" w:eastAsia="仿宋_GB2312" w:cs="Times New Roman"/>
      <w:kern w:val="0"/>
      <w:sz w:val="24"/>
      <w:szCs w:val="24"/>
    </w:rPr>
  </w:style>
  <w:style w:type="character" w:customStyle="1" w:styleId="338">
    <w:name w:val="批注主题 Char"/>
    <w:semiHidden/>
    <w:qFormat/>
    <w:uiPriority w:val="99"/>
    <w:rPr>
      <w:rFonts w:ascii="仿宋_GB2312" w:hAnsi="Times New Roman" w:eastAsia="仿宋_GB2312" w:cs="Times New Roman"/>
      <w:b/>
      <w:bCs/>
      <w:kern w:val="0"/>
      <w:sz w:val="24"/>
      <w:szCs w:val="24"/>
    </w:rPr>
  </w:style>
  <w:style w:type="character" w:customStyle="1" w:styleId="339">
    <w:name w:val="z-窗体顶端 Char"/>
    <w:semiHidden/>
    <w:qFormat/>
    <w:uiPriority w:val="99"/>
    <w:rPr>
      <w:rFonts w:ascii="Arial" w:hAnsi="Arial" w:eastAsia="宋体" w:cs="Arial"/>
      <w:vanish/>
      <w:kern w:val="0"/>
      <w:sz w:val="16"/>
      <w:szCs w:val="16"/>
    </w:rPr>
  </w:style>
  <w:style w:type="character" w:customStyle="1" w:styleId="340">
    <w:name w:val="z-窗体底端 Char"/>
    <w:qFormat/>
    <w:uiPriority w:val="99"/>
    <w:rPr>
      <w:rFonts w:ascii="Arial" w:hAnsi="Arial" w:eastAsia="宋体" w:cs="Arial"/>
      <w:vanish/>
      <w:kern w:val="0"/>
      <w:sz w:val="16"/>
      <w:szCs w:val="16"/>
    </w:rPr>
  </w:style>
  <w:style w:type="character" w:customStyle="1" w:styleId="341">
    <w:name w:val="未处理的提及1"/>
    <w:basedOn w:val="46"/>
    <w:semiHidden/>
    <w:unhideWhenUsed/>
    <w:uiPriority w:val="99"/>
    <w:rPr>
      <w:color w:val="605E5C"/>
      <w:shd w:val="clear" w:color="auto" w:fill="E1DFDD"/>
    </w:rPr>
  </w:style>
  <w:style w:type="character" w:customStyle="1" w:styleId="342">
    <w:name w:val="未处理的提及2"/>
    <w:basedOn w:val="46"/>
    <w:semiHidden/>
    <w:unhideWhenUsed/>
    <w:uiPriority w:val="99"/>
    <w:rPr>
      <w:color w:val="605E5C"/>
      <w:shd w:val="clear" w:color="auto" w:fill="E1DFDD"/>
    </w:rPr>
  </w:style>
  <w:style w:type="paragraph" w:customStyle="1" w:styleId="343">
    <w:name w:val="Char Char Char1"/>
    <w:basedOn w:val="1"/>
    <w:semiHidden/>
    <w:qFormat/>
    <w:uiPriority w:val="0"/>
    <w:rPr>
      <w:rFonts w:ascii="Times New Roman" w:hAnsi="Times New Roman" w:eastAsia="宋体" w:cs="Times New Roman"/>
      <w:szCs w:val="24"/>
    </w:rPr>
  </w:style>
  <w:style w:type="character" w:customStyle="1" w:styleId="344">
    <w:name w:val="批注文字 字符"/>
    <w:basedOn w:val="46"/>
    <w:qFormat/>
    <w:uiPriority w:val="99"/>
  </w:style>
  <w:style w:type="character" w:customStyle="1" w:styleId="345">
    <w:name w:val="批注主题 字符"/>
    <w:basedOn w:val="344"/>
    <w:semiHidden/>
    <w:qFormat/>
    <w:uiPriority w:val="99"/>
    <w:rPr>
      <w:b/>
      <w:bCs/>
    </w:rPr>
  </w:style>
  <w:style w:type="paragraph" w:customStyle="1" w:styleId="346">
    <w:name w:val="4"/>
    <w:basedOn w:val="1"/>
    <w:next w:val="1"/>
    <w:qFormat/>
    <w:uiPriority w:val="39"/>
    <w:pPr>
      <w:spacing w:line="360" w:lineRule="auto"/>
      <w:ind w:left="240" w:firstLine="200" w:firstLineChars="200"/>
      <w:jc w:val="left"/>
    </w:pPr>
    <w:rPr>
      <w:rFonts w:ascii="Times New Roman" w:hAnsi="Times New Roman" w:eastAsia="仿宋_GB2312" w:cs="Times New Roman"/>
      <w:smallCaps/>
      <w:kern w:val="0"/>
      <w:sz w:val="20"/>
      <w:szCs w:val="20"/>
    </w:rPr>
  </w:style>
  <w:style w:type="character" w:customStyle="1" w:styleId="347">
    <w:name w:val="未处理的提及3"/>
    <w:basedOn w:val="46"/>
    <w:semiHidden/>
    <w:unhideWhenUsed/>
    <w:qFormat/>
    <w:uiPriority w:val="99"/>
    <w:rPr>
      <w:color w:val="605E5C"/>
      <w:shd w:val="clear" w:color="auto" w:fill="E1DFDD"/>
    </w:rPr>
  </w:style>
  <w:style w:type="character" w:customStyle="1" w:styleId="348">
    <w:name w:val="未处理的提及4"/>
    <w:basedOn w:val="46"/>
    <w:semiHidden/>
    <w:unhideWhenUsed/>
    <w:qFormat/>
    <w:uiPriority w:val="99"/>
    <w:rPr>
      <w:color w:val="605E5C"/>
      <w:shd w:val="clear" w:color="auto" w:fill="E1DFDD"/>
    </w:rPr>
  </w:style>
  <w:style w:type="paragraph" w:customStyle="1" w:styleId="349">
    <w:name w:val="段"/>
    <w:basedOn w:val="1"/>
    <w:link w:val="351"/>
    <w:uiPriority w:val="0"/>
    <w:pPr>
      <w:adjustRightInd w:val="0"/>
      <w:spacing w:line="440" w:lineRule="exact"/>
      <w:ind w:firstLine="560" w:firstLineChars="200"/>
      <w:textAlignment w:val="baseline"/>
    </w:pPr>
    <w:rPr>
      <w:rFonts w:ascii="Times New Roman" w:hAnsi="Times New Roman" w:eastAsia="宋体" w:cs="Times New Roman"/>
      <w:kern w:val="0"/>
      <w:sz w:val="28"/>
      <w:szCs w:val="28"/>
    </w:rPr>
  </w:style>
  <w:style w:type="paragraph" w:customStyle="1" w:styleId="350">
    <w:name w:val="Char Char Char Char Char Char Char"/>
    <w:basedOn w:val="1"/>
    <w:semiHidden/>
    <w:uiPriority w:val="0"/>
    <w:pPr>
      <w:jc w:val="left"/>
    </w:pPr>
    <w:rPr>
      <w:rFonts w:ascii="宋体" w:hAnsi="宋体" w:eastAsia="宋体" w:cs="宋体"/>
      <w:kern w:val="0"/>
      <w:sz w:val="24"/>
      <w:szCs w:val="24"/>
    </w:rPr>
  </w:style>
  <w:style w:type="character" w:customStyle="1" w:styleId="351">
    <w:name w:val="段 Char1"/>
    <w:basedOn w:val="46"/>
    <w:link w:val="349"/>
    <w:qFormat/>
    <w:uiPriority w:val="0"/>
    <w:rPr>
      <w:rFonts w:ascii="Times New Roman" w:hAnsi="Times New Roman" w:eastAsia="宋体" w:cs="Times New Roman"/>
      <w:kern w:val="0"/>
      <w:sz w:val="28"/>
      <w:szCs w:val="28"/>
    </w:rPr>
  </w:style>
  <w:style w:type="character" w:customStyle="1" w:styleId="352">
    <w:name w:val="未处理的提及5"/>
    <w:basedOn w:val="46"/>
    <w:semiHidden/>
    <w:unhideWhenUsed/>
    <w:qFormat/>
    <w:uiPriority w:val="99"/>
    <w:rPr>
      <w:color w:val="605E5C"/>
      <w:shd w:val="clear" w:color="auto" w:fill="E1DFDD"/>
    </w:rPr>
  </w:style>
  <w:style w:type="character" w:customStyle="1" w:styleId="353">
    <w:name w:val="Unresolved Mention"/>
    <w:basedOn w:val="46"/>
    <w:semiHidden/>
    <w:unhideWhenUsed/>
    <w:uiPriority w:val="99"/>
    <w:rPr>
      <w:color w:val="605E5C"/>
      <w:shd w:val="clear" w:color="auto" w:fill="E1DFDD"/>
    </w:rPr>
  </w:style>
  <w:style w:type="table" w:customStyle="1" w:styleId="354">
    <w:name w:val="网格型3"/>
    <w:basedOn w:val="4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table" w:customStyle="1" w:styleId="355">
    <w:name w:val="网格型21"/>
    <w:basedOn w:val="44"/>
    <w:uiPriority w:val="59"/>
    <w:rPr>
      <w:rFonts w:ascii="Times New Roman" w:hAnsi="Times New Roman" w:eastAsia="方正仿宋_GBK"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356">
    <w:name w:val="网格型11"/>
    <w:basedOn w:val="44"/>
    <w:qFormat/>
    <w:uiPriority w:val="59"/>
    <w:rPr>
      <w:rFonts w:ascii="Times New Roman" w:hAnsi="Times New Roman" w:eastAsia="方正仿宋_GBK"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6.emf"/><Relationship Id="rId16" Type="http://schemas.openxmlformats.org/officeDocument/2006/relationships/image" Target="media/image5.wmf"/><Relationship Id="rId15" Type="http://schemas.openxmlformats.org/officeDocument/2006/relationships/oleObject" Target="embeddings/oleObject2.bin"/><Relationship Id="rId14" Type="http://schemas.openxmlformats.org/officeDocument/2006/relationships/image" Target="media/image4.wmf"/><Relationship Id="rId13" Type="http://schemas.openxmlformats.org/officeDocument/2006/relationships/oleObject" Target="embeddings/oleObject1.bin"/><Relationship Id="rId12" Type="http://schemas.openxmlformats.org/officeDocument/2006/relationships/image" Target="media/image3.jpeg"/><Relationship Id="rId11" Type="http://schemas.openxmlformats.org/officeDocument/2006/relationships/image" Target="media/image2.emf"/><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1458A5-8E39-4239-81CC-5FB7BF91FDBC}">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51</Pages>
  <Words>4558</Words>
  <Characters>25983</Characters>
  <Lines>216</Lines>
  <Paragraphs>60</Paragraphs>
  <TotalTime>37</TotalTime>
  <ScaleCrop>false</ScaleCrop>
  <LinksUpToDate>false</LinksUpToDate>
  <CharactersWithSpaces>30481</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2019-12-17T06:35:00Z</dcterms:created>
  <dc:creator>Administrator</dc:creator>
  <cp:lastModifiedBy>ynfyzfb</cp:lastModifiedBy>
  <cp:lastPrinted>2019-09-29T02:51:00Z</cp:lastPrinted>
  <dcterms:modified xsi:type="dcterms:W3CDTF">2020-11-05T09:38:44Z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