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5"/>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p>
    <w:p>
      <w:pPr>
        <w:pStyle w:val="55"/>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p>
    <w:p>
      <w:pPr>
        <w:pStyle w:val="55"/>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p>
    <w:p>
      <w:pPr>
        <w:pStyle w:val="55"/>
        <w:adjustRightInd w:val="0"/>
        <w:snapToGrid w:val="0"/>
        <w:spacing w:line="360" w:lineRule="auto"/>
        <w:ind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bookmarkStart w:id="0" w:name="_Toc478744137"/>
      <w:r>
        <w:rPr>
          <w:rFonts w:hint="eastAsia" w:ascii="仿宋" w:hAnsi="仿宋" w:eastAsia="仿宋" w:cs="Times New Roman"/>
          <w:b/>
          <w:color w:val="0D0D0D" w:themeColor="text1" w:themeTint="F2"/>
          <w:sz w:val="44"/>
          <w:szCs w:val="44"/>
          <w14:textFill>
            <w14:solidFill>
              <w14:schemeClr w14:val="tx1">
                <w14:lumMod w14:val="95000"/>
                <w14:lumOff w14:val="5000"/>
              </w14:schemeClr>
            </w14:solidFill>
          </w14:textFill>
        </w:rPr>
        <w:t>曲靖市富源县富村镇迤佐河</w:t>
      </w:r>
      <w: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t>水库</w:t>
      </w:r>
      <w:r>
        <w:rPr>
          <w:rFonts w:hint="eastAsia" w:ascii="仿宋" w:hAnsi="仿宋" w:eastAsia="仿宋" w:cs="Times New Roman"/>
          <w:b/>
          <w:color w:val="0D0D0D" w:themeColor="text1" w:themeTint="F2"/>
          <w:sz w:val="44"/>
          <w:szCs w:val="44"/>
          <w14:textFill>
            <w14:solidFill>
              <w14:schemeClr w14:val="tx1">
                <w14:lumMod w14:val="95000"/>
                <w14:lumOff w14:val="5000"/>
              </w14:schemeClr>
            </w14:solidFill>
          </w14:textFill>
        </w:rPr>
        <w:t>饮用水</w:t>
      </w:r>
    </w:p>
    <w:p>
      <w:pPr>
        <w:pStyle w:val="55"/>
        <w:adjustRightInd w:val="0"/>
        <w:snapToGrid w:val="0"/>
        <w:spacing w:line="360" w:lineRule="auto"/>
        <w:ind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r>
        <w:rPr>
          <w:rFonts w:hint="eastAsia" w:ascii="仿宋" w:hAnsi="仿宋" w:eastAsia="仿宋" w:cs="Times New Roman"/>
          <w:b/>
          <w:color w:val="0D0D0D" w:themeColor="text1" w:themeTint="F2"/>
          <w:sz w:val="44"/>
          <w:szCs w:val="44"/>
          <w14:textFill>
            <w14:solidFill>
              <w14:schemeClr w14:val="tx1">
                <w14:lumMod w14:val="95000"/>
                <w14:lumOff w14:val="5000"/>
              </w14:schemeClr>
            </w14:solidFill>
          </w14:textFill>
        </w:rPr>
        <w:t>水源保护区划分方案</w:t>
      </w:r>
    </w:p>
    <w:p>
      <w:pPr>
        <w:pStyle w:val="55"/>
        <w:adjustRightInd w:val="0"/>
        <w:snapToGrid w:val="0"/>
        <w:spacing w:line="360" w:lineRule="auto"/>
        <w:ind w:left="357" w:firstLine="0" w:firstLineChars="0"/>
        <w:jc w:val="center"/>
        <w:rPr>
          <w:rFonts w:eastAsia="仿宋"/>
          <w:b/>
          <w:color w:val="0D0D0D" w:themeColor="text1" w:themeTint="F2"/>
          <w:sz w:val="36"/>
          <w:szCs w:val="36"/>
          <w14:textFill>
            <w14:solidFill>
              <w14:schemeClr w14:val="tx1">
                <w14:lumMod w14:val="95000"/>
                <w14:lumOff w14:val="5000"/>
              </w14:schemeClr>
            </w14:solidFill>
          </w14:textFill>
        </w:rPr>
      </w:pPr>
      <w:r>
        <w:rPr>
          <w:rFonts w:hint="eastAsia" w:eastAsia="仿宋"/>
          <w:b/>
          <w:color w:val="0D0D0D" w:themeColor="text1" w:themeTint="F2"/>
          <w:sz w:val="36"/>
          <w:szCs w:val="36"/>
          <w14:textFill>
            <w14:solidFill>
              <w14:schemeClr w14:val="tx1">
                <w14:lumMod w14:val="95000"/>
                <w14:lumOff w14:val="5000"/>
              </w14:schemeClr>
            </w14:solidFill>
          </w14:textFill>
        </w:rPr>
        <w:t>（报批稿）</w:t>
      </w: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tabs>
          <w:tab w:val="left" w:pos="2472"/>
          <w:tab w:val="left" w:pos="3586"/>
          <w:tab w:val="center" w:pos="4331"/>
        </w:tabs>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r>
        <w:rPr>
          <w:rFonts w:eastAsia="仿宋"/>
          <w:b/>
          <w:color w:val="0D0D0D" w:themeColor="text1" w:themeTint="F2"/>
          <w:sz w:val="32"/>
          <w:szCs w:val="24"/>
          <w14:textFill>
            <w14:solidFill>
              <w14:schemeClr w14:val="tx1">
                <w14:lumMod w14:val="95000"/>
                <w14:lumOff w14:val="5000"/>
              </w14:schemeClr>
            </w14:solidFill>
          </w14:textFill>
        </w:rPr>
        <w:tab/>
      </w:r>
      <w:r>
        <w:rPr>
          <w:rFonts w:eastAsia="仿宋"/>
          <w:b/>
          <w:color w:val="0D0D0D" w:themeColor="text1" w:themeTint="F2"/>
          <w:sz w:val="32"/>
          <w:szCs w:val="24"/>
          <w14:textFill>
            <w14:solidFill>
              <w14:schemeClr w14:val="tx1">
                <w14:lumMod w14:val="95000"/>
                <w14:lumOff w14:val="5000"/>
              </w14:schemeClr>
            </w14:solidFill>
          </w14:textFill>
        </w:rPr>
        <w:tab/>
      </w:r>
      <w:r>
        <w:rPr>
          <w:rFonts w:eastAsia="仿宋"/>
          <w:b/>
          <w:color w:val="0D0D0D" w:themeColor="text1" w:themeTint="F2"/>
          <w:sz w:val="32"/>
          <w:szCs w:val="24"/>
          <w14:textFill>
            <w14:solidFill>
              <w14:schemeClr w14:val="tx1">
                <w14:lumMod w14:val="95000"/>
                <w14:lumOff w14:val="5000"/>
              </w14:schemeClr>
            </w14:solidFill>
          </w14:textFill>
        </w:rPr>
        <w:tab/>
      </w: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富源县人民政府</w:t>
      </w:r>
    </w:p>
    <w:p>
      <w:pPr>
        <w:jc w:val="cente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t>201</w:t>
      </w: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9</w:t>
      </w:r>
      <w: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t>年12月</w:t>
      </w:r>
    </w:p>
    <w:p>
      <w:pPr>
        <w:jc w:val="center"/>
        <w:rPr>
          <w:rFonts w:eastAsia="仿宋"/>
          <w:b/>
          <w:color w:val="0D0D0D" w:themeColor="text1" w:themeTint="F2"/>
          <w:sz w:val="32"/>
          <w:szCs w:val="24"/>
          <w14:textFill>
            <w14:solidFill>
              <w14:schemeClr w14:val="tx1">
                <w14:lumMod w14:val="95000"/>
                <w14:lumOff w14:val="5000"/>
              </w14:schemeClr>
            </w14:solidFill>
          </w14:textFill>
        </w:rPr>
      </w:pPr>
    </w:p>
    <w:p>
      <w:pPr>
        <w:jc w:val="center"/>
        <w:rPr>
          <w:rFonts w:eastAsia="仿宋"/>
          <w:b/>
          <w:color w:val="0D0D0D" w:themeColor="text1" w:themeTint="F2"/>
          <w:sz w:val="32"/>
          <w:szCs w:val="24"/>
          <w14:textFill>
            <w14:solidFill>
              <w14:schemeClr w14:val="tx1">
                <w14:lumMod w14:val="95000"/>
                <w14:lumOff w14:val="5000"/>
              </w14:schemeClr>
            </w14:solidFill>
          </w14:textFill>
        </w:rPr>
      </w:pPr>
    </w:p>
    <w:p>
      <w:pPr>
        <w:jc w:val="center"/>
        <w:rPr>
          <w:rFonts w:eastAsia="仿宋"/>
          <w:b/>
          <w:color w:val="0D0D0D" w:themeColor="text1" w:themeTint="F2"/>
          <w:sz w:val="32"/>
          <w:szCs w:val="24"/>
          <w14:textFill>
            <w14:solidFill>
              <w14:schemeClr w14:val="tx1">
                <w14:lumMod w14:val="95000"/>
                <w14:lumOff w14:val="5000"/>
              </w14:schemeClr>
            </w14:solidFill>
          </w14:textFill>
        </w:rPr>
      </w:pPr>
    </w:p>
    <w:p>
      <w:pPr>
        <w:widowControl/>
        <w:jc w:val="left"/>
        <w:rPr>
          <w:rFonts w:eastAsia="仿宋"/>
          <w:b/>
          <w:color w:val="0D0D0D" w:themeColor="text1" w:themeTint="F2"/>
          <w:sz w:val="32"/>
          <w:szCs w:val="24"/>
          <w14:textFill>
            <w14:solidFill>
              <w14:schemeClr w14:val="tx1">
                <w14:lumMod w14:val="95000"/>
                <w14:lumOff w14:val="5000"/>
              </w14:schemeClr>
            </w14:solidFill>
          </w14:textFill>
        </w:rPr>
      </w:pPr>
      <w:r>
        <w:rPr>
          <w:rFonts w:eastAsia="仿宋"/>
          <w:b/>
          <w:color w:val="0D0D0D" w:themeColor="text1" w:themeTint="F2"/>
          <w:sz w:val="32"/>
          <w:szCs w:val="24"/>
          <w14:textFill>
            <w14:solidFill>
              <w14:schemeClr w14:val="tx1">
                <w14:lumMod w14:val="95000"/>
                <w14:lumOff w14:val="5000"/>
              </w14:schemeClr>
            </w14:solidFill>
          </w14:textFill>
        </w:rPr>
        <w:br w:type="page"/>
      </w:r>
    </w:p>
    <w:p>
      <w:pPr>
        <w:tabs>
          <w:tab w:val="left" w:pos="15660"/>
        </w:tabs>
        <w:spacing w:line="700" w:lineRule="exact"/>
        <w:rPr>
          <w:rFonts w:ascii="Times New Roman" w:hAnsi="Times New Roman" w:eastAsia="仿宋_GB2312" w:cs="Times New Roman"/>
          <w:color w:val="0D0D0D" w:themeColor="text1" w:themeTint="F2"/>
          <w:spacing w:val="6"/>
          <w:w w:val="102"/>
          <w:sz w:val="36"/>
          <w:szCs w:val="30"/>
          <w14:textFill>
            <w14:solidFill>
              <w14:schemeClr w14:val="tx1">
                <w14:lumMod w14:val="95000"/>
                <w14:lumOff w14:val="5000"/>
              </w14:schemeClr>
            </w14:solidFill>
          </w14:textFill>
        </w:rPr>
      </w:pPr>
      <w:bookmarkStart w:id="1" w:name="_Hlk528187490"/>
    </w:p>
    <w:p>
      <w:pPr>
        <w:tabs>
          <w:tab w:val="left" w:pos="15660"/>
        </w:tabs>
        <w:spacing w:line="700" w:lineRule="exact"/>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主持</w:t>
      </w:r>
      <w:r>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单位：</w:t>
      </w: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富源县人民政府</w:t>
      </w:r>
    </w:p>
    <w:p>
      <w:pPr>
        <w:tabs>
          <w:tab w:val="left" w:pos="15660"/>
        </w:tabs>
        <w:spacing w:line="700" w:lineRule="exact"/>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委托单位：富村镇人民政府</w:t>
      </w:r>
    </w:p>
    <w:p>
      <w:pPr>
        <w:tabs>
          <w:tab w:val="left" w:pos="15660"/>
        </w:tabs>
        <w:spacing w:line="700" w:lineRule="exact"/>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编制单位：云南新世纪环境保护科学研究院</w:t>
      </w:r>
    </w:p>
    <w:p>
      <w:pPr>
        <w:tabs>
          <w:tab w:val="left" w:pos="15660"/>
        </w:tabs>
        <w:spacing w:line="700" w:lineRule="exact"/>
        <w:ind w:left="715" w:leftChars="338" w:hanging="5" w:hangingChars="2"/>
        <w:rPr>
          <w:rFonts w:ascii="Times New Roman" w:hAnsi="Times New Roman" w:eastAsia="仿宋_GB2312" w:cs="Times New Roman"/>
          <w:color w:val="0D0D0D" w:themeColor="text1" w:themeTint="F2"/>
          <w:sz w:val="28"/>
          <w:szCs w:val="24"/>
          <w14:textFill>
            <w14:solidFill>
              <w14:schemeClr w14:val="tx1">
                <w14:lumMod w14:val="95000"/>
                <w14:lumOff w14:val="5000"/>
              </w14:schemeClr>
            </w14:solidFill>
          </w14:textFill>
        </w:rPr>
      </w:pPr>
    </w:p>
    <w:p>
      <w:pPr>
        <w:tabs>
          <w:tab w:val="left" w:pos="15660"/>
        </w:tabs>
        <w:spacing w:line="700" w:lineRule="exact"/>
        <w:ind w:left="715" w:leftChars="338" w:hanging="5" w:hangingChars="2"/>
        <w:rPr>
          <w:rFonts w:ascii="Times New Roman" w:hAnsi="Times New Roman" w:eastAsia="仿宋_GB2312" w:cs="Times New Roman"/>
          <w:color w:val="0D0D0D" w:themeColor="text1" w:themeTint="F2"/>
          <w:sz w:val="28"/>
          <w:szCs w:val="24"/>
          <w14:textFill>
            <w14:solidFill>
              <w14:schemeClr w14:val="tx1">
                <w14:lumMod w14:val="95000"/>
                <w14:lumOff w14:val="5000"/>
              </w14:schemeClr>
            </w14:solidFill>
          </w14:textFill>
        </w:rPr>
      </w:pPr>
    </w:p>
    <w:tbl>
      <w:tblPr>
        <w:tblStyle w:val="45"/>
        <w:tblW w:w="7805" w:type="dxa"/>
        <w:tblInd w:w="4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11"/>
        <w:gridCol w:w="47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总工程师</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李  唯（正</w:t>
            </w:r>
            <w:r>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高级</w:t>
            </w: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审    定：</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 xml:space="preserve">晏 </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 xml:space="preserve"> </w:t>
            </w: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司（高级工程师）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 xml:space="preserve">审 </w:t>
            </w:r>
            <w:r>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 xml:space="preserve"> </w:t>
            </w: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 xml:space="preserve">  核：</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董志芬</w:t>
            </w: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（高级工程师）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项目</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负责人</w:t>
            </w: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罗柏青（工程师、硕士）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主要编制人员：</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王春香（工程师、硕士）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魏贤亮（工程师、硕士）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董徐艳（工程师、硕士）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r>
    </w:tbl>
    <w:p>
      <w:pPr>
        <w:jc w:val="center"/>
        <w:rPr>
          <w:rFonts w:eastAsia="仿宋"/>
          <w:b/>
          <w:color w:val="0D0D0D" w:themeColor="text1" w:themeTint="F2"/>
          <w:sz w:val="32"/>
          <w:szCs w:val="24"/>
          <w14:textFill>
            <w14:solidFill>
              <w14:schemeClr w14:val="tx1">
                <w14:lumMod w14:val="95000"/>
                <w14:lumOff w14:val="5000"/>
              </w14:schemeClr>
            </w14:solidFill>
          </w14:textFill>
        </w:rPr>
      </w:pPr>
    </w:p>
    <w:bookmarkEnd w:id="1"/>
    <w:p>
      <w:pPr>
        <w:widowControl/>
        <w:snapToGrid w:val="0"/>
        <w:spacing w:line="360" w:lineRule="auto"/>
        <w:jc w:val="left"/>
        <w:outlineLvl w:val="0"/>
        <w:rPr>
          <w:rFonts w:eastAsia="仿宋"/>
          <w:b/>
          <w:color w:val="0D0D0D" w:themeColor="text1" w:themeTint="F2"/>
          <w:sz w:val="32"/>
          <w:szCs w:val="32"/>
          <w14:textFill>
            <w14:solidFill>
              <w14:schemeClr w14:val="tx1">
                <w14:lumMod w14:val="95000"/>
                <w14:lumOff w14:val="5000"/>
              </w14:schemeClr>
            </w14:solidFill>
          </w14:textFill>
        </w:rPr>
        <w:sectPr>
          <w:footerReference r:id="rId3" w:type="default"/>
          <w:pgSz w:w="11906" w:h="16838"/>
          <w:pgMar w:top="1440" w:right="1800" w:bottom="1440" w:left="1800" w:header="851" w:footer="992" w:gutter="0"/>
          <w:pgNumType w:fmt="numberInDash"/>
          <w:cols w:space="425" w:num="1"/>
          <w:docGrid w:type="lines" w:linePitch="312" w:charSpace="0"/>
        </w:sectPr>
      </w:pPr>
    </w:p>
    <w:p>
      <w:pPr>
        <w:widowControl/>
        <w:snapToGrid w:val="0"/>
        <w:spacing w:line="360" w:lineRule="auto"/>
        <w:jc w:val="left"/>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sectPr>
          <w:footerReference r:id="rId4" w:type="default"/>
          <w:pgSz w:w="11906" w:h="16838"/>
          <w:pgMar w:top="1440" w:right="1800" w:bottom="1440" w:left="1800" w:header="851" w:footer="992" w:gutter="0"/>
          <w:pgNumType w:fmt="lowerRoman" w:start="1"/>
          <w:cols w:space="425" w:num="1"/>
          <w:docGrid w:type="lines" w:linePitch="312" w:charSpace="0"/>
        </w:sectPr>
      </w:pPr>
    </w:p>
    <w:p>
      <w:pPr>
        <w:jc w:val="cente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 xml:space="preserve">目 </w:t>
      </w:r>
      <w: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录</w:t>
      </w:r>
    </w:p>
    <w:p>
      <w:pPr>
        <w:pStyle w:val="30"/>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instrText xml:space="preserve"> TOC \o "1-3" \h \z \u </w:instrText>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fldChar w:fldCharType="separate"/>
      </w:r>
      <w:r>
        <w:fldChar w:fldCharType="begin"/>
      </w:r>
      <w:r>
        <w:instrText xml:space="preserve"> HYPERLINK \l "_Toc27520645" </w:instrText>
      </w:r>
      <w:r>
        <w:fldChar w:fldCharType="separate"/>
      </w:r>
      <w:r>
        <w:rPr>
          <w:rStyle w:val="51"/>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第一章 总则</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_Toc27520645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"_Toc27520646"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 划分目的</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_Toc27520646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"_Toc27520647"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 划分依据</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_Toc27520647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"_Toc27520648"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1.2.1 相关法律法规</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_Toc27520648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"_Toc27520649"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1.2.2 技术标准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_Toc27520649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"_Toc27520650"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1.2.3 相关已经批准实施的规划</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_Toc27520650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"_Toc27520651"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 技术路线</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_Toc27520651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"_Toc27520652" </w:instrText>
      </w:r>
      <w:r>
        <w:fldChar w:fldCharType="separate"/>
      </w:r>
      <w:r>
        <w:rPr>
          <w:rStyle w:val="51"/>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第二章 饮用水水源基础环境状况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_Toc27520652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"_Toc27520653"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 饮用水水源地所在区域的自然状况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_Toc27520653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"_Toc27520654"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2.1.1 地理位置</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_Toc27520654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"_Toc27520655"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2.1.2 地形地貌</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_Toc27520655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"_Toc27520656"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2.1.3 气候特征</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_Toc27520656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"_Toc27520657"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2.1.4 水文水资源状况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_Toc27520657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"_Toc27520658"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 饮用水水源地所在区域的社会经济状况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_Toc27520658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"_Toc27520659"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2.3 饮用水水源地周边城乡土地使用现状及规划情况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_Toc27520659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"_Toc27520660"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 饮用水水源地规划、水功能区划、重要生态功能区等情况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_Toc27520660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"_Toc27520661"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 饮用水水源地基本状况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_Toc27520661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"_Toc27520662"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2.5.1 水库概况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_Toc27520662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"_Toc27520663"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2.5.2 供水情况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_Toc27520663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"_Toc27520664"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 饮用水水源地的水质状况调查评价</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_Toc27520664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"_Toc27520665"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2.6.1 评价指标、时段、监测布点</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_Toc27520665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"_Toc27520666"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2.6.2 评价方法</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_Toc27520666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"_Toc27520667"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2.6.3 水质评价结果</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_Toc27520667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"_Toc27520668"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2.7 饮用水水源地周边及上游污染源调查</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_Toc27520668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"_Toc27520669"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2.7.1 点源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_Toc27520669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"_Toc27520670"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2.7.2 面源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_Toc27520670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"_Toc27520671"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2.7.3 流动源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_Toc27520671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"_Toc27520672"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2.7.4 污染源汇总</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_Toc27520672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"_Toc27520673"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2.8 饮用水水源地水环境风险分析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_Toc27520673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"_Toc27520674"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2.9 饮用水水源保护区规范化建设现状及存在问题</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_Toc27520674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- 39 -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"_Toc27520675"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2.9.1 保护区规范化建设及管理现状</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_Toc27520675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- 39 -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"_Toc27520676"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2.9.2 保护区主要环境问题</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_Toc27520676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"_Toc27520677" </w:instrText>
      </w:r>
      <w:r>
        <w:fldChar w:fldCharType="separate"/>
      </w:r>
      <w:r>
        <w:rPr>
          <w:rStyle w:val="51"/>
          <w:rFonts w:ascii="Times New Roman" w:hAnsi="Times New Roman" w:eastAsia="仿宋" w:cs="Times New Roman"/>
          <w:b/>
          <w:bCs/>
          <w:color w:val="0D0D0D" w:themeColor="text1" w:themeTint="F2"/>
          <w:kern w:val="44"/>
          <w:sz w:val="24"/>
          <w:szCs w:val="24"/>
          <w14:textFill>
            <w14:solidFill>
              <w14:schemeClr w14:val="tx1">
                <w14:lumMod w14:val="95000"/>
                <w14:lumOff w14:val="5000"/>
              </w14:schemeClr>
            </w14:solidFill>
          </w14:textFill>
        </w:rPr>
        <w:t>第三章 保护区划分与定界</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_Toc27520677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"_Toc27520678"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3.1 划分方法</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_Toc27520678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"_Toc27520679"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3.1.1 一级保护区划分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_Toc27520679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"_Toc27520680"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3.1.2 二级保护区划分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_Toc27520680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"_Toc27520681"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3.1.3 准保护区划分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_Toc27520681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"_Toc27520682"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3.2 初步划分结果与分析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_Toc27520682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"_Toc27520683"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3.2.1 一级保护区范围的确定</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_Toc27520683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"_Toc27520684"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3.2.2 二级保护区范围的确定</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_Toc27520684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"_Toc27520685"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3.2.2 准保护区范围的确定</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_Toc27520685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"_Toc27520686"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3.3 保护区定界的依据</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_Toc27520686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"_Toc27520687" </w:instrText>
      </w:r>
      <w:r>
        <w:fldChar w:fldCharType="separate"/>
      </w:r>
      <w:r>
        <w:rPr>
          <w:rStyle w:val="51"/>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第四章 饮用水水源保护区建设投资估算</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_Toc27520687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"_Toc27520688"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4.1 保护区规范化建设项目投资估算</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_Toc27520688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"_Toc27520689"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4.1.1 保护区范围划定工程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_Toc27520689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"_Toc27520690"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4.1.2 保护区整治工程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_Toc27520690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"_Toc27520691"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4.1.3 生态恢复与建设工程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_Toc27520691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"_Toc27520692"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4.1.4 管理能力建设工程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_Toc27520692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"_Toc27520693"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4.2 规范化建设目标达标的可行性分析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_Toc27520693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"_Toc27520694"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4.2.1 项目投资及预期效果</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_Toc27520694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"_Toc27520695"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4.2.2 保护区整治方案可行性</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_Toc27520695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"_Toc27520696"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4.2.3 饮用水水源地水质目标可达性分析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_Toc27520696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"_Toc27520697" </w:instrText>
      </w:r>
      <w:r>
        <w:fldChar w:fldCharType="separate"/>
      </w:r>
      <w:r>
        <w:rPr>
          <w:rStyle w:val="51"/>
          <w:rFonts w:ascii="Times New Roman" w:hAnsi="Times New Roman" w:eastAsia="仿宋" w:cs="Times New Roman"/>
          <w:b/>
          <w:bCs/>
          <w:color w:val="0D0D0D" w:themeColor="text1" w:themeTint="F2"/>
          <w:kern w:val="44"/>
          <w:sz w:val="24"/>
          <w:szCs w:val="24"/>
          <w14:textFill>
            <w14:solidFill>
              <w14:schemeClr w14:val="tx1">
                <w14:lumMod w14:val="95000"/>
                <w14:lumOff w14:val="5000"/>
              </w14:schemeClr>
            </w14:solidFill>
          </w14:textFill>
        </w:rPr>
        <w:t>第五章饮用水水源保护区划分方案、图件及有关说明</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_Toc27520697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"_Toc27520698"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5.1 饮用水水源保护区划分方案</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_Toc27520698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"_Toc27520699"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5.2 饮用水水源保护区划分图件</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_Toc27520699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"_Toc27520700"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附表1 富源县（2018年）基础信息调查表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_Toc27520700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"_Toc27520701"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附表2 富源县迤佐河水库饮用水水源地基础信息表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_Toc27520701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"_Toc27520702"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附表3 富源县迤佐河水库集中式饮用水水源保护区划分结果表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_Toc27520702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- 69 -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color w:val="0D0D0D" w:themeColor="text1" w:themeTint="F2"/>
          <w:kern w:val="2"/>
          <w:sz w:val="21"/>
          <w14:textFill>
            <w14:solidFill>
              <w14:schemeClr w14:val="tx1">
                <w14:lumMod w14:val="95000"/>
                <w14:lumOff w14:val="5000"/>
              </w14:schemeClr>
            </w14:solidFill>
          </w14:textFill>
        </w:rPr>
      </w:pPr>
      <w:r>
        <w:fldChar w:fldCharType="begin"/>
      </w:r>
      <w:r>
        <w:instrText xml:space="preserve"> HYPERLINK \l "_Toc27520703"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附表4 富源县迤佐河水库饮用水水源地保护区污染源调查表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_Toc27520703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- 70 -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snapToGrid w:val="0"/>
        <w:spacing w:line="360" w:lineRule="auto"/>
        <w:ind w:left="960" w:hanging="960" w:hangingChars="400"/>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sectPr>
          <w:footerReference r:id="rId5" w:type="default"/>
          <w:pgSz w:w="11906" w:h="16838"/>
          <w:pgMar w:top="1440" w:right="1800" w:bottom="1440" w:left="1800" w:header="851" w:footer="992" w:gutter="0"/>
          <w:pgNumType w:fmt="lowerRoman" w:start="1"/>
          <w:cols w:space="425" w:num="1"/>
          <w:docGrid w:type="lines" w:linePitch="312" w:charSpace="0"/>
        </w:sectPr>
      </w:pP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snapToGrid w:val="0"/>
        <w:spacing w:line="360" w:lineRule="auto"/>
        <w:ind w:left="960" w:hanging="960" w:hangingChars="4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p>
      <w:pPr>
        <w:snapToGrid w:val="0"/>
        <w:spacing w:line="360" w:lineRule="auto"/>
        <w:ind w:left="1124" w:hanging="1124" w:hangingChars="400"/>
        <w:rPr>
          <w:rFonts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t>附图：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bookmarkStart w:id="2" w:name="_Hlk528187524"/>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附图1  迤佐河水库饮用水源地区位图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附图2  迤佐河水库饮用水源地水系图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附图3  迤佐河水库饮用水源地保护区区划图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附图4  迤佐河水库饮用水源地保护区划污染源分布图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附图5  迤佐河水库饮用水源地保护区划拐点图</w:t>
      </w:r>
    </w:p>
    <w:p>
      <w:pPr>
        <w:snapToGrid w:val="0"/>
        <w:spacing w:line="360" w:lineRule="auto"/>
        <w:ind w:left="1120" w:hanging="1120" w:hangingChars="400"/>
        <w:rPr>
          <w:rFonts w:ascii="Times New Roman" w:hAnsi="Times New Roman" w:eastAsia="仿宋" w:cs="Times New Roman"/>
          <w:color w:val="0D0D0D" w:themeColor="text1" w:themeTint="F2"/>
          <w:sz w:val="28"/>
          <w:szCs w:val="24"/>
          <w14:textFill>
            <w14:solidFill>
              <w14:schemeClr w14:val="tx1">
                <w14:lumMod w14:val="95000"/>
                <w14:lumOff w14:val="5000"/>
              </w14:schemeClr>
            </w14:solidFill>
          </w14:textFill>
        </w:rPr>
      </w:pPr>
    </w:p>
    <w:p>
      <w:pPr>
        <w:snapToGrid w:val="0"/>
        <w:spacing w:line="360" w:lineRule="auto"/>
        <w:ind w:left="1124" w:hanging="1124" w:hangingChars="400"/>
        <w:rPr>
          <w:rFonts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t>附件：</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件</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xml:space="preserve">1  </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富源县千吨万人饮用水水源地水质检测（蓝硕检字〔201</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811</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号）</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bookmarkEnd w:id="2"/>
    <w:p>
      <w:pPr>
        <w:rPr>
          <w:rFonts w:cs="Times New Roman"/>
          <w:color w:val="0D0D0D" w:themeColor="text1" w:themeTint="F2"/>
          <w:sz w:val="36"/>
          <w:szCs w:val="36"/>
          <w14:textFill>
            <w14:solidFill>
              <w14:schemeClr w14:val="tx1">
                <w14:lumMod w14:val="95000"/>
                <w14:lumOff w14:val="5000"/>
              </w14:schemeClr>
            </w14:solidFill>
          </w14:textFill>
        </w:rPr>
      </w:pPr>
    </w:p>
    <w:p>
      <w:pPr>
        <w:rPr>
          <w:rFonts w:cs="Times New Roman"/>
          <w:color w:val="0D0D0D" w:themeColor="text1" w:themeTint="F2"/>
          <w:sz w:val="36"/>
          <w:szCs w:val="36"/>
          <w14:textFill>
            <w14:solidFill>
              <w14:schemeClr w14:val="tx1">
                <w14:lumMod w14:val="95000"/>
                <w14:lumOff w14:val="5000"/>
              </w14:schemeClr>
            </w14:solidFill>
          </w14:textFill>
        </w:rPr>
        <w:sectPr>
          <w:pgSz w:w="11906" w:h="16838"/>
          <w:pgMar w:top="1440" w:right="1800" w:bottom="1440" w:left="1800" w:header="851" w:footer="992" w:gutter="0"/>
          <w:pgNumType w:fmt="lowerRoman"/>
          <w:cols w:space="425" w:num="1"/>
          <w:docGrid w:type="lines" w:linePitch="312" w:charSpace="0"/>
        </w:sectPr>
      </w:pPr>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sectPr>
          <w:footerReference r:id="rId6" w:type="default"/>
          <w:pgSz w:w="11906" w:h="16838"/>
          <w:pgMar w:top="1440" w:right="1800" w:bottom="1440" w:left="1800" w:header="851" w:footer="992" w:gutter="0"/>
          <w:pgNumType w:fmt="numberInDash" w:start="1"/>
          <w:cols w:space="425" w:num="1"/>
          <w:docGrid w:type="lines" w:linePitch="312" w:charSpace="0"/>
        </w:sectPr>
      </w:pPr>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pPr>
      <w:bookmarkStart w:id="3" w:name="_Toc27520645"/>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第一章</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 xml:space="preserve"> </w:t>
      </w:r>
      <w:bookmarkEnd w:id="0"/>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总则</w:t>
      </w:r>
      <w:bookmarkEnd w:id="3"/>
    </w:p>
    <w:p>
      <w:pPr>
        <w:pStyle w:val="3"/>
        <w:rPr>
          <w:color w:val="0D0D0D" w:themeColor="text1" w:themeTint="F2"/>
          <w14:textFill>
            <w14:solidFill>
              <w14:schemeClr w14:val="tx1">
                <w14:lumMod w14:val="95000"/>
                <w14:lumOff w14:val="5000"/>
              </w14:schemeClr>
            </w14:solidFill>
          </w14:textFill>
        </w:rPr>
      </w:pPr>
      <w:bookmarkStart w:id="4" w:name="_Toc478744138"/>
      <w:bookmarkStart w:id="5" w:name="_Toc27520646"/>
      <w:r>
        <w:rPr>
          <w:color w:val="0D0D0D" w:themeColor="text1" w:themeTint="F2"/>
          <w14:textFill>
            <w14:solidFill>
              <w14:schemeClr w14:val="tx1">
                <w14:lumMod w14:val="95000"/>
                <w14:lumOff w14:val="5000"/>
              </w14:schemeClr>
            </w14:solidFill>
          </w14:textFill>
        </w:rPr>
        <w:t>1.1</w:t>
      </w:r>
      <w:r>
        <w:rPr>
          <w:rFonts w:hint="eastAsia"/>
          <w:color w:val="0D0D0D" w:themeColor="text1" w:themeTint="F2"/>
          <w14:textFill>
            <w14:solidFill>
              <w14:schemeClr w14:val="tx1">
                <w14:lumMod w14:val="95000"/>
                <w14:lumOff w14:val="5000"/>
              </w14:schemeClr>
            </w14:solidFill>
          </w14:textFill>
        </w:rPr>
        <w:t xml:space="preserve"> </w:t>
      </w:r>
      <w:bookmarkEnd w:id="4"/>
      <w:r>
        <w:rPr>
          <w:rFonts w:hint="eastAsia"/>
          <w:color w:val="0D0D0D" w:themeColor="text1" w:themeTint="F2"/>
          <w14:textFill>
            <w14:solidFill>
              <w14:schemeClr w14:val="tx1">
                <w14:lumMod w14:val="95000"/>
                <w14:lumOff w14:val="5000"/>
              </w14:schemeClr>
            </w14:solidFill>
          </w14:textFill>
        </w:rPr>
        <w:t>划分目的</w:t>
      </w:r>
      <w:bookmarkEnd w:id="5"/>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为贯彻落实《生态环境部 水利部关于进一步开展饮用水水源地保护工作的通知》（环执法〔</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142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）、《云南省生态环境厅 云南省水利厅关于印发云南省水源地环境保护攻坚战实施方案的通知》（云环发〔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）、《云南省生态环境厅 云南省水利厅关于转发&lt;关于进一步开展饮用水水源地保护工作的通知&gt;的函》（云环函〔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）、《云南省水源地保护攻坚战专项小组办公室关于印发云南省集中式饮用水水源地保护工作方案的通知》（云污防水源〔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精神，全面开展供水人口在10000人或日供水在1000吨以上（“千吨万人”）及以上集中式饮用水水源地保护区划定工作，推进饮用水水源地规范化建设，强化饮用水水源地环境管理，依法开展饮用水水源保护区划定工作，对未划定或划定不符合法律法规要求的参照《饮用水水源保护区划分技术规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HJ 338-2018）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按法定程序予以划定或调整。</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满足</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《饮用水水源保护区划分技术规范》（HJ 338-2018）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要求，确保富源县饮用水安全，富源县将对辖区内各乡镇在用“千吨万人”水源地保护区范围根据最新技术规范进行划分，进一步掌握饮用水水源地环境状况，加强饮用水水源地污染防治和管理能力建设，建立完善水源地保护相关技术方法、管理办法，解决目前危害饮用水安全的重大问题，切实推动饮用水水源地环境保护专项整治工作的全面开展，为后续“千吨万人”饮用水水源地保护的各项工作奠定基础。</w:t>
      </w:r>
    </w:p>
    <w:p>
      <w:pPr>
        <w:pStyle w:val="3"/>
        <w:rPr>
          <w:color w:val="0D0D0D" w:themeColor="text1" w:themeTint="F2"/>
          <w14:textFill>
            <w14:solidFill>
              <w14:schemeClr w14:val="tx1">
                <w14:lumMod w14:val="95000"/>
                <w14:lumOff w14:val="5000"/>
              </w14:schemeClr>
            </w14:solidFill>
          </w14:textFill>
        </w:rPr>
      </w:pPr>
      <w:bookmarkStart w:id="6" w:name="_Toc478744139"/>
      <w:bookmarkStart w:id="7" w:name="_Toc27520647"/>
      <w:r>
        <w:rPr>
          <w:color w:val="0D0D0D" w:themeColor="text1" w:themeTint="F2"/>
          <w14:textFill>
            <w14:solidFill>
              <w14:schemeClr w14:val="tx1">
                <w14:lumMod w14:val="95000"/>
                <w14:lumOff w14:val="5000"/>
              </w14:schemeClr>
            </w14:solidFill>
          </w14:textFill>
        </w:rPr>
        <w:t>1.2</w:t>
      </w:r>
      <w:r>
        <w:rPr>
          <w:rFonts w:hint="eastAsia"/>
          <w:color w:val="0D0D0D" w:themeColor="text1" w:themeTint="F2"/>
          <w14:textFill>
            <w14:solidFill>
              <w14:schemeClr w14:val="tx1">
                <w14:lumMod w14:val="95000"/>
                <w14:lumOff w14:val="5000"/>
              </w14:schemeClr>
            </w14:solidFill>
          </w14:textFill>
        </w:rPr>
        <w:t xml:space="preserve"> 划分</w:t>
      </w:r>
      <w:r>
        <w:rPr>
          <w:color w:val="0D0D0D" w:themeColor="text1" w:themeTint="F2"/>
          <w14:textFill>
            <w14:solidFill>
              <w14:schemeClr w14:val="tx1">
                <w14:lumMod w14:val="95000"/>
                <w14:lumOff w14:val="5000"/>
              </w14:schemeClr>
            </w14:solidFill>
          </w14:textFill>
        </w:rPr>
        <w:t>依据</w:t>
      </w:r>
      <w:bookmarkEnd w:id="6"/>
      <w:bookmarkEnd w:id="7"/>
    </w:p>
    <w:p>
      <w:pPr>
        <w:pStyle w:val="4"/>
        <w:rPr>
          <w:color w:val="0D0D0D" w:themeColor="text1" w:themeTint="F2"/>
          <w14:textFill>
            <w14:solidFill>
              <w14:schemeClr w14:val="tx1">
                <w14:lumMod w14:val="95000"/>
                <w14:lumOff w14:val="5000"/>
              </w14:schemeClr>
            </w14:solidFill>
          </w14:textFill>
        </w:rPr>
      </w:pPr>
      <w:bookmarkStart w:id="8" w:name="_Toc272332582"/>
      <w:bookmarkStart w:id="9" w:name="_Toc27520648"/>
      <w:bookmarkStart w:id="10" w:name="_Toc200905490"/>
      <w:bookmarkStart w:id="11" w:name="_Toc478744140"/>
      <w:r>
        <w:rPr>
          <w:color w:val="0D0D0D" w:themeColor="text1" w:themeTint="F2"/>
          <w14:textFill>
            <w14:solidFill>
              <w14:schemeClr w14:val="tx1">
                <w14:lumMod w14:val="95000"/>
                <w14:lumOff w14:val="5000"/>
              </w14:schemeClr>
            </w14:solidFill>
          </w14:textFill>
        </w:rPr>
        <w:t>1.2.1</w:t>
      </w:r>
      <w:r>
        <w:rPr>
          <w:rFonts w:hint="eastAsia"/>
          <w:color w:val="0D0D0D" w:themeColor="text1" w:themeTint="F2"/>
          <w14:textFill>
            <w14:solidFill>
              <w14:schemeClr w14:val="tx1">
                <w14:lumMod w14:val="95000"/>
                <w14:lumOff w14:val="5000"/>
              </w14:schemeClr>
            </w14:solidFill>
          </w14:textFill>
        </w:rPr>
        <w:t xml:space="preserve"> 相关</w:t>
      </w:r>
      <w:r>
        <w:rPr>
          <w:color w:val="0D0D0D" w:themeColor="text1" w:themeTint="F2"/>
          <w14:textFill>
            <w14:solidFill>
              <w14:schemeClr w14:val="tx1">
                <w14:lumMod w14:val="95000"/>
                <w14:lumOff w14:val="5000"/>
              </w14:schemeClr>
            </w14:solidFill>
          </w14:textFill>
        </w:rPr>
        <w:t>法律法规</w:t>
      </w:r>
      <w:bookmarkEnd w:id="8"/>
      <w:bookmarkEnd w:id="9"/>
      <w:bookmarkEnd w:id="10"/>
      <w:bookmarkEnd w:id="11"/>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《中华人民共和国环境保护法》（2014年4月修订）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《中华人民共和国水法》（2016年7月修订）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w:t>
      </w:r>
      <w:bookmarkStart w:id="12" w:name="_Hlk524551544"/>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《中华人民共和国水污染防治法》</w:t>
      </w:r>
      <w:bookmarkEnd w:id="12"/>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（2017年6月修订）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《中华人民共和国固体废物污染环境防治法》（2016年11月修改）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《中华人民共和国水土保持法》（2010年12月修订）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《中华人民共和国水土保持法实施条例》（国务院令第120号，2011年1月修订）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《中华人民共和国森林法》（</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2009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月修改）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《中华人民共和国森林法实施条例》（国务院令第</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698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bookmarkStart w:id="13" w:name="_Hlk524551559"/>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《饮用水水源保护区污染防治管理规定》</w:t>
      </w:r>
      <w:bookmarkEnd w:id="13"/>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2010年12月修正</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《突发环境事件应急管理办法》（环保部令第34号）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《畜禽规模养殖污染防治条例》（2014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日</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实施）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《云南省环境保护条例》（2004年6月修改）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《云南省森林条例》（2002年11月发布）</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《云南省水土保持条例》（2014年7月）</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4"/>
        <w:rPr>
          <w:color w:val="0D0D0D" w:themeColor="text1" w:themeTint="F2"/>
          <w14:textFill>
            <w14:solidFill>
              <w14:schemeClr w14:val="tx1">
                <w14:lumMod w14:val="95000"/>
                <w14:lumOff w14:val="5000"/>
              </w14:schemeClr>
            </w14:solidFill>
          </w14:textFill>
        </w:rPr>
      </w:pPr>
      <w:bookmarkStart w:id="14" w:name="_Toc272332583"/>
      <w:bookmarkStart w:id="15" w:name="_Toc200905491"/>
      <w:bookmarkStart w:id="16" w:name="_Toc478744141"/>
      <w:bookmarkStart w:id="17" w:name="_Toc27520649"/>
      <w:r>
        <w:rPr>
          <w:color w:val="0D0D0D" w:themeColor="text1" w:themeTint="F2"/>
          <w14:textFill>
            <w14:solidFill>
              <w14:schemeClr w14:val="tx1">
                <w14:lumMod w14:val="95000"/>
                <w14:lumOff w14:val="5000"/>
              </w14:schemeClr>
            </w14:solidFill>
          </w14:textFill>
        </w:rPr>
        <w:t>1.2.2</w:t>
      </w:r>
      <w:r>
        <w:rPr>
          <w:rFonts w:hint="eastAsia"/>
          <w:color w:val="0D0D0D" w:themeColor="text1" w:themeTint="F2"/>
          <w14:textFill>
            <w14:solidFill>
              <w14:schemeClr w14:val="tx1">
                <w14:lumMod w14:val="95000"/>
                <w14:lumOff w14:val="5000"/>
              </w14:schemeClr>
            </w14:solidFill>
          </w14:textFill>
        </w:rPr>
        <w:t xml:space="preserve"> </w:t>
      </w:r>
      <w:bookmarkEnd w:id="14"/>
      <w:bookmarkEnd w:id="15"/>
      <w:bookmarkEnd w:id="16"/>
      <w:r>
        <w:rPr>
          <w:rFonts w:hint="eastAsia"/>
          <w:color w:val="0D0D0D" w:themeColor="text1" w:themeTint="F2"/>
          <w14:textFill>
            <w14:solidFill>
              <w14:schemeClr w14:val="tx1">
                <w14:lumMod w14:val="95000"/>
                <w14:lumOff w14:val="5000"/>
              </w14:schemeClr>
            </w14:solidFill>
          </w14:textFill>
        </w:rPr>
        <w:t>技术标准</w:t>
      </w:r>
      <w:bookmarkEnd w:id="17"/>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18" w:name="_Toc200905492"/>
      <w:bookmarkStart w:id="19" w:name="_Toc272332584"/>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bookmarkStart w:id="20" w:name="_Hlk530390607"/>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《地表水质量标准》（GB3838-20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《生活饮用水水源水质标准》（CJ3020-93）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bookmarkEnd w:id="20"/>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《生活饮用水卫生标准》（GB5749-2006）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《饮用水水源保护区划分技术规范》（HJ 338-2018）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21" w:name="_Hlk521681780"/>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w:t>
      </w:r>
      <w:bookmarkEnd w:id="21"/>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《集中式饮用水水源地规范化建设环境保护技术要求》（HJ773-2015）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《集中式饮用水水源环境保护指南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（试行）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环办〔2012〕50号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（7）《集中式饮用水水源地环境保护状况评估技术规范》（HJ774-2015）；</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）《集中式饮用水水源编码规范》（HJ747-2015）；</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《饮用水水源保护区标志技术要求》（HJ/T433-2008）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《畜禽养殖禁养区划定技术指南》（环办水体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99号）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《农村生活污染控制技术规范》（HJ574-2010）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4"/>
        <w:rPr>
          <w:color w:val="0D0D0D" w:themeColor="text1" w:themeTint="F2"/>
          <w14:textFill>
            <w14:solidFill>
              <w14:schemeClr w14:val="tx1">
                <w14:lumMod w14:val="95000"/>
                <w14:lumOff w14:val="5000"/>
              </w14:schemeClr>
            </w14:solidFill>
          </w14:textFill>
        </w:rPr>
      </w:pPr>
      <w:bookmarkStart w:id="22" w:name="_Toc27520650"/>
      <w:r>
        <w:rPr>
          <w:color w:val="0D0D0D" w:themeColor="text1" w:themeTint="F2"/>
          <w14:textFill>
            <w14:solidFill>
              <w14:schemeClr w14:val="tx1">
                <w14:lumMod w14:val="95000"/>
                <w14:lumOff w14:val="5000"/>
              </w14:schemeClr>
            </w14:solidFill>
          </w14:textFill>
        </w:rPr>
        <w:t>1.2.3</w:t>
      </w:r>
      <w:r>
        <w:rPr>
          <w:rFonts w:hint="eastAsia"/>
          <w:color w:val="0D0D0D" w:themeColor="text1" w:themeTint="F2"/>
          <w14:textFill>
            <w14:solidFill>
              <w14:schemeClr w14:val="tx1">
                <w14:lumMod w14:val="95000"/>
                <w14:lumOff w14:val="5000"/>
              </w14:schemeClr>
            </w14:solidFill>
          </w14:textFill>
        </w:rPr>
        <w:t xml:space="preserve"> </w:t>
      </w:r>
      <w:bookmarkEnd w:id="18"/>
      <w:bookmarkEnd w:id="19"/>
      <w:r>
        <w:rPr>
          <w:rFonts w:hint="eastAsia"/>
          <w:color w:val="0D0D0D" w:themeColor="text1" w:themeTint="F2"/>
          <w14:textFill>
            <w14:solidFill>
              <w14:schemeClr w14:val="tx1">
                <w14:lumMod w14:val="95000"/>
                <w14:lumOff w14:val="5000"/>
              </w14:schemeClr>
            </w14:solidFill>
          </w14:textFill>
        </w:rPr>
        <w:t>相关已经批准实施的规划</w:t>
      </w:r>
      <w:bookmarkEnd w:id="22"/>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《水污染防治行动计划》</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国发〔2015〕17号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23" w:name="_Hlk523170381"/>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全国集中式饮用水水源地环境保护专项行动方案》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环环监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〔2018〕25号）</w:t>
      </w:r>
      <w:bookmarkEnd w:id="23"/>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住房城乡建设部 中央农办 环境保护部 农业部关于落实《国务院办公厅关于改善农村人居环境的指导意见》有关工作的通知（建村〔2014〕102号）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《重点流域水污染防治规划（2011-2015年）》；</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《云南省地表水水环境功能区划（2010~2020年）》（云南省环境保护厅，云环发〔2014〕34号）；</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（6）《云南省主体功能区规划》（2014年1月）；</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《云南省生态功能区划》；</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《云南省人民政府办公厅关于加强城镇集中式饮用水源保护工作的通知》（云政办发〔2007〕106号）；</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《云南省水污染防治工作方案》（云政发〔2016〕3号）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（10）《云南省水源地环境保护攻坚战实施方案》（云环发〔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（11）《云南省集中式饮用水水源地保护工作方案》（云污防水源〔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3"/>
        <w:rPr>
          <w:color w:val="0D0D0D" w:themeColor="text1" w:themeTint="F2"/>
          <w14:textFill>
            <w14:solidFill>
              <w14:schemeClr w14:val="tx1">
                <w14:lumMod w14:val="95000"/>
                <w14:lumOff w14:val="5000"/>
              </w14:schemeClr>
            </w14:solidFill>
          </w14:textFill>
        </w:rPr>
      </w:pPr>
      <w:bookmarkStart w:id="24" w:name="_Toc478744142"/>
      <w:bookmarkStart w:id="25" w:name="_Toc27520651"/>
      <w:r>
        <w:rPr>
          <w:color w:val="0D0D0D" w:themeColor="text1" w:themeTint="F2"/>
          <w14:textFill>
            <w14:solidFill>
              <w14:schemeClr w14:val="tx1">
                <w14:lumMod w14:val="95000"/>
                <w14:lumOff w14:val="5000"/>
              </w14:schemeClr>
            </w14:solidFill>
          </w14:textFill>
        </w:rPr>
        <w:t>1.</w:t>
      </w:r>
      <w:r>
        <w:rPr>
          <w:rFonts w:hint="eastAsia"/>
          <w:color w:val="0D0D0D" w:themeColor="text1" w:themeTint="F2"/>
          <w14:textFill>
            <w14:solidFill>
              <w14:schemeClr w14:val="tx1">
                <w14:lumMod w14:val="95000"/>
                <w14:lumOff w14:val="5000"/>
              </w14:schemeClr>
            </w14:solidFill>
          </w14:textFill>
        </w:rPr>
        <w:t>3</w:t>
      </w:r>
      <w:r>
        <w:rPr>
          <w:color w:val="0D0D0D" w:themeColor="text1" w:themeTint="F2"/>
          <w14:textFill>
            <w14:solidFill>
              <w14:schemeClr w14:val="tx1">
                <w14:lumMod w14:val="95000"/>
                <w14:lumOff w14:val="5000"/>
              </w14:schemeClr>
            </w14:solidFill>
          </w14:textFill>
        </w:rPr>
        <w:t xml:space="preserve"> </w:t>
      </w:r>
      <w:bookmarkEnd w:id="24"/>
      <w:r>
        <w:rPr>
          <w:rFonts w:hint="eastAsia"/>
          <w:color w:val="0D0D0D" w:themeColor="text1" w:themeTint="F2"/>
          <w14:textFill>
            <w14:solidFill>
              <w14:schemeClr w14:val="tx1">
                <w14:lumMod w14:val="95000"/>
                <w14:lumOff w14:val="5000"/>
              </w14:schemeClr>
            </w14:solidFill>
          </w14:textFill>
        </w:rPr>
        <w:t>技术路线</w:t>
      </w:r>
      <w:bookmarkEnd w:id="25"/>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结合环境基础情况调查、土地利用现状，依据《饮用水水源保护区划分技术规范》（HJ</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338-</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2018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），对</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富源县富村镇迤佐河</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饮用水水源地</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保护区进行划分。</w:t>
      </w:r>
    </w:p>
    <w:p>
      <w:pPr>
        <w:spacing w:line="360" w:lineRule="auto"/>
        <w:jc w:val="cente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2733675" cy="551497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33675" cy="5514975"/>
                    </a:xfrm>
                    <a:prstGeom prst="rect">
                      <a:avLst/>
                    </a:prstGeom>
                  </pic:spPr>
                </pic:pic>
              </a:graphicData>
            </a:graphic>
          </wp:inline>
        </w:drawing>
      </w:r>
    </w:p>
    <w:p>
      <w:pPr>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1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富源县饮用水水源地保护区划分技术路线</w:t>
      </w:r>
    </w:p>
    <w:p>
      <w:pPr>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p>
    <w:p>
      <w:pPr>
        <w:widowControl/>
        <w:jc w:val="left"/>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sectPr>
          <w:footerReference r:id="rId7" w:type="default"/>
          <w:pgSz w:w="11906" w:h="16838"/>
          <w:pgMar w:top="1440" w:right="1800" w:bottom="1440" w:left="1800" w:header="851" w:footer="992" w:gutter="0"/>
          <w:pgNumType w:fmt="numberInDash" w:start="1"/>
          <w:cols w:space="425" w:num="1"/>
          <w:docGrid w:type="lines" w:linePitch="312" w:charSpace="0"/>
        </w:sectPr>
      </w:pPr>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pPr>
      <w:bookmarkStart w:id="26" w:name="_Toc27520652"/>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 xml:space="preserve">第二章 </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饮用水</w:t>
      </w: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水源基础环境状况</w:t>
      </w:r>
      <w:bookmarkEnd w:id="26"/>
    </w:p>
    <w:p>
      <w:pPr>
        <w:pStyle w:val="3"/>
        <w:rPr>
          <w:color w:val="0D0D0D" w:themeColor="text1" w:themeTint="F2"/>
          <w14:textFill>
            <w14:solidFill>
              <w14:schemeClr w14:val="tx1">
                <w14:lumMod w14:val="95000"/>
                <w14:lumOff w14:val="5000"/>
              </w14:schemeClr>
            </w14:solidFill>
          </w14:textFill>
        </w:rPr>
      </w:pPr>
      <w:bookmarkStart w:id="27" w:name="_Toc27520653"/>
      <w:bookmarkStart w:id="28" w:name="_Toc12456051"/>
      <w:bookmarkStart w:id="29" w:name="_Toc10729966"/>
      <w:r>
        <w:rPr>
          <w:color w:val="0D0D0D" w:themeColor="text1" w:themeTint="F2"/>
          <w14:textFill>
            <w14:solidFill>
              <w14:schemeClr w14:val="tx1">
                <w14:lumMod w14:val="95000"/>
                <w14:lumOff w14:val="5000"/>
              </w14:schemeClr>
            </w14:solidFill>
          </w14:textFill>
        </w:rPr>
        <w:t xml:space="preserve">2.1 </w:t>
      </w:r>
      <w:r>
        <w:rPr>
          <w:rFonts w:hint="eastAsia"/>
          <w:color w:val="0D0D0D" w:themeColor="text1" w:themeTint="F2"/>
          <w14:textFill>
            <w14:solidFill>
              <w14:schemeClr w14:val="tx1">
                <w14:lumMod w14:val="95000"/>
                <w14:lumOff w14:val="5000"/>
              </w14:schemeClr>
            </w14:solidFill>
          </w14:textFill>
        </w:rPr>
        <w:t>饮用水水源地所在区域的自然状况</w:t>
      </w:r>
      <w:bookmarkEnd w:id="27"/>
      <w:bookmarkEnd w:id="28"/>
      <w:bookmarkEnd w:id="29"/>
    </w:p>
    <w:p>
      <w:pPr>
        <w:pStyle w:val="4"/>
        <w:rPr>
          <w:color w:val="0D0D0D" w:themeColor="text1" w:themeTint="F2"/>
          <w14:textFill>
            <w14:solidFill>
              <w14:schemeClr w14:val="tx1">
                <w14:lumMod w14:val="95000"/>
                <w14:lumOff w14:val="5000"/>
              </w14:schemeClr>
            </w14:solidFill>
          </w14:textFill>
        </w:rPr>
      </w:pPr>
      <w:bookmarkStart w:id="30" w:name="_Toc10729967"/>
      <w:bookmarkStart w:id="31" w:name="_Toc12456052"/>
      <w:bookmarkStart w:id="32" w:name="_Toc27520654"/>
      <w:r>
        <w:rPr>
          <w:rFonts w:hint="eastAsia"/>
          <w:color w:val="0D0D0D" w:themeColor="text1" w:themeTint="F2"/>
          <w14:textFill>
            <w14:solidFill>
              <w14:schemeClr w14:val="tx1">
                <w14:lumMod w14:val="95000"/>
                <w14:lumOff w14:val="5000"/>
              </w14:schemeClr>
            </w14:solidFill>
          </w14:textFill>
        </w:rPr>
        <w:t>2.1.1 地理位置</w:t>
      </w:r>
      <w:bookmarkEnd w:id="30"/>
      <w:bookmarkEnd w:id="31"/>
      <w:bookmarkEnd w:id="32"/>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富源县位于云南省东部，地处东经</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103°58~104°49'，北纬25°~25°58'</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之间，东接贵州省盘县、兴义，西连沾益县和麒麟区，南抵罗平县，北依宣威市。县城距曲靖市政府驻地麒麟城63km，距省政府驻地昆明198km。</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迤佐河水库位于富源县富村镇，地理位置为东经</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104°25'38"，北纬25°24'45"。</w:t>
      </w:r>
    </w:p>
    <w:p>
      <w:pPr>
        <w:pStyle w:val="4"/>
        <w:rPr>
          <w:color w:val="0D0D0D" w:themeColor="text1" w:themeTint="F2"/>
          <w14:textFill>
            <w14:solidFill>
              <w14:schemeClr w14:val="tx1">
                <w14:lumMod w14:val="95000"/>
                <w14:lumOff w14:val="5000"/>
              </w14:schemeClr>
            </w14:solidFill>
          </w14:textFill>
        </w:rPr>
      </w:pPr>
      <w:bookmarkStart w:id="33" w:name="_Toc10729968"/>
      <w:bookmarkStart w:id="34" w:name="_Toc12456053"/>
      <w:bookmarkStart w:id="35" w:name="_Toc27520655"/>
      <w:r>
        <w:rPr>
          <w:rFonts w:hint="eastAsia"/>
          <w:color w:val="0D0D0D" w:themeColor="text1" w:themeTint="F2"/>
          <w14:textFill>
            <w14:solidFill>
              <w14:schemeClr w14:val="tx1">
                <w14:lumMod w14:val="95000"/>
                <w14:lumOff w14:val="5000"/>
              </w14:schemeClr>
            </w14:solidFill>
          </w14:textFill>
        </w:rPr>
        <w:t>2.1.2 地形地貌</w:t>
      </w:r>
      <w:bookmarkEnd w:id="33"/>
      <w:bookmarkEnd w:id="34"/>
      <w:bookmarkEnd w:id="35"/>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地势由西北向东南略倾斜，乌蒙山支脉自北向南纵贯全境。东北部的老黑山（主峰2737m）由北向南展布；西部的东山（主峰营盘山海拔2749.9m），由北向东展布；南部的十八连山（主峰海拔2410m），东北走向。县城坐落</w:t>
      </w:r>
      <w:bookmarkStart w:id="237" w:name="_GoBack"/>
      <w:bookmarkEnd w:id="237"/>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在峦岗、白马、定南山之间的鸣凤山上，北高南低成缓坡形。东门河、西门河由北向南，汇入城南小黄河（块择河上游）。县境内海拔最高点在墨红镇的营盘山，为2748.9m，海拔最低点在古敢水族乡的特土峡谷，为1100m。乌蒙山支脉从北向南纵贯全境。</w:t>
      </w:r>
    </w:p>
    <w:p>
      <w:pPr>
        <w:pStyle w:val="4"/>
        <w:rPr>
          <w:color w:val="0D0D0D" w:themeColor="text1" w:themeTint="F2"/>
          <w14:textFill>
            <w14:solidFill>
              <w14:schemeClr w14:val="tx1">
                <w14:lumMod w14:val="95000"/>
                <w14:lumOff w14:val="5000"/>
              </w14:schemeClr>
            </w14:solidFill>
          </w14:textFill>
        </w:rPr>
      </w:pPr>
      <w:bookmarkStart w:id="36" w:name="_Toc12456054"/>
      <w:bookmarkStart w:id="37" w:name="_Toc27520656"/>
      <w:bookmarkStart w:id="38" w:name="_Toc10729969"/>
      <w:r>
        <w:rPr>
          <w:rFonts w:hint="eastAsia"/>
          <w:color w:val="0D0D0D" w:themeColor="text1" w:themeTint="F2"/>
          <w14:textFill>
            <w14:solidFill>
              <w14:schemeClr w14:val="tx1">
                <w14:lumMod w14:val="95000"/>
                <w14:lumOff w14:val="5000"/>
              </w14:schemeClr>
            </w14:solidFill>
          </w14:textFill>
        </w:rPr>
        <w:t>2.1.3 气候特征</w:t>
      </w:r>
      <w:bookmarkEnd w:id="36"/>
      <w:bookmarkEnd w:id="37"/>
      <w:bookmarkEnd w:id="38"/>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境内属南温带山地季风型半湿润气候。由于地处低纬高原，山高谷深，坡陡流急，地形地貌复杂，形成南部热、中部暖、北部凉的区域气候；又在垂直差异上形成槽坝热、半山暖、山区凉、高山寒的立体气候。年平均气温 13.8℃，最高月均气温19.8℃，最低月均气温5.7℃。年平均降雨量1093.7mm，其中5~10月为雨季，占降雨量的87.1%，11月至次年4月为少雨干季，雨量占12.9%。年均相对湿度为75%。全年无霜期180~260天。年均日照时数1819.8小时。</w:t>
      </w:r>
    </w:p>
    <w:p>
      <w:pPr>
        <w:pStyle w:val="4"/>
        <w:rPr>
          <w:color w:val="0D0D0D" w:themeColor="text1" w:themeTint="F2"/>
          <w14:textFill>
            <w14:solidFill>
              <w14:schemeClr w14:val="tx1">
                <w14:lumMod w14:val="95000"/>
                <w14:lumOff w14:val="5000"/>
              </w14:schemeClr>
            </w14:solidFill>
          </w14:textFill>
        </w:rPr>
      </w:pPr>
      <w:bookmarkStart w:id="39" w:name="_Toc27520657"/>
      <w:bookmarkStart w:id="40" w:name="_Toc10729970"/>
      <w:bookmarkStart w:id="41" w:name="_Toc12456055"/>
      <w:r>
        <w:rPr>
          <w:rFonts w:hint="eastAsia"/>
          <w:color w:val="0D0D0D" w:themeColor="text1" w:themeTint="F2"/>
          <w14:textFill>
            <w14:solidFill>
              <w14:schemeClr w14:val="tx1">
                <w14:lumMod w14:val="95000"/>
                <w14:lumOff w14:val="5000"/>
              </w14:schemeClr>
            </w14:solidFill>
          </w14:textFill>
        </w:rPr>
        <w:t>2.1.4 水文水资源状况</w:t>
      </w:r>
      <w:bookmarkEnd w:id="39"/>
      <w:bookmarkEnd w:id="40"/>
      <w:bookmarkEnd w:id="41"/>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境内河流属于珠江流域的西江水系，多呈纵向分布，主要河流有块泽河、黄泥河、嘉河、丕德河等。其中块泽河是县境内的第一大河，黄泥河为县境内的第二大河。在河流的支系归属上，除嘉河属北盘江外，其余均属南盘江支流。富源县境内不仅河网密布，而且水库众多，据统计，富源县境内共有中型水库2座（石坝水库、响水河水库），小型水库51座，县境内地下水露头（泉）较多，而且冷水泉、温水泉、热水泉类型齐全。</w:t>
      </w:r>
    </w:p>
    <w:p>
      <w:pPr>
        <w:pStyle w:val="3"/>
        <w:rPr>
          <w:color w:val="0D0D0D" w:themeColor="text1" w:themeTint="F2"/>
          <w14:textFill>
            <w14:solidFill>
              <w14:schemeClr w14:val="tx1">
                <w14:lumMod w14:val="95000"/>
                <w14:lumOff w14:val="5000"/>
              </w14:schemeClr>
            </w14:solidFill>
          </w14:textFill>
        </w:rPr>
      </w:pPr>
      <w:bookmarkStart w:id="42" w:name="_Toc12456056"/>
      <w:bookmarkStart w:id="43" w:name="_Toc27520658"/>
      <w:bookmarkStart w:id="44" w:name="_Toc10729972"/>
      <w:r>
        <w:rPr>
          <w:color w:val="0D0D0D" w:themeColor="text1" w:themeTint="F2"/>
          <w14:textFill>
            <w14:solidFill>
              <w14:schemeClr w14:val="tx1">
                <w14:lumMod w14:val="95000"/>
                <w14:lumOff w14:val="5000"/>
              </w14:schemeClr>
            </w14:solidFill>
          </w14:textFill>
        </w:rPr>
        <w:t>2.2</w:t>
      </w:r>
      <w:r>
        <w:rPr>
          <w:rFonts w:hint="eastAsia"/>
          <w:color w:val="0D0D0D" w:themeColor="text1" w:themeTint="F2"/>
          <w14:textFill>
            <w14:solidFill>
              <w14:schemeClr w14:val="tx1">
                <w14:lumMod w14:val="95000"/>
                <w14:lumOff w14:val="5000"/>
              </w14:schemeClr>
            </w14:solidFill>
          </w14:textFill>
        </w:rPr>
        <w:t xml:space="preserve"> 饮用水水源地所在区域的</w:t>
      </w:r>
      <w:r>
        <w:rPr>
          <w:color w:val="0D0D0D" w:themeColor="text1" w:themeTint="F2"/>
          <w14:textFill>
            <w14:solidFill>
              <w14:schemeClr w14:val="tx1">
                <w14:lumMod w14:val="95000"/>
                <w14:lumOff w14:val="5000"/>
              </w14:schemeClr>
            </w14:solidFill>
          </w14:textFill>
        </w:rPr>
        <w:t>社会经济状况</w:t>
      </w:r>
      <w:bookmarkEnd w:id="42"/>
      <w:bookmarkEnd w:id="43"/>
      <w:bookmarkEnd w:id="44"/>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富源县辖9镇1乡2街道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。即：</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中安街道、胜境街道、后所镇、墨红镇、大河镇、营上镇、竹园镇、富村镇、十八连山镇、老厂镇、黄泥河镇和古敢水族乡。2018年末全县户籍总人口为834404人，其中：城镇人口216480人，乡村人口617924人，少数民族人口84565人。2018年全县实现生产总值1553458万元，按照可比价计算比上年增长9.5%。其中：第一产业实现增加值373832万元，同比增长6.3%；第二产业实现增加值502285万元，同比增长12.9%；第三产业实现增加值677341万元，同比增长8.5%；全县三次产业结构比例为24.1：32.3：43.6。全年城镇居民人均可支配收入达34725元，农村居民人均可支配收入12473元。</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迤佐河水库位于富源县富村镇白石岩村委会迤佐河村下侧，居民点涉及乡镇及村委会社会经济概况统计如下。</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（1）富村镇</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富村镇位于富源县中部，距县城63km，国土总面积330.53km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，耕地面积6711.4hm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平均海拔1980m。2016年末，全镇辖21个村（居）委会，204个自然村，271个村（居）民小组（14个居民小组、257个村民小组），2.39万户10.45万人，其中非农业人口9141人，少数民族8439人。2016年国民生产总值实现18.56亿元，同比增长8%；粮食播种面积13.85万亩，实现总产量5545万公斤；肉猪出栏19.5万头、肉牛出栏1.2万头、肉羊出栏2.55万只、禽类出栏78.2万羽，实现畜牧业总产值达2.75亿元。</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（2）迤佐河水库保护区范围</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佐河水库保护区内居民点涉及1个镇、2个行政村、11个自然村，为富村镇白石岩村委会的迤佐河1个自然村，富村镇德胜村委会的夏家寨、响水坝、大水沟、郭家槽子、石家寨、陈家寨、小铺子、水井上、大石头、炸玉麦共10个自然村，一级、二级、准保护区内均有农村居民分布。保护区内居住人口914户3830人；涉及耕地面积433.82h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，均为旱地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；年末出栏肉猪579头、肉牛38头、肉羊243头。</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迤佐河水库涉及自然村社会经济概况如下：</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1）迤佐河（富村镇白石岩村委会）</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迤佐河，属于山区。距离村委会0.1km，距离镇6km，国土面积3.7km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，海拔1920m，年平均气温20</w:t>
      </w:r>
      <w:r>
        <w:rPr>
          <w:rFonts w:hint="eastAsia" w:ascii="宋体" w:hAnsi="宋体" w:eastAsia="宋体" w:cs="宋体"/>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年降水量1500mm，适宜种植玉米等农作物。有耕地158亩，有林地525亩。全村辖1个村民小组，有农户84户，有乡村人口384人，其中农业人口384人，劳动力260人，其中从事第一产业人数260人。该村2018年农村经济总收入220万元，其中：种植业收入40万元，畜牧业收入30万元（其中，年内出栏肉猪124头，肉牛12头，肉羊70头）；第三产业收入20万元。农民人均纯收入5729元，农民收入以务工、种植等为主。该村已通自来水。</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2）夏家寨（富村镇德胜村委会）</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夏家寨，属于山区。距离村委会1.5km，距离镇6km，国土面积0.22 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，海拔1030m，年平均气温20</w:t>
      </w:r>
      <w:r>
        <w:rPr>
          <w:rFonts w:hint="eastAsia" w:ascii="宋体" w:hAnsi="宋体" w:eastAsia="宋体" w:cs="宋体"/>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年降水量1500mm，适宜种植玉米等农作物。有耕地206.98亩。全村辖1个村民小组，有农户65户，有乡村人口273人，其中农业人口266人，劳动力130人，其中从事第一产业人数166人。该村2018年农村经济总收入194万元，其中：种植业收入62万元，畜牧业收入36万元（其中，年内出栏肉猪20头，肉牛2头，肉羊0头）。农民人均纯收入7293元，农民收入以务工、种植等为主。该村已通自来水。</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3）响水坝（富村镇德胜村委会）</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响水坝，属于山区。距离村委会1km，距离镇6km，国土面积0.45km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，海拔1030m，年平均气温20</w:t>
      </w:r>
      <w:r>
        <w:rPr>
          <w:rFonts w:hint="eastAsia" w:ascii="宋体" w:hAnsi="宋体" w:eastAsia="宋体" w:cs="宋体"/>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年降水量1500mm，适宜种植玉米等农作物。有耕地441.6亩。全村辖1个村民小组，有农户73户，有乡村人口298人，其中农业人口276人，劳动力141人，其中从事第一产业人数203人。该村2018年农村经济总收入218万元，其中：种植业收入80万元，畜牧业收入40万元（其中，年内出栏肉猪32头，肉牛3头，肉羊26头）。农民人均纯收入7898.5元，农民收入以务工、种植等为主。该村已通自来水。</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4）大水沟（富村镇德胜村委会）</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大水沟，属于山区。距离村委会1.5km，距离镇7.5km，国土面积0.51km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，海拔2030m，年平均气温20</w:t>
      </w:r>
      <w:r>
        <w:rPr>
          <w:rFonts w:hint="eastAsia" w:ascii="宋体" w:hAnsi="宋体" w:eastAsia="宋体" w:cs="宋体"/>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年降水量1500mm，适宜种植玉米等农作物。有耕地255.39亩，有林地118亩。全村辖1个村民小组，有农户45户，有乡村人口157人，其中农业人口146人，劳动力92人，其中从事第一产业人数106人。该村2018年农村经济总收入116万元，其中：种植业收入30万元，畜牧业收入20万元（其中，年内出栏肉猪14头，肉牛5头，肉羊25头），工资性收入66万元。农民人均纯收入7945元，农民收入以务工、种植等为主。该村已通自来水。</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5）郭家槽子（富村镇德胜村委会）</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郭家槽子，属于山区。距离村委会2km，距离镇8km，国土面积0.69km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，海拔2030m，年平均气温20</w:t>
      </w:r>
      <w:r>
        <w:rPr>
          <w:rFonts w:hint="eastAsia" w:ascii="宋体" w:hAnsi="宋体" w:eastAsia="宋体" w:cs="宋体"/>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年降水量1500mm，适宜种植玉米等农作物。有耕地0.55亩，有林地139亩。全村辖1个村民小组，有农户82户，有乡村人口329人，其中农业人口67人，劳动力162人，其中从事第一产业人数206人。该村2018年农村经济总收入201万元，其中：种植业收入60万元，畜牧业收入56万元（其中，年内出栏肉猪15头，肉牛4头，肉羊110头）。农民人均纯收入6109元，农民收入以务工、种植等为主。该村已通自来水。</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6）石家寨（富村镇德胜村委会）</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石家寨，属于山区。距离村委会0.5km，距离镇6.5km，国土面积1.64km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，海拔1030m，年平均气温20</w:t>
      </w:r>
      <w:r>
        <w:rPr>
          <w:rFonts w:hint="eastAsia" w:ascii="宋体" w:hAnsi="宋体" w:eastAsia="宋体" w:cs="宋体"/>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年降水量1500mm，适宜种植玉米等农作物。有耕地361.19亩，有林地656亩。全村辖1个村民小组，有农户76户，有乡村人口328人，其中农业人口321人，劳动力136人，其中从事第一产业人数168人。该村2018年农村经济总收入212万元，其中：种植业收入30万元，畜牧业收入14万元（其中，年内出栏肉猪28头，肉牛0头，肉羊12头）。农民人均纯收入6604元，农民收入以种植、务工等为主。该村已通自来水。</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7）陈家寨（富村镇德胜村委会）</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陈家寨，属于山区。距离村委会0.4km，距离镇6.4km，国土面积0.57km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，海拔1030m，年平均气温20</w:t>
      </w:r>
      <w:r>
        <w:rPr>
          <w:rFonts w:hint="eastAsia" w:ascii="宋体" w:hAnsi="宋体" w:eastAsia="宋体" w:cs="宋体"/>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年降水量1500mm，适宜种植玉米等农作物。有耕地434.65亩，有林地72亩。全村辖1个村民小组，有农户40户，有乡村人口156人，其中农业人口148人，劳动力64人，其中从事第一产业人数96人。该村2018年农村经济总收入110万元，其中：种植业收入20万元，畜牧业收入12万元（其中，年内出栏肉猪21头，肉牛1头，肉羊0头）。农民人均纯收入7432元，农民收入以务工、种植等为主。该村已通自来水。</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8）小铺子（富村镇德胜村委会）</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小铺子，属于山区。距离村委会0.1km，距离镇6km，国土面积0.33km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，，海拔1030m，年平均气温20</w:t>
      </w:r>
      <w:r>
        <w:rPr>
          <w:rFonts w:hint="eastAsia" w:ascii="宋体" w:hAnsi="宋体" w:eastAsia="宋体" w:cs="宋体"/>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年降水量1500mm，适宜种植玉米等农作物。有耕地285.2。全村辖1个村民小组，有农户86户，有乡村人口367人，其中农业人口358人，劳动力170人，其中从事第一产业人数210人。该村2018年农村经济总收入400万元，其中：种植业收入120万元，畜牧业收入30万元（其中，年内出栏肉猪40头，肉牛6头，肉羊0头）。农民人均纯收入11173元，农民收入以务工、种植 等为主。该村已通自来水。</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9）水井上（富村镇德胜村委会）</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水井上，属于山区。距离村委会0.1km，距离镇6km，国土面积0.39km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，海拔1030m，年平均气温20</w:t>
      </w:r>
      <w:r>
        <w:rPr>
          <w:rFonts w:hint="eastAsia" w:ascii="宋体" w:hAnsi="宋体" w:eastAsia="宋体" w:cs="宋体"/>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年降水量1500mm，适宜种植玉米等农作物。有耕地345.79亩。全村辖1个村民小组，有农户62户，有乡村人口264人，其中农业人口256人，劳动力120人，其中从事第一产业人数168人。该村2018年农村经济总收入180万元，其中：种植业收入60万元，畜牧业收入20万元（其中，年内出栏肉猪50头，肉牛0头，肉羊0头）。农民人均纯收入6818元，农民收入以务工、种植等为主。该村已通自来水。</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10）大石头（富村镇德胜村委会）</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大石头，属于山区。距离村委会1.5km，距离镇5.5km，国土面积0.44km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，海拔1030m，年平均气温20</w:t>
      </w:r>
      <w:r>
        <w:rPr>
          <w:rFonts w:hint="eastAsia" w:ascii="宋体" w:hAnsi="宋体" w:eastAsia="宋体" w:cs="宋体"/>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年降水量1500mm，适宜种植玉米等农作物。有耕地257.04亩，有林地70亩。全村辖1个村民小组，有农户68户，有乡村人口293人，其中农业人口286人，劳动力122人，其中从事第一产业人数230人。该村2018年农村经济总收入189万元，其中：种植业收入46万元，畜牧业收入20万元（其中，年内出栏肉猪53头，肉牛5头，肉羊0头）。农民人均纯收入6608元，农民收入以种植、务工等为主。该村已通自来水。</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11）炸玉麦（富村镇德胜村委会）</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炸玉麦，属于山区。距离村委会2km，距离镇6km，国土面积5.95km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，海拔1030m，年平均气温20</w:t>
      </w:r>
      <w:r>
        <w:rPr>
          <w:rFonts w:hint="eastAsia" w:ascii="宋体" w:hAnsi="宋体" w:eastAsia="宋体" w:cs="宋体"/>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年降水量1500mm，适宜种植玉米等农作物。有耕地1195.15亩，有林地2166亩。全村辖2个村民小组，有农户233户，有乡村人口981人，其中农业人口962人，劳动力446人，其中从事第一产业人数520人。该村2018年农村经济总收入582.5万元，其中：种植业收入200万元，畜牧业收入70万元（其中，年内出栏肉猪182头，肉牛0头，肉羊0头）；第二产业收入30万元。农民人均纯收入6055元，农民收入以务工、种植等为主。该村已通自来水。</w:t>
      </w:r>
    </w:p>
    <w:p>
      <w:pPr>
        <w:pStyle w:val="3"/>
        <w:rPr>
          <w:color w:val="0D0D0D" w:themeColor="text1" w:themeTint="F2"/>
          <w14:textFill>
            <w14:solidFill>
              <w14:schemeClr w14:val="tx1">
                <w14:lumMod w14:val="95000"/>
                <w14:lumOff w14:val="5000"/>
              </w14:schemeClr>
            </w14:solidFill>
          </w14:textFill>
        </w:rPr>
      </w:pPr>
      <w:bookmarkStart w:id="45" w:name="_Toc25679051"/>
      <w:bookmarkStart w:id="46" w:name="_Toc12621568"/>
      <w:bookmarkStart w:id="47" w:name="_Toc27520659"/>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3 饮用水水源地周边城乡土地使用现状及规划情况</w:t>
      </w:r>
      <w:bookmarkEnd w:id="45"/>
      <w:bookmarkEnd w:id="46"/>
      <w:bookmarkEnd w:id="47"/>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根据现场踏勘，结合</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富源县自然资源局提供数据和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卫星影像图，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对迤佐河水库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保护区范围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内土地利用现状进行</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统计</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分析，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迤佐河水库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内土地利用方式主要为旱地，占保护区面积的38.78%，保护区内人为扰动活动较大；其次是草地，占保护区面积的38.52%；有林地占保护区面积的16.02%；建设用地占保护区面积的4.50%；水域占保护区面积的2.18%。迤佐河水库保护区土地利用现状见表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3-1、图2.3-1。</w:t>
      </w:r>
    </w:p>
    <w:p>
      <w:pPr>
        <w:spacing w:line="480" w:lineRule="exact"/>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1</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迤佐河水库保护区土地利用现状</w:t>
      </w:r>
    </w:p>
    <w:tbl>
      <w:tblPr>
        <w:tblStyle w:val="44"/>
        <w:tblW w:w="9968"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4"/>
        <w:gridCol w:w="993"/>
        <w:gridCol w:w="857"/>
        <w:gridCol w:w="997"/>
        <w:gridCol w:w="851"/>
        <w:gridCol w:w="993"/>
        <w:gridCol w:w="851"/>
        <w:gridCol w:w="1007"/>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2554" w:type="dxa"/>
            <w:vMerge w:val="restart"/>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土地利用类型</w:t>
            </w:r>
          </w:p>
        </w:tc>
        <w:tc>
          <w:tcPr>
            <w:tcW w:w="7414" w:type="dxa"/>
            <w:gridSpan w:val="8"/>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迤佐河水库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2554" w:type="dxa"/>
            <w:vMerge w:val="continue"/>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p>
        </w:tc>
        <w:tc>
          <w:tcPr>
            <w:tcW w:w="1850" w:type="dxa"/>
            <w:gridSpan w:val="2"/>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一级保护区</w:t>
            </w:r>
          </w:p>
        </w:tc>
        <w:tc>
          <w:tcPr>
            <w:tcW w:w="1848" w:type="dxa"/>
            <w:gridSpan w:val="2"/>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二级保护区</w:t>
            </w:r>
          </w:p>
        </w:tc>
        <w:tc>
          <w:tcPr>
            <w:tcW w:w="1844" w:type="dxa"/>
            <w:gridSpan w:val="2"/>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准保护区</w:t>
            </w:r>
          </w:p>
        </w:tc>
        <w:tc>
          <w:tcPr>
            <w:tcW w:w="1872" w:type="dxa"/>
            <w:gridSpan w:val="2"/>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2554" w:type="dxa"/>
            <w:vMerge w:val="continue"/>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p>
        </w:tc>
        <w:tc>
          <w:tcPr>
            <w:tcW w:w="993"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857"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比例（</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997"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851"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比例（</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993"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851"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比例（</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007"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865"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比例（</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r>
              <w:rPr>
                <w:rFonts w:hint="eastAsia" w:eastAsia="仿宋"/>
                <w:b/>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54" w:type="dxa"/>
            <w:shd w:val="clear" w:color="auto" w:fill="auto"/>
            <w:vAlign w:val="center"/>
          </w:tcPr>
          <w:p>
            <w:pPr>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有林地</w:t>
            </w:r>
          </w:p>
        </w:tc>
        <w:tc>
          <w:tcPr>
            <w:tcW w:w="993"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1.49</w:t>
            </w:r>
          </w:p>
        </w:tc>
        <w:tc>
          <w:tcPr>
            <w:tcW w:w="857"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1.88</w:t>
            </w:r>
          </w:p>
        </w:tc>
        <w:tc>
          <w:tcPr>
            <w:tcW w:w="997"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109.17</w:t>
            </w:r>
          </w:p>
        </w:tc>
        <w:tc>
          <w:tcPr>
            <w:tcW w:w="85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18.58</w:t>
            </w:r>
          </w:p>
        </w:tc>
        <w:tc>
          <w:tcPr>
            <w:tcW w:w="993"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68.62</w:t>
            </w:r>
          </w:p>
        </w:tc>
        <w:tc>
          <w:tcPr>
            <w:tcW w:w="85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15.19</w:t>
            </w:r>
          </w:p>
        </w:tc>
        <w:tc>
          <w:tcPr>
            <w:tcW w:w="1007"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179.29</w:t>
            </w:r>
          </w:p>
        </w:tc>
        <w:tc>
          <w:tcPr>
            <w:tcW w:w="865"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54" w:type="dxa"/>
            <w:shd w:val="clear" w:color="auto" w:fill="auto"/>
            <w:vAlign w:val="center"/>
          </w:tcPr>
          <w:p>
            <w:pPr>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旱地</w:t>
            </w:r>
          </w:p>
        </w:tc>
        <w:tc>
          <w:tcPr>
            <w:tcW w:w="993"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0.16</w:t>
            </w:r>
          </w:p>
        </w:tc>
        <w:tc>
          <w:tcPr>
            <w:tcW w:w="857"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0.20</w:t>
            </w:r>
          </w:p>
        </w:tc>
        <w:tc>
          <w:tcPr>
            <w:tcW w:w="997"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221.89</w:t>
            </w:r>
          </w:p>
        </w:tc>
        <w:tc>
          <w:tcPr>
            <w:tcW w:w="85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37.77</w:t>
            </w:r>
          </w:p>
        </w:tc>
        <w:tc>
          <w:tcPr>
            <w:tcW w:w="993"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211.78</w:t>
            </w:r>
          </w:p>
        </w:tc>
        <w:tc>
          <w:tcPr>
            <w:tcW w:w="85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46.88</w:t>
            </w:r>
          </w:p>
        </w:tc>
        <w:tc>
          <w:tcPr>
            <w:tcW w:w="1007" w:type="dxa"/>
            <w:shd w:val="clear" w:color="auto" w:fill="auto"/>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433.82</w:t>
            </w:r>
          </w:p>
        </w:tc>
        <w:tc>
          <w:tcPr>
            <w:tcW w:w="865" w:type="dxa"/>
            <w:shd w:val="clear" w:color="auto" w:fill="auto"/>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38.78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54" w:type="dxa"/>
            <w:shd w:val="clear" w:color="auto" w:fill="auto"/>
            <w:vAlign w:val="center"/>
          </w:tcPr>
          <w:p>
            <w:pPr>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草地</w:t>
            </w:r>
          </w:p>
        </w:tc>
        <w:tc>
          <w:tcPr>
            <w:tcW w:w="993"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49.08</w:t>
            </w:r>
          </w:p>
        </w:tc>
        <w:tc>
          <w:tcPr>
            <w:tcW w:w="857"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61.69</w:t>
            </w:r>
          </w:p>
        </w:tc>
        <w:tc>
          <w:tcPr>
            <w:tcW w:w="997"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245.14</w:t>
            </w:r>
          </w:p>
        </w:tc>
        <w:tc>
          <w:tcPr>
            <w:tcW w:w="85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41.73</w:t>
            </w:r>
          </w:p>
        </w:tc>
        <w:tc>
          <w:tcPr>
            <w:tcW w:w="993"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136.78</w:t>
            </w:r>
          </w:p>
        </w:tc>
        <w:tc>
          <w:tcPr>
            <w:tcW w:w="85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30.28</w:t>
            </w:r>
          </w:p>
        </w:tc>
        <w:tc>
          <w:tcPr>
            <w:tcW w:w="1007" w:type="dxa"/>
            <w:shd w:val="clear" w:color="auto" w:fill="auto"/>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431.00</w:t>
            </w:r>
          </w:p>
        </w:tc>
        <w:tc>
          <w:tcPr>
            <w:tcW w:w="865" w:type="dxa"/>
            <w:shd w:val="clear" w:color="auto" w:fill="auto"/>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54" w:type="dxa"/>
            <w:shd w:val="clear" w:color="auto" w:fill="auto"/>
            <w:vAlign w:val="center"/>
          </w:tcPr>
          <w:p>
            <w:pPr>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水域</w:t>
            </w:r>
          </w:p>
        </w:tc>
        <w:tc>
          <w:tcPr>
            <w:tcW w:w="993"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24.34</w:t>
            </w:r>
          </w:p>
        </w:tc>
        <w:tc>
          <w:tcPr>
            <w:tcW w:w="857"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30.60</w:t>
            </w:r>
          </w:p>
        </w:tc>
        <w:tc>
          <w:tcPr>
            <w:tcW w:w="997"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w:t>
            </w:r>
          </w:p>
        </w:tc>
        <w:tc>
          <w:tcPr>
            <w:tcW w:w="85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w:t>
            </w:r>
          </w:p>
        </w:tc>
        <w:tc>
          <w:tcPr>
            <w:tcW w:w="993"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w:t>
            </w:r>
          </w:p>
        </w:tc>
        <w:tc>
          <w:tcPr>
            <w:tcW w:w="85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w:t>
            </w:r>
          </w:p>
        </w:tc>
        <w:tc>
          <w:tcPr>
            <w:tcW w:w="1007"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24.34</w:t>
            </w:r>
          </w:p>
        </w:tc>
        <w:tc>
          <w:tcPr>
            <w:tcW w:w="865"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54" w:type="dxa"/>
            <w:shd w:val="clear" w:color="auto" w:fill="auto"/>
            <w:vAlign w:val="center"/>
          </w:tcPr>
          <w:p>
            <w:pPr>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建设用地</w:t>
            </w:r>
          </w:p>
        </w:tc>
        <w:tc>
          <w:tcPr>
            <w:tcW w:w="993"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4.48</w:t>
            </w:r>
          </w:p>
        </w:tc>
        <w:tc>
          <w:tcPr>
            <w:tcW w:w="857"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5.64</w:t>
            </w:r>
          </w:p>
        </w:tc>
        <w:tc>
          <w:tcPr>
            <w:tcW w:w="997"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11.25</w:t>
            </w:r>
          </w:p>
        </w:tc>
        <w:tc>
          <w:tcPr>
            <w:tcW w:w="851"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1.92</w:t>
            </w:r>
          </w:p>
        </w:tc>
        <w:tc>
          <w:tcPr>
            <w:tcW w:w="993"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34.61</w:t>
            </w:r>
          </w:p>
        </w:tc>
        <w:tc>
          <w:tcPr>
            <w:tcW w:w="851"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7.66</w:t>
            </w:r>
          </w:p>
        </w:tc>
        <w:tc>
          <w:tcPr>
            <w:tcW w:w="1007"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50.34</w:t>
            </w:r>
          </w:p>
        </w:tc>
        <w:tc>
          <w:tcPr>
            <w:tcW w:w="865"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54"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993"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79.56</w:t>
            </w:r>
          </w:p>
        </w:tc>
        <w:tc>
          <w:tcPr>
            <w:tcW w:w="857"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100.0</w:t>
            </w:r>
          </w:p>
        </w:tc>
        <w:tc>
          <w:tcPr>
            <w:tcW w:w="997"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587.46</w:t>
            </w:r>
          </w:p>
        </w:tc>
        <w:tc>
          <w:tcPr>
            <w:tcW w:w="85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100.0</w:t>
            </w:r>
          </w:p>
        </w:tc>
        <w:tc>
          <w:tcPr>
            <w:tcW w:w="993"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451.78</w:t>
            </w:r>
          </w:p>
        </w:tc>
        <w:tc>
          <w:tcPr>
            <w:tcW w:w="85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100.0</w:t>
            </w:r>
          </w:p>
        </w:tc>
        <w:tc>
          <w:tcPr>
            <w:tcW w:w="1007"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1118.80</w:t>
            </w:r>
          </w:p>
        </w:tc>
        <w:tc>
          <w:tcPr>
            <w:tcW w:w="865"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100.0</w:t>
            </w:r>
          </w:p>
        </w:tc>
      </w:tr>
    </w:tbl>
    <w:p>
      <w:pPr>
        <w:adjustRightInd w:val="0"/>
        <w:snapToGrid w:val="0"/>
        <w:spacing w:line="360" w:lineRule="auto"/>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514850" cy="30289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514850" cy="3028950"/>
                    </a:xfrm>
                    <a:prstGeom prst="rect">
                      <a:avLst/>
                    </a:prstGeom>
                    <a:noFill/>
                    <a:ln>
                      <a:noFill/>
                    </a:ln>
                  </pic:spPr>
                </pic:pic>
              </a:graphicData>
            </a:graphic>
          </wp:inline>
        </w:drawing>
      </w:r>
    </w:p>
    <w:p>
      <w:pPr>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  迤佐河水库保护区内土地利用状况</w:t>
      </w:r>
    </w:p>
    <w:p>
      <w:pPr>
        <w:pStyle w:val="3"/>
        <w:rPr>
          <w:color w:val="0D0D0D" w:themeColor="text1" w:themeTint="F2"/>
          <w14:textFill>
            <w14:solidFill>
              <w14:schemeClr w14:val="tx1">
                <w14:lumMod w14:val="95000"/>
                <w14:lumOff w14:val="5000"/>
              </w14:schemeClr>
            </w14:solidFill>
          </w14:textFill>
        </w:rPr>
      </w:pPr>
      <w:bookmarkStart w:id="48" w:name="_Toc27520660"/>
      <w:bookmarkStart w:id="49" w:name="_Toc12456059"/>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4</w:t>
      </w:r>
      <w:r>
        <w:rPr>
          <w:color w:val="0D0D0D" w:themeColor="text1" w:themeTint="F2"/>
          <w14:textFill>
            <w14:solidFill>
              <w14:schemeClr w14:val="tx1">
                <w14:lumMod w14:val="95000"/>
                <w14:lumOff w14:val="5000"/>
              </w14:schemeClr>
            </w14:solidFill>
          </w14:textFill>
        </w:rPr>
        <w:t xml:space="preserve"> 饮用水水源地</w:t>
      </w:r>
      <w:r>
        <w:rPr>
          <w:rFonts w:hint="eastAsia"/>
          <w:color w:val="0D0D0D" w:themeColor="text1" w:themeTint="F2"/>
          <w14:textFill>
            <w14:solidFill>
              <w14:schemeClr w14:val="tx1">
                <w14:lumMod w14:val="95000"/>
                <w14:lumOff w14:val="5000"/>
              </w14:schemeClr>
            </w14:solidFill>
          </w14:textFill>
        </w:rPr>
        <w:t>规划、水功能区划、重要生态功能区等情况</w:t>
      </w:r>
      <w:bookmarkEnd w:id="48"/>
      <w:bookmarkEnd w:id="49"/>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（1）水源地规划</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迤佐河水库作为在用的“千吨万人”水源地，本次区划按新划区划开展相关工作。</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（2）水功能区划</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迤佐河水库属于珠江流域南盘江水系，根据《云南省地表水环境功能区划（2010-2020年）》，迤佐河水库所在水环境功能区划为：黄泥河富源境内段，为工业用水、农业用水、饮用二级，水质类别为III类。</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迤佐河水库属于地表水水，现状功能为饮用水，水质功能类别为III类。</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（3）重要生态功能区</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迤佐河水库饮用水水源地位于曲靖市富源县富村镇，根据《云南省主体功能区规划》，富源县属于省级重点开发区域。</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根据《云南省生态功能区划》，迤佐河水库水源地位于富源县富村镇，所在生态功能分区为：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高原亚热带北部常绿阔叶林生态区—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滇中高原谷盆半湿润常绿阔叶林、暖性针叶林生态亚区—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1-14</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富源、罗平岩溶中山水源涵养生态功能区。该区以岩溶中山地貌为主。大部分地区年降雨量1500-2000 毫米，主要植被类型是云南松林，土壤以黄壤和黄棕壤为主。区内森林数量少、质量低，矿业开发带来的污染，区内石漠化中度敏感。区内需严格执行封山育林、人工造林和退耕还林；做好煤矿开采的生态恢复，提高区域的水源涵养效益。</w:t>
      </w:r>
    </w:p>
    <w:p>
      <w:pPr>
        <w:pStyle w:val="3"/>
        <w:rPr>
          <w:color w:val="0D0D0D" w:themeColor="text1" w:themeTint="F2"/>
          <w14:textFill>
            <w14:solidFill>
              <w14:schemeClr w14:val="tx1">
                <w14:lumMod w14:val="95000"/>
                <w14:lumOff w14:val="5000"/>
              </w14:schemeClr>
            </w14:solidFill>
          </w14:textFill>
        </w:rPr>
      </w:pPr>
      <w:bookmarkStart w:id="50" w:name="_Toc10729973"/>
      <w:bookmarkStart w:id="51" w:name="_Toc27520661"/>
      <w:bookmarkStart w:id="52" w:name="_Toc12456060"/>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5</w:t>
      </w:r>
      <w:r>
        <w:rPr>
          <w:color w:val="0D0D0D" w:themeColor="text1" w:themeTint="F2"/>
          <w14:textFill>
            <w14:solidFill>
              <w14:schemeClr w14:val="tx1">
                <w14:lumMod w14:val="95000"/>
                <w14:lumOff w14:val="5000"/>
              </w14:schemeClr>
            </w14:solidFill>
          </w14:textFill>
        </w:rPr>
        <w:t xml:space="preserve"> 饮用水水源地</w:t>
      </w:r>
      <w:r>
        <w:rPr>
          <w:rFonts w:hint="eastAsia"/>
          <w:color w:val="0D0D0D" w:themeColor="text1" w:themeTint="F2"/>
          <w14:textFill>
            <w14:solidFill>
              <w14:schemeClr w14:val="tx1">
                <w14:lumMod w14:val="95000"/>
                <w14:lumOff w14:val="5000"/>
              </w14:schemeClr>
            </w14:solidFill>
          </w14:textFill>
        </w:rPr>
        <w:t>基本</w:t>
      </w:r>
      <w:bookmarkEnd w:id="50"/>
      <w:r>
        <w:rPr>
          <w:rFonts w:hint="eastAsia"/>
          <w:color w:val="0D0D0D" w:themeColor="text1" w:themeTint="F2"/>
          <w14:textFill>
            <w14:solidFill>
              <w14:schemeClr w14:val="tx1">
                <w14:lumMod w14:val="95000"/>
                <w14:lumOff w14:val="5000"/>
              </w14:schemeClr>
            </w14:solidFill>
          </w14:textFill>
        </w:rPr>
        <w:t>状况</w:t>
      </w:r>
      <w:bookmarkEnd w:id="51"/>
      <w:bookmarkEnd w:id="52"/>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富村镇迤佐河水库为地表水型饮用水源地，为在用水源地。</w:t>
      </w:r>
    </w:p>
    <w:p>
      <w:pPr>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5-1  富村镇迤佐河水库水源地基本信息表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5"/>
        <w:gridCol w:w="1700"/>
        <w:gridCol w:w="2324"/>
        <w:gridCol w:w="2326"/>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45" w:type="dxa"/>
            <w:vMerge w:val="restart"/>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水源地名称</w:t>
            </w:r>
          </w:p>
        </w:tc>
        <w:tc>
          <w:tcPr>
            <w:tcW w:w="1700" w:type="dxa"/>
            <w:vMerge w:val="restart"/>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水源地类型</w:t>
            </w:r>
          </w:p>
        </w:tc>
        <w:tc>
          <w:tcPr>
            <w:tcW w:w="4650" w:type="dxa"/>
            <w:gridSpan w:val="2"/>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取水口地理坐标</w:t>
            </w:r>
          </w:p>
        </w:tc>
        <w:tc>
          <w:tcPr>
            <w:tcW w:w="1455" w:type="dxa"/>
            <w:vMerge w:val="restart"/>
            <w:shd w:val="clear" w:color="auto" w:fill="D8D8D8" w:themeFill="background1" w:themeFillShade="D9"/>
            <w:vAlign w:val="center"/>
          </w:tcPr>
          <w:p>
            <w:pPr>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45" w:type="dxa"/>
            <w:vMerge w:val="continue"/>
            <w:shd w:val="clear" w:color="auto" w:fill="D8D8D8" w:themeFill="background1" w:themeFillShade="D9"/>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700" w:type="dxa"/>
            <w:vMerge w:val="continue"/>
            <w:shd w:val="clear" w:color="auto" w:fill="D8D8D8" w:themeFill="background1" w:themeFillShade="D9"/>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2324"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东经</w:t>
            </w:r>
          </w:p>
        </w:tc>
        <w:tc>
          <w:tcPr>
            <w:tcW w:w="2326"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北纬</w:t>
            </w:r>
          </w:p>
        </w:tc>
        <w:tc>
          <w:tcPr>
            <w:tcW w:w="1455" w:type="dxa"/>
            <w:vMerge w:val="continue"/>
            <w:shd w:val="clear" w:color="auto" w:fill="D8D8D8" w:themeFill="background1" w:themeFillShade="D9"/>
            <w:vAlign w:val="center"/>
          </w:tcPr>
          <w:p>
            <w:pPr>
              <w:spacing w:line="300" w:lineRule="exact"/>
              <w:jc w:val="center"/>
              <w:rPr>
                <w:rFonts w:ascii="宋体" w:hAnsi="宋体" w:eastAsia="宋体" w:cs="宋体"/>
                <w:color w:val="0D0D0D" w:themeColor="text1" w:themeTint="F2"/>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45"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迤佐河水库</w:t>
            </w:r>
          </w:p>
        </w:tc>
        <w:tc>
          <w:tcPr>
            <w:tcW w:w="1700"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地表水型</w:t>
            </w:r>
          </w:p>
        </w:tc>
        <w:tc>
          <w:tcPr>
            <w:tcW w:w="2324"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104°25'37"</w:t>
            </w:r>
          </w:p>
        </w:tc>
        <w:tc>
          <w:tcPr>
            <w:tcW w:w="2326"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25°24'46"</w:t>
            </w:r>
          </w:p>
        </w:tc>
        <w:tc>
          <w:tcPr>
            <w:tcW w:w="1455"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在用</w:t>
            </w:r>
          </w:p>
        </w:tc>
      </w:tr>
    </w:tbl>
    <w:p>
      <w:pPr>
        <w:jc w:val="center"/>
        <w:rPr>
          <w:color w:val="0D0D0D" w:themeColor="text1" w:themeTint="F2"/>
          <w14:textFill>
            <w14:solidFill>
              <w14:schemeClr w14:val="tx1">
                <w14:lumMod w14:val="95000"/>
                <w14:lumOff w14:val="5000"/>
              </w14:schemeClr>
            </w14:solidFill>
          </w14:textFill>
        </w:rPr>
      </w:pPr>
      <w:bookmarkStart w:id="53" w:name="_Toc12456061"/>
      <w:bookmarkStart w:id="54" w:name="_Toc10729974"/>
      <w:r>
        <w:rPr>
          <w:color w:val="0D0D0D" w:themeColor="text1" w:themeTint="F2"/>
          <w14:textFill>
            <w14:solidFill>
              <w14:schemeClr w14:val="tx1">
                <w14:lumMod w14:val="95000"/>
                <w14:lumOff w14:val="5000"/>
              </w14:schemeClr>
            </w14:solidFill>
          </w14:textFill>
        </w:rPr>
        <w:drawing>
          <wp:inline distT="0" distB="0" distL="0" distR="0">
            <wp:extent cx="4320540" cy="264795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a:extLst>
                        <a:ext uri="{28A0092B-C50C-407E-A947-70E740481C1C}">
                          <a14:useLocalDpi xmlns:a14="http://schemas.microsoft.com/office/drawing/2010/main" val="0"/>
                        </a:ext>
                      </a:extLst>
                    </a:blip>
                    <a:srcRect t="54125"/>
                    <a:stretch>
                      <a:fillRect/>
                    </a:stretch>
                  </pic:blipFill>
                  <pic:spPr>
                    <a:xfrm>
                      <a:off x="0" y="0"/>
                      <a:ext cx="4323882" cy="2649648"/>
                    </a:xfrm>
                    <a:prstGeom prst="rect">
                      <a:avLst/>
                    </a:prstGeom>
                    <a:noFill/>
                    <a:ln>
                      <a:noFill/>
                    </a:ln>
                  </pic:spPr>
                </pic:pic>
              </a:graphicData>
            </a:graphic>
          </wp:inline>
        </w:drawing>
      </w:r>
    </w:p>
    <w:p>
      <w:pPr>
        <w:adjustRightInd w:val="0"/>
        <w:snapToGrid w:val="0"/>
        <w:spacing w:line="360" w:lineRule="auto"/>
        <w:jc w:val="center"/>
        <w:rPr>
          <w:rFonts w:ascii="Times New Roman" w:hAnsi="Times New Roman" w:eastAsia="仿宋_GB2312"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_GB2312" w:cs="Times New Roman"/>
          <w:b/>
          <w:color w:val="0D0D0D" w:themeColor="text1" w:themeTint="F2"/>
          <w:sz w:val="28"/>
          <w:szCs w:val="28"/>
          <w14:textFill>
            <w14:solidFill>
              <w14:schemeClr w14:val="tx1">
                <w14:lumMod w14:val="95000"/>
                <w14:lumOff w14:val="5000"/>
              </w14:schemeClr>
            </w14:solidFill>
          </w14:textFill>
        </w:rPr>
        <w:t>图</w:t>
      </w:r>
      <w:r>
        <w:rPr>
          <w:rFonts w:ascii="Times New Roman" w:hAnsi="Times New Roman" w:eastAsia="仿宋_GB2312" w:cs="Times New Roman"/>
          <w:b/>
          <w:color w:val="0D0D0D" w:themeColor="text1" w:themeTint="F2"/>
          <w:sz w:val="28"/>
          <w:szCs w:val="28"/>
          <w14:textFill>
            <w14:solidFill>
              <w14:schemeClr w14:val="tx1">
                <w14:lumMod w14:val="95000"/>
                <w14:lumOff w14:val="5000"/>
              </w14:schemeClr>
            </w14:solidFill>
          </w14:textFill>
        </w:rPr>
        <w:t>2.5</w:t>
      </w:r>
      <w:r>
        <w:rPr>
          <w:rFonts w:hint="eastAsia" w:ascii="Times New Roman" w:hAnsi="Times New Roman" w:eastAsia="仿宋_GB2312" w:cs="Times New Roman"/>
          <w:b/>
          <w:color w:val="0D0D0D" w:themeColor="text1" w:themeTint="F2"/>
          <w:sz w:val="28"/>
          <w:szCs w:val="28"/>
          <w14:textFill>
            <w14:solidFill>
              <w14:schemeClr w14:val="tx1">
                <w14:lumMod w14:val="95000"/>
                <w14:lumOff w14:val="5000"/>
              </w14:schemeClr>
            </w14:solidFill>
          </w14:textFill>
        </w:rPr>
        <w:t>-1  迤佐河水库</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55" w:name="_Toc27520662"/>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5</w:t>
      </w:r>
      <w:r>
        <w:rPr>
          <w:color w:val="0D0D0D" w:themeColor="text1" w:themeTint="F2"/>
          <w:sz w:val="28"/>
          <w:szCs w:val="28"/>
          <w14:textFill>
            <w14:solidFill>
              <w14:schemeClr w14:val="tx1">
                <w14:lumMod w14:val="95000"/>
                <w14:lumOff w14:val="5000"/>
              </w14:schemeClr>
            </w14:solidFill>
          </w14:textFill>
        </w:rPr>
        <w:t>.1</w:t>
      </w:r>
      <w:r>
        <w:rPr>
          <w:rFonts w:hint="eastAsia"/>
          <w:color w:val="0D0D0D" w:themeColor="text1" w:themeTint="F2"/>
          <w:sz w:val="28"/>
          <w:szCs w:val="28"/>
          <w14:textFill>
            <w14:solidFill>
              <w14:schemeClr w14:val="tx1">
                <w14:lumMod w14:val="95000"/>
                <w14:lumOff w14:val="5000"/>
              </w14:schemeClr>
            </w14:solidFill>
          </w14:textFill>
        </w:rPr>
        <w:t xml:space="preserve"> </w:t>
      </w:r>
      <w:bookmarkEnd w:id="53"/>
      <w:bookmarkEnd w:id="54"/>
      <w:r>
        <w:rPr>
          <w:rFonts w:hint="eastAsia"/>
          <w:color w:val="0D0D0D" w:themeColor="text1" w:themeTint="F2"/>
          <w:sz w:val="28"/>
          <w:szCs w:val="28"/>
          <w14:textFill>
            <w14:solidFill>
              <w14:schemeClr w14:val="tx1">
                <w14:lumMod w14:val="95000"/>
                <w14:lumOff w14:val="5000"/>
              </w14:schemeClr>
            </w14:solidFill>
          </w14:textFill>
        </w:rPr>
        <w:t>水库概况</w:t>
      </w:r>
      <w:bookmarkEnd w:id="55"/>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迤佐河水库是块泽河上游支流一座小（一）型水库，河源高程2280.5m，河道平均坡降49.9‰，径流面积12.3km</w:t>
      </w:r>
      <w:r>
        <w:rPr>
          <w:rFonts w:ascii="Times New Roman" w:hAnsi="Times New Roman" w:eastAsia="仿宋" w:cs="Times New Roman"/>
          <w:color w:val="0D0D0D" w:themeColor="text1" w:themeTint="F2"/>
          <w:sz w:val="28"/>
          <w:szCs w:val="28"/>
          <w:vertAlign w:val="superscript"/>
          <w:lang w:val="en-IE"/>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。迤佐河水库工程的主要解决富村镇的块泽、新厂、白石岩3个村委会和营上镇的哈播村委会的农田7504亩农田灌溉及解决新厂人畜饮水防洪保护耕地500亩。按水利部，能源部水规</w:t>
      </w:r>
      <w:r>
        <w:rPr>
          <w:rFonts w:hint="eastAsia"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1990</w:t>
      </w:r>
      <w:r>
        <w:rPr>
          <w:rFonts w:hint="eastAsia"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35号文颁布的标准SDJ12-78规定，本工程为小</w:t>
      </w:r>
      <w:r>
        <w:rPr>
          <w:rFonts w:hint="eastAsia"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型水利工程，工程等别为</w:t>
      </w:r>
      <w:r>
        <w:rPr>
          <w:rFonts w:hint="eastAsia" w:ascii="宋体" w:hAnsi="宋体" w:eastAsia="宋体" w:cs="宋体"/>
          <w:color w:val="0D0D0D" w:themeColor="text1" w:themeTint="F2"/>
          <w:sz w:val="28"/>
          <w:szCs w:val="28"/>
          <w:lang w:val="en-IE"/>
          <w14:textFill>
            <w14:solidFill>
              <w14:schemeClr w14:val="tx1">
                <w14:lumMod w14:val="95000"/>
                <w14:lumOff w14:val="5000"/>
              </w14:schemeClr>
            </w14:solidFill>
          </w14:textFill>
        </w:rPr>
        <w:t>Ⅳ</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等，枢纽工程主要建筑物级别为4级，次要建筑物级别为5级，正常运行洪水按30年一遇洪水（P=3.3%）设计，非常运行按300年一遇洪水（P=0.33%）校核。迤佐河水库始建于1964年，现有坝高35m，坝顶长145</w:t>
      </w:r>
      <w:r>
        <w:rPr>
          <w:rFonts w:hint="eastAsia"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，坝顶宽5</w:t>
      </w:r>
      <w:r>
        <w:rPr>
          <w:rFonts w:hint="eastAsia"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，相应坝顶高程1920m，总库容402.1万m</w:t>
      </w:r>
      <w:r>
        <w:rPr>
          <w:rFonts w:ascii="Times New Roman" w:hAnsi="Times New Roman" w:eastAsia="仿宋" w:cs="Times New Roman"/>
          <w:color w:val="0D0D0D" w:themeColor="text1" w:themeTint="F2"/>
          <w:sz w:val="28"/>
          <w:szCs w:val="28"/>
          <w:vertAlign w:val="superscript"/>
          <w:lang w:val="en-IE"/>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上游坡比1：3，1:2.75，1:2.5三级，下游坡比1：1.5，1893m处设置戗台一道，宽3m，1893～1905m高程坡比1：2.75，1905m处又设戗台一道，宽3m，1905m以上至坝顶1920m坡比1：2.5，上游坡1905m高程以下块石护坡，以上混凝土预制块护坡，下游坡设纵横向排水沟。溢洪道，属有闸控制实用堰型，堰顶高程为1915.00m，溢洪道堰顶宽为3m，安装3×3米平面钢闸门1道，启闭机为QPQ8t手电两用螺杆式启闭机。右岸建有输水隧洞，进口高程（闸门底坎）1898m，长度为129m，设1.4×1.4m工作闸门一道，最大出流8.72m</w:t>
      </w:r>
      <w:r>
        <w:rPr>
          <w:rFonts w:ascii="Times New Roman" w:hAnsi="Times New Roman" w:eastAsia="仿宋" w:cs="Times New Roman"/>
          <w:color w:val="0D0D0D" w:themeColor="text1" w:themeTint="F2"/>
          <w:sz w:val="28"/>
          <w:szCs w:val="28"/>
          <w:vertAlign w:val="superscript"/>
          <w:lang w:val="en-IE"/>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/S。</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迤佐河水库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总库容402.1万m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调节库容</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324.11万m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，正常蓄水位1915.0m，死水位1900m</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，设计洪水位为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1916.7</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m，校核洪水位为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1918.2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p>
    <w:p>
      <w:pPr>
        <w:adjustRightInd w:val="0"/>
        <w:snapToGrid w:val="0"/>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2.5-2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迤佐河水库</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设计基本参数</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2891"/>
        <w:gridCol w:w="2086"/>
        <w:gridCol w:w="3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6"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eastAsia="仿宋"/>
                <w:b/>
                <w:color w:val="0D0D0D" w:themeColor="text1" w:themeTint="F2"/>
                <w:sz w:val="24"/>
                <w:szCs w:val="24"/>
                <w14:textFill>
                  <w14:solidFill>
                    <w14:schemeClr w14:val="tx1">
                      <w14:lumMod w14:val="95000"/>
                      <w14:lumOff w14:val="5000"/>
                    </w14:schemeClr>
                  </w14:solidFill>
                </w14:textFill>
              </w:rPr>
              <w:t>序号</w:t>
            </w:r>
          </w:p>
        </w:tc>
        <w:tc>
          <w:tcPr>
            <w:tcW w:w="2891"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eastAsia="仿宋"/>
                <w:b/>
                <w:color w:val="0D0D0D" w:themeColor="text1" w:themeTint="F2"/>
                <w:sz w:val="24"/>
                <w:szCs w:val="24"/>
                <w14:textFill>
                  <w14:solidFill>
                    <w14:schemeClr w14:val="tx1">
                      <w14:lumMod w14:val="95000"/>
                      <w14:lumOff w14:val="5000"/>
                    </w14:schemeClr>
                  </w14:solidFill>
                </w14:textFill>
              </w:rPr>
              <w:t>参数</w:t>
            </w:r>
          </w:p>
        </w:tc>
        <w:tc>
          <w:tcPr>
            <w:tcW w:w="2086"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eastAsia="仿宋"/>
                <w:b/>
                <w:color w:val="0D0D0D" w:themeColor="text1" w:themeTint="F2"/>
                <w:sz w:val="24"/>
                <w:szCs w:val="24"/>
                <w14:textFill>
                  <w14:solidFill>
                    <w14:schemeClr w14:val="tx1">
                      <w14:lumMod w14:val="95000"/>
                      <w14:lumOff w14:val="5000"/>
                    </w14:schemeClr>
                  </w14:solidFill>
                </w14:textFill>
              </w:rPr>
              <w:t>单位</w:t>
            </w:r>
          </w:p>
        </w:tc>
        <w:tc>
          <w:tcPr>
            <w:tcW w:w="3107"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迤佐河水库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eastAsia="仿宋"/>
                <w:color w:val="0D0D0D" w:themeColor="text1" w:themeTint="F2"/>
                <w:sz w:val="24"/>
                <w:szCs w:val="24"/>
                <w14:textFill>
                  <w14:solidFill>
                    <w14:schemeClr w14:val="tx1">
                      <w14:lumMod w14:val="95000"/>
                      <w14:lumOff w14:val="5000"/>
                    </w14:schemeClr>
                  </w14:solidFill>
                </w14:textFill>
              </w:rPr>
              <w:t>正常蓄水位</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eastAsia="仿宋"/>
                <w:color w:val="0D0D0D" w:themeColor="text1" w:themeTint="F2"/>
                <w:sz w:val="24"/>
                <w:szCs w:val="24"/>
                <w14:textFill>
                  <w14:solidFill>
                    <w14:schemeClr w14:val="tx1">
                      <w14:lumMod w14:val="95000"/>
                      <w14:lumOff w14:val="5000"/>
                    </w14:schemeClr>
                  </w14:solidFill>
                </w14:textFill>
              </w:rPr>
              <w:t>死水位</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设计洪水位</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校核洪水位</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调节库容</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3</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324.11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eastAsia="仿宋"/>
                <w:color w:val="0D0D0D" w:themeColor="text1" w:themeTint="F2"/>
                <w:sz w:val="24"/>
                <w:szCs w:val="24"/>
                <w14:textFill>
                  <w14:solidFill>
                    <w14:schemeClr w14:val="tx1">
                      <w14:lumMod w14:val="95000"/>
                      <w14:lumOff w14:val="5000"/>
                    </w14:schemeClr>
                  </w14:solidFill>
                </w14:textFill>
              </w:rPr>
              <w:t>总库容</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3</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402.1</w:t>
            </w: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56" w:name="_Toc12456062"/>
      <w:bookmarkStart w:id="57" w:name="_Toc27520663"/>
      <w:bookmarkStart w:id="58" w:name="_Toc10729975"/>
      <w:bookmarkStart w:id="59" w:name="_Toc478742807"/>
      <w:bookmarkStart w:id="60" w:name="_Toc524596427"/>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5</w:t>
      </w:r>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 xml:space="preserve"> 供</w:t>
      </w:r>
      <w:r>
        <w:rPr>
          <w:color w:val="0D0D0D" w:themeColor="text1" w:themeTint="F2"/>
          <w:sz w:val="28"/>
          <w:szCs w:val="28"/>
          <w14:textFill>
            <w14:solidFill>
              <w14:schemeClr w14:val="tx1">
                <w14:lumMod w14:val="95000"/>
                <w14:lumOff w14:val="5000"/>
              </w14:schemeClr>
            </w14:solidFill>
          </w14:textFill>
        </w:rPr>
        <w:t>水情况</w:t>
      </w:r>
      <w:bookmarkEnd w:id="56"/>
      <w:bookmarkEnd w:id="57"/>
      <w:bookmarkEnd w:id="58"/>
      <w:bookmarkEnd w:id="59"/>
      <w:bookmarkEnd w:id="60"/>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迤佐河水库为富源县富村镇自来水厂水源点，年供水量</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109.5</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年，供水人口约</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4.1</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万人。</w:t>
      </w:r>
    </w:p>
    <w:p>
      <w:pPr>
        <w:spacing w:line="480" w:lineRule="exact"/>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sectPr>
          <w:footerReference r:id="rId8" w:type="default"/>
          <w:pgSz w:w="11906" w:h="16838"/>
          <w:pgMar w:top="1440" w:right="1236" w:bottom="1440" w:left="1236" w:header="851" w:footer="992" w:gutter="0"/>
          <w:pgNumType w:fmt="numberInDash"/>
          <w:cols w:space="0" w:num="1"/>
          <w:docGrid w:type="lines" w:linePitch="312" w:charSpace="0"/>
        </w:sectPr>
      </w:pPr>
    </w:p>
    <w:p>
      <w:pPr>
        <w:spacing w:line="480" w:lineRule="exact"/>
        <w:jc w:val="center"/>
        <w:rPr>
          <w:rFonts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 xml:space="preserve">-3  </w:t>
      </w:r>
      <w:r>
        <w:rPr>
          <w:rFonts w:hint="eastAsia"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t>迤佐河水库供水情况统计表</w:t>
      </w:r>
    </w:p>
    <w:tbl>
      <w:tblPr>
        <w:tblStyle w:val="45"/>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6"/>
        <w:gridCol w:w="3754"/>
        <w:gridCol w:w="3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526"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水源地名称</w:t>
            </w:r>
          </w:p>
        </w:tc>
        <w:tc>
          <w:tcPr>
            <w:tcW w:w="3754"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供</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水量（万</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hint="eastAsia"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w:t>
            </w:r>
          </w:p>
        </w:tc>
        <w:tc>
          <w:tcPr>
            <w:tcW w:w="3370"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供水</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人口（万人）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7" w:hRule="atLeast"/>
        </w:trPr>
        <w:tc>
          <w:tcPr>
            <w:tcW w:w="2526"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迤佐河水库</w:t>
            </w:r>
          </w:p>
        </w:tc>
        <w:tc>
          <w:tcPr>
            <w:tcW w:w="3754"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109.5</w:t>
            </w:r>
          </w:p>
        </w:tc>
        <w:tc>
          <w:tcPr>
            <w:tcW w:w="3370"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4.1</w:t>
            </w:r>
          </w:p>
        </w:tc>
      </w:tr>
    </w:tbl>
    <w:p>
      <w:pPr>
        <w:pStyle w:val="3"/>
        <w:rPr>
          <w:color w:val="0D0D0D" w:themeColor="text1" w:themeTint="F2"/>
          <w14:textFill>
            <w14:solidFill>
              <w14:schemeClr w14:val="tx1">
                <w14:lumMod w14:val="95000"/>
                <w14:lumOff w14:val="5000"/>
              </w14:schemeClr>
            </w14:solidFill>
          </w14:textFill>
        </w:rPr>
      </w:pPr>
      <w:bookmarkStart w:id="61" w:name="_Toc10729976"/>
      <w:bookmarkStart w:id="62" w:name="_Toc12456063"/>
      <w:bookmarkStart w:id="63" w:name="_Toc27520664"/>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6 饮用水</w:t>
      </w:r>
      <w:r>
        <w:rPr>
          <w:color w:val="0D0D0D" w:themeColor="text1" w:themeTint="F2"/>
          <w14:textFill>
            <w14:solidFill>
              <w14:schemeClr w14:val="tx1">
                <w14:lumMod w14:val="95000"/>
                <w14:lumOff w14:val="5000"/>
              </w14:schemeClr>
            </w14:solidFill>
          </w14:textFill>
        </w:rPr>
        <w:t>水源地</w:t>
      </w:r>
      <w:r>
        <w:rPr>
          <w:rFonts w:hint="eastAsia"/>
          <w:color w:val="0D0D0D" w:themeColor="text1" w:themeTint="F2"/>
          <w14:textFill>
            <w14:solidFill>
              <w14:schemeClr w14:val="tx1">
                <w14:lumMod w14:val="95000"/>
                <w14:lumOff w14:val="5000"/>
              </w14:schemeClr>
            </w14:solidFill>
          </w14:textFill>
        </w:rPr>
        <w:t>的</w:t>
      </w:r>
      <w:r>
        <w:rPr>
          <w:color w:val="0D0D0D" w:themeColor="text1" w:themeTint="F2"/>
          <w14:textFill>
            <w14:solidFill>
              <w14:schemeClr w14:val="tx1">
                <w14:lumMod w14:val="95000"/>
                <w14:lumOff w14:val="5000"/>
              </w14:schemeClr>
            </w14:solidFill>
          </w14:textFill>
        </w:rPr>
        <w:t>水质状况</w:t>
      </w:r>
      <w:bookmarkEnd w:id="61"/>
      <w:r>
        <w:rPr>
          <w:rFonts w:hint="eastAsia"/>
          <w:color w:val="0D0D0D" w:themeColor="text1" w:themeTint="F2"/>
          <w14:textFill>
            <w14:solidFill>
              <w14:schemeClr w14:val="tx1">
                <w14:lumMod w14:val="95000"/>
                <w14:lumOff w14:val="5000"/>
              </w14:schemeClr>
            </w14:solidFill>
          </w14:textFill>
        </w:rPr>
        <w:t>调查评价</w:t>
      </w:r>
      <w:bookmarkEnd w:id="62"/>
      <w:bookmarkEnd w:id="63"/>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富村镇迤</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河</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2019年11月由曲靖市生态环境局</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富源分局</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委托</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蓝</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硕</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信息咨询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有限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公司</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对其水质开展1次监测，本区划引用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9年11月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监测数据对富村镇迤佐河水库水环境质量进行评估。</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64" w:name="_Toc27520665"/>
      <w:bookmarkStart w:id="65" w:name="_Toc27063959"/>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6</w:t>
      </w:r>
      <w:r>
        <w:rPr>
          <w:color w:val="0D0D0D" w:themeColor="text1" w:themeTint="F2"/>
          <w:sz w:val="28"/>
          <w:szCs w:val="28"/>
          <w14:textFill>
            <w14:solidFill>
              <w14:schemeClr w14:val="tx1">
                <w14:lumMod w14:val="95000"/>
                <w14:lumOff w14:val="5000"/>
              </w14:schemeClr>
            </w14:solidFill>
          </w14:textFill>
        </w:rPr>
        <w:t>.1 评价指标、时段、监测布点</w:t>
      </w:r>
      <w:bookmarkEnd w:id="64"/>
      <w:bookmarkEnd w:id="65"/>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 xml:space="preserve">.1.1 </w:t>
      </w:r>
      <w:r>
        <w:rPr>
          <w:rFonts w:hint="eastAsia"/>
          <w:color w:val="0D0D0D" w:themeColor="text1" w:themeTint="F2"/>
          <w:sz w:val="28"/>
          <w14:textFill>
            <w14:solidFill>
              <w14:schemeClr w14:val="tx1">
                <w14:lumMod w14:val="95000"/>
                <w14:lumOff w14:val="5000"/>
              </w14:schemeClr>
            </w14:solidFill>
          </w14:textFill>
        </w:rPr>
        <w:t>评价指标</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9年11月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由</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曲靖市生态环境局富源分局委托云南蓝硕环境信息咨询有限公司对其水质开展1次监测，主要对</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）表1的24项指标包括</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水温、pH、</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溶解氧、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高锰酸盐指数、化学需氧量（COD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r</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）、五日生化需氧量（BOD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）、氨氮、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总氮</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铜</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氟化物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、硒、</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汞</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六价铬</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氰化物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、挥发酚、石油类、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阴离子表面活性剂（</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LAS</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）、硫化物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、粪大肠菌群</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，表2的5项指标包括</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硫酸盐、氯化物、硝酸盐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氮</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、铁、锰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，及气温、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气压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、电导率、叶绿素</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和透明度5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项指标，共3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项指标进行监测。</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富村镇迤佐河水库水质目标按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水质标准。本区划根据常规监测评价结果，结合流域现状主要污染源，对所有已开展的监测因子进行水质类别评价，选取pH、溶解氧、高锰酸盐指数、化学需氧量（COD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r</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）、五日生化需氧量（BOD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）、氨氮、总磷、总氮、铜、锌、氟化物、硒、砷、汞、镉、六价铬、铅、氰化物、挥发酚、石油类、阴离子表面活性剂（LAS）、硫化物等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项指标采用单因子指数法进行水质评价。</w:t>
      </w:r>
    </w:p>
    <w:p>
      <w:pPr>
        <w:spacing w:line="480" w:lineRule="exact"/>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spacing w:line="480" w:lineRule="exact"/>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6</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 xml:space="preserve">-1  </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主要指标</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地表水环境质量标准限值</w:t>
      </w:r>
    </w:p>
    <w:p>
      <w:pPr>
        <w:spacing w:line="480" w:lineRule="exact"/>
        <w:jc w:val="right"/>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单位：mg/L（除pH</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、粪大肠菌群</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78"/>
        <w:gridCol w:w="3194"/>
        <w:gridCol w:w="2374"/>
        <w:gridCol w:w="996"/>
        <w:gridCol w:w="876"/>
        <w:gridCol w:w="816"/>
        <w:gridCol w:w="8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blHeader/>
          <w:jc w:val="center"/>
        </w:trPr>
        <w:tc>
          <w:tcPr>
            <w:tcW w:w="5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ind w:right="-130" w:rightChars="-62"/>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序号</w:t>
            </w:r>
          </w:p>
        </w:tc>
        <w:tc>
          <w:tcPr>
            <w:tcW w:w="319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参数</w:t>
            </w:r>
          </w:p>
        </w:tc>
        <w:tc>
          <w:tcPr>
            <w:tcW w:w="237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w:t>
            </w:r>
          </w:p>
        </w:tc>
        <w:tc>
          <w:tcPr>
            <w:tcW w:w="99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2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II</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c>
          <w:tcPr>
            <w:tcW w:w="87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3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III</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c>
          <w:tcPr>
            <w:tcW w:w="81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4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IV</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c>
          <w:tcPr>
            <w:tcW w:w="81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5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V</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pH值(无量纲)</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溶解氧≥</w:t>
            </w:r>
          </w:p>
        </w:tc>
        <w:tc>
          <w:tcPr>
            <w:tcW w:w="237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饱和率90%（或7.5）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高锰酸盐指数≤</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化学需氧量（COD）≤</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五日生化需氧量（BOD</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5</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氨氮（NH</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3</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-N ）≤</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7</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总磷（以P计）≤</w:t>
            </w:r>
          </w:p>
        </w:tc>
        <w:tc>
          <w:tcPr>
            <w:tcW w:w="237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0.025</w:t>
            </w:r>
          </w:p>
        </w:tc>
        <w:tc>
          <w:tcPr>
            <w:tcW w:w="87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c>
          <w:tcPr>
            <w:tcW w:w="81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8</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总氮（湖、库，以N计）≤</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9</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铜</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锌</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11</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氟化物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12</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硒</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13</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砷</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14</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汞</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镉</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16</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六价铬</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17</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铅</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18</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氰化物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19</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挥发酚</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0.002</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0.002</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石油类</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21</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阴离子表面活性剂</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0.3</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22</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硫化物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23</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粪大肠菌群（个</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/L</w:t>
            </w: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2000</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10000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20000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24</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硫酸盐（以SO</w:t>
            </w:r>
            <w:r>
              <w:rPr>
                <w:rFonts w:hint="eastAsia"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4</w:t>
            </w:r>
            <w:r>
              <w:rPr>
                <w:rFonts w:hint="eastAsia" w:ascii="Times New Roman" w:hAnsi="Times New Roman" w:eastAsia="仿宋"/>
                <w:color w:val="0D0D0D" w:themeColor="text1" w:themeTint="F2"/>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计）</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饮用水</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标准限值</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氯化物（以Cl</w:t>
            </w:r>
            <w:r>
              <w:rPr>
                <w:rFonts w:hint="eastAsia" w:ascii="Times New Roman" w:hAnsi="Times New Roman" w:eastAsia="仿宋"/>
                <w:color w:val="0D0D0D" w:themeColor="text1" w:themeTint="F2"/>
                <w:sz w:val="24"/>
                <w:szCs w:val="24"/>
                <w:vertAlign w:val="superscript"/>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计）</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饮用水</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标准限值</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26</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硝酸盐（以N计）</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集中式生活饮用水标准限值≤10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27</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铁</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集中式生活饮用水标准限值≤0.3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28</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锰</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集中式生活饮用水标准限值≤0.1</w:t>
            </w:r>
          </w:p>
        </w:tc>
      </w:tr>
    </w:tbl>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.1.2 评价时段</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富村镇迤佐河水库采用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次监测结果进行评价。</w:t>
      </w:r>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 xml:space="preserve">.1.3 </w:t>
      </w:r>
      <w:r>
        <w:rPr>
          <w:rFonts w:hint="eastAsia"/>
          <w:color w:val="0D0D0D" w:themeColor="text1" w:themeTint="F2"/>
          <w:sz w:val="28"/>
          <w14:textFill>
            <w14:solidFill>
              <w14:schemeClr w14:val="tx1">
                <w14:lumMod w14:val="95000"/>
                <w14:lumOff w14:val="5000"/>
              </w14:schemeClr>
            </w14:solidFill>
          </w14:textFill>
        </w:rPr>
        <w:t>监测</w:t>
      </w:r>
      <w:r>
        <w:rPr>
          <w:color w:val="0D0D0D" w:themeColor="text1" w:themeTint="F2"/>
          <w:sz w:val="28"/>
          <w14:textFill>
            <w14:solidFill>
              <w14:schemeClr w14:val="tx1">
                <w14:lumMod w14:val="95000"/>
                <w14:lumOff w14:val="5000"/>
              </w14:schemeClr>
            </w14:solidFill>
          </w14:textFill>
        </w:rPr>
        <w:t>点</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水源地现状水质监测点为富村镇迤佐河水库。</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66" w:name="_Toc27520666"/>
      <w:bookmarkStart w:id="67" w:name="_Toc27063960"/>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6</w:t>
      </w:r>
      <w:r>
        <w:rPr>
          <w:color w:val="0D0D0D" w:themeColor="text1" w:themeTint="F2"/>
          <w:sz w:val="28"/>
          <w:szCs w:val="28"/>
          <w14:textFill>
            <w14:solidFill>
              <w14:schemeClr w14:val="tx1">
                <w14:lumMod w14:val="95000"/>
                <w14:lumOff w14:val="5000"/>
              </w14:schemeClr>
            </w14:solidFill>
          </w14:textFill>
        </w:rPr>
        <w:t>.2 评价方法</w:t>
      </w:r>
      <w:bookmarkEnd w:id="66"/>
      <w:bookmarkEnd w:id="67"/>
    </w:p>
    <w:p>
      <w:pPr>
        <w:widowControl/>
        <w:adjustRightInd w:val="0"/>
        <w:snapToGrid w:val="0"/>
        <w:spacing w:line="360" w:lineRule="auto"/>
        <w:ind w:firstLine="560" w:firstLineChars="200"/>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本区划</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采用功能</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类别</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评价法</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和单因子指数法</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进行评价，并筛选出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富村镇迤佐河水库</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的主要污染物。</w:t>
      </w:r>
    </w:p>
    <w:p>
      <w:pPr>
        <w:widowControl/>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）功能类别评价</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法</w:t>
      </w:r>
    </w:p>
    <w:p>
      <w:pPr>
        <w:widowControl/>
        <w:adjustRightInd w:val="0"/>
        <w:snapToGrid w:val="0"/>
        <w:spacing w:line="360" w:lineRule="auto"/>
        <w:ind w:firstLine="560" w:firstLineChars="200"/>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以水质监测结果，对照</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）中表1、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表2和表3，判断检测指标所达到水环境水质功能类别。</w:t>
      </w:r>
    </w:p>
    <w:p>
      <w:pPr>
        <w:widowControl/>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单因子指数法</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pH因子：S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pHj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min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pHj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max</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-7）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pHj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—监测点j的pH的标准指数；</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—监测断面j的pH实测值；</w:t>
      </w:r>
    </w:p>
    <w:p>
      <w:pPr>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min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max</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—水质标准pH值的上下限值。</w:t>
      </w:r>
    </w:p>
    <w:p>
      <w:pPr>
        <w:tabs>
          <w:tab w:val="left" w:pos="5992"/>
        </w:tabs>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因子：</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S</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DOj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 </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s</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s</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tabs>
          <w:tab w:val="left" w:pos="5992"/>
        </w:tabs>
        <w:adjustRightInd w:val="0"/>
        <w:snapToGrid w:val="0"/>
        <w:spacing w:line="360" w:lineRule="auto"/>
        <w:ind w:firstLine="560" w:firstLineChars="200"/>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S</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DOj</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10</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9DO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s</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s</w:t>
      </w:r>
      <w:r>
        <w:rPr>
          <w:rFonts w:hint="eastAsia"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p>
    <w:p>
      <w:pPr>
        <w:tabs>
          <w:tab w:val="left" w:pos="5992"/>
        </w:tabs>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 xml:space="preserve">         </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468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31.6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tabs>
          <w:tab w:val="left" w:pos="5992"/>
        </w:tabs>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S</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DOj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—监测断面</w:t>
      </w:r>
      <w:r>
        <w:rPr>
          <w:rFonts w:hint="eastAsia" w:ascii="Times New Roman" w:hAnsi="Times New Roman" w:eastAsia="仿宋"/>
          <w:i/>
          <w:iCs/>
          <w:color w:val="0D0D0D" w:themeColor="text1" w:themeTint="F2"/>
          <w:sz w:val="28"/>
          <w:szCs w:val="28"/>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的标准指数；</w:t>
      </w:r>
    </w:p>
    <w:p>
      <w:pPr>
        <w:tabs>
          <w:tab w:val="left" w:pos="748"/>
        </w:tabs>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 xml:space="preserve">  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—监测断面</w:t>
      </w:r>
      <w:r>
        <w:rPr>
          <w:rFonts w:hint="eastAsia" w:ascii="Times New Roman" w:hAnsi="Times New Roman" w:eastAsia="仿宋"/>
          <w:i/>
          <w:iCs/>
          <w:color w:val="0D0D0D" w:themeColor="text1" w:themeTint="F2"/>
          <w:sz w:val="28"/>
          <w:szCs w:val="28"/>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实测值；</w:t>
      </w:r>
    </w:p>
    <w:p>
      <w:pPr>
        <w:tabs>
          <w:tab w:val="left" w:pos="724"/>
          <w:tab w:val="left" w:pos="5992"/>
        </w:tabs>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 xml:space="preserve">  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—监测水温条件下饱和溶解氧浓度；</w:t>
      </w:r>
    </w:p>
    <w:p>
      <w:pPr>
        <w:adjustRightInd w:val="0"/>
        <w:snapToGrid w:val="0"/>
        <w:spacing w:line="360" w:lineRule="auto"/>
        <w:ind w:firstLine="980" w:firstLineChars="35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 xml:space="preserve">  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s</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—地表水溶解氧浓度质量标准。</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其它因子：S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ni</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—污染因子i在监测断面j的标准指数；</w:t>
      </w:r>
    </w:p>
    <w:p>
      <w:pPr>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—污染因子i在监测点j的平均浓度；</w:t>
      </w:r>
    </w:p>
    <w:p>
      <w:pPr>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ni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—污染因子i在水质标准中的限值。</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当某污染因子的标准指数大于1时，表明水体中该污染因子浓度已超过标准限值。标准指数越大，超过标准的程度越高，污染越严重。</w:t>
      </w:r>
    </w:p>
    <w:p>
      <w:pPr>
        <w:widowControl/>
        <w:adjustRightInd w:val="0"/>
        <w:snapToGrid w:val="0"/>
        <w:spacing w:line="360" w:lineRule="auto"/>
        <w:ind w:firstLine="42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营养状态评价</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本区划通过总氮（TN）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TP</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透明度</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（SD）</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叶绿素a（Chla）、</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酸盐指数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5项指标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综合营养状态指数，对水源地水库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富营养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状态进行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评价。</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1）综合营养状态指数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综合营养状态指数采用卡尔森指数方法，计算公式如下：</w:t>
      </w:r>
    </w:p>
    <w:p>
      <w:pPr>
        <w:adjustRightInd w:val="0"/>
        <w:snapToGrid w:val="0"/>
        <w:spacing w:line="360" w:lineRule="auto"/>
        <w:ind w:firstLine="560" w:firstLineChars="200"/>
        <w:jc w:val="cente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object>
          <v:shape id="_x0000_i1025" o:spt="75" type="#_x0000_t75" style="height:35.25pt;width:96pt;" o:ole="t" fillcolor="#FFFFFF" filled="f" o:preferrelative="t" stroked="f" coordsize="21600,21600">
            <v:path/>
            <v:fill on="f" focussize="0,0"/>
            <v:stroke on="f" joinstyle="miter"/>
            <v:imagedata r:id="rId14" o:title=""/>
            <o:lock v:ext="edit" aspectratio="t"/>
            <w10:wrap type="none"/>
            <w10:anchorlock/>
          </v:shape>
          <o:OLEObject Type="Embed" ProgID="Equation.3" ShapeID="_x0000_i1025" DrawAspect="Content" ObjectID="_1468075725" r:id="rId13">
            <o:LockedField>false</o:LockedField>
          </o:OLEObject>
        </w:objec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式中：TLI（∑）—综合营养状态指数；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Wj—第j种参数的营养状态指数的相关权重；</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TLI（j）—代表第j种参数的营养状态指数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，包括总氮（TN）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TP</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透明度</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（SD）</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叶绿素a（Chla）、</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酸盐指数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参数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以</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hla作为基准参数，则第j种参数的归一化的相关权重计算公式为：</w:t>
      </w:r>
    </w:p>
    <w:p>
      <w:pPr>
        <w:adjustRightInd w:val="0"/>
        <w:snapToGrid w:val="0"/>
        <w:spacing w:line="360" w:lineRule="auto"/>
        <w:ind w:firstLine="560" w:firstLineChars="200"/>
        <w:jc w:val="cente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object>
          <v:shape id="_x0000_i1026" o:spt="75" type="#_x0000_t75" style="height:51pt;width:58.5pt;" o:ole="t" fillcolor="#FFFFFF" filled="f" o:preferrelative="t" stroked="f" coordsize="21600,21600">
            <v:path/>
            <v:fill on="f" focussize="0,0"/>
            <v:stroke on="f" joinstyle="miter"/>
            <v:imagedata r:id="rId16" o:title=""/>
            <o:lock v:ext="edit" aspectratio="t"/>
            <w10:wrap type="none"/>
            <w10:anchorlock/>
          </v:shape>
          <o:OLEObject Type="Embed" ProgID="Equation.3" ShapeID="_x0000_i1026" DrawAspect="Content" ObjectID="_1468075726" r:id="rId15">
            <o:LockedField>false</o:LockedField>
          </o:OLEObject>
        </w:objec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式中：r</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—第j种参数与基准参数Chla的相关系数；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m—评价参数的个数。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中国湖泊（水库）Chla与其它参数之间的相关关系r</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及r</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见</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下</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表2.6-2  中国湖泊（水库）部分参数与Chla的相关关系r</w:t>
      </w:r>
      <w:r>
        <w:rPr>
          <w:rFonts w:ascii="Times New Roman" w:hAnsi="Times New Roman" w:eastAsia="仿宋" w:cs="Times New Roman"/>
          <w:b/>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及r</w:t>
      </w:r>
      <w:r>
        <w:rPr>
          <w:rFonts w:ascii="Times New Roman" w:hAnsi="Times New Roman" w:eastAsia="仿宋" w:cs="Times New Roman"/>
          <w:b/>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s="Times New Roman"/>
          <w:b/>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值</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9"/>
        <w:gridCol w:w="1609"/>
        <w:gridCol w:w="1608"/>
        <w:gridCol w:w="1608"/>
        <w:gridCol w:w="1608"/>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09"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参数</w:t>
            </w:r>
          </w:p>
        </w:tc>
        <w:tc>
          <w:tcPr>
            <w:tcW w:w="1609"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Chla</w:t>
            </w:r>
          </w:p>
        </w:tc>
        <w:tc>
          <w:tcPr>
            <w:tcW w:w="1608"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TP</w:t>
            </w:r>
          </w:p>
        </w:tc>
        <w:tc>
          <w:tcPr>
            <w:tcW w:w="1608"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TN</w:t>
            </w:r>
          </w:p>
        </w:tc>
        <w:tc>
          <w:tcPr>
            <w:tcW w:w="1608"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SD</w:t>
            </w:r>
          </w:p>
        </w:tc>
        <w:tc>
          <w:tcPr>
            <w:tcW w:w="1608"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COD</w:t>
            </w:r>
            <w:r>
              <w:rPr>
                <w:rFonts w:ascii="Times New Roman" w:hAnsi="Times New Roman" w:eastAsia="仿宋"/>
                <w:b/>
                <w:color w:val="0D0D0D" w:themeColor="text1" w:themeTint="F2"/>
                <w:sz w:val="24"/>
                <w:szCs w:val="24"/>
                <w:vertAlign w:val="subscript"/>
                <w14:textFill>
                  <w14:solidFill>
                    <w14:schemeClr w14:val="tx1">
                      <w14:lumMod w14:val="95000"/>
                      <w14:lumOff w14:val="5000"/>
                    </w14:schemeClr>
                  </w14:solidFill>
                </w14:textFill>
              </w:rPr>
              <w:t>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09"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ij</w:t>
            </w:r>
          </w:p>
        </w:tc>
        <w:tc>
          <w:tcPr>
            <w:tcW w:w="1609"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0.84</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0.82</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-0.83</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09"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4"/>
                <w:szCs w:val="24"/>
                <w:vertAlign w:val="superscript"/>
                <w14:textFill>
                  <w14:solidFill>
                    <w14:schemeClr w14:val="tx1">
                      <w14:lumMod w14:val="95000"/>
                      <w14:lumOff w14:val="5000"/>
                    </w14:schemeClr>
                  </w14:solidFill>
                </w14:textFill>
              </w:rPr>
              <w:t>2</w:t>
            </w:r>
          </w:p>
        </w:tc>
        <w:tc>
          <w:tcPr>
            <w:tcW w:w="1609"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0.7056</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0.6724</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0.6889</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0.6889</w:t>
            </w:r>
          </w:p>
        </w:tc>
      </w:tr>
    </w:tbl>
    <w:p>
      <w:pPr>
        <w:widowControl/>
        <w:adjustRightInd w:val="0"/>
        <w:snapToGrid w:val="0"/>
        <w:spacing w:before="156" w:beforeLines="50"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2）单个项目营养状态指数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总氮（TN）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TP</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透明度</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（SD）</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叶绿素a（Chla）、</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酸盐指数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参数单项营养状态指数计算公式如下：</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hla）=10（2.5+1.086lnChla）</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TLI（TP）=10（9.436+1.624lnTP）</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TLI（TN）=10（5.453+1.694lnTN）</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TLI（SD）=10（5.118-1.94lnSD）</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）=10（0.109+2.661lnCOD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式中：Chla单位为mg/m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，SD单位为m；其它项目单位均为mg/L。</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3）湖泊水库营养状态分级</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采用0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100的一系列连续数字对湖泊营养状态进行分级，包括：贫营养、中营养、富营养、轻度富营养、中度富营养和重度富营养，与污染程度关系如表2.6-3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表2.6-3  水质类别与评分值对应表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0"/>
        <w:gridCol w:w="3289"/>
        <w:gridCol w:w="3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3290" w:type="dxa"/>
            <w:shd w:val="clear" w:color="auto" w:fill="D8D8D8" w:themeFill="background1" w:themeFillShade="D9"/>
            <w:vAlign w:val="center"/>
          </w:tcPr>
          <w:p>
            <w:pPr>
              <w:spacing w:line="380" w:lineRule="exact"/>
              <w:ind w:firstLine="482"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营养状态分级</w:t>
            </w:r>
          </w:p>
        </w:tc>
        <w:tc>
          <w:tcPr>
            <w:tcW w:w="3289" w:type="dxa"/>
            <w:shd w:val="clear" w:color="auto" w:fill="D8D8D8" w:themeFill="background1" w:themeFillShade="D9"/>
            <w:vAlign w:val="center"/>
          </w:tcPr>
          <w:p>
            <w:pPr>
              <w:spacing w:line="380" w:lineRule="exact"/>
              <w:ind w:firstLine="482"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评分值TLI（∑）</w:t>
            </w:r>
          </w:p>
        </w:tc>
        <w:tc>
          <w:tcPr>
            <w:tcW w:w="3071" w:type="dxa"/>
            <w:shd w:val="clear" w:color="auto" w:fill="D8D8D8" w:themeFill="background1" w:themeFillShade="D9"/>
            <w:vAlign w:val="center"/>
          </w:tcPr>
          <w:p>
            <w:pPr>
              <w:spacing w:line="380" w:lineRule="exact"/>
              <w:ind w:firstLine="482"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定性评价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3290"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贫营养</w:t>
            </w:r>
          </w:p>
        </w:tc>
        <w:tc>
          <w:tcPr>
            <w:tcW w:w="3289"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0＜TLI（∑）≤30</w:t>
            </w:r>
          </w:p>
        </w:tc>
        <w:tc>
          <w:tcPr>
            <w:tcW w:w="3071"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3290" w:type="dxa"/>
            <w:vAlign w:val="center"/>
          </w:tcPr>
          <w:p>
            <w:pPr>
              <w:spacing w:line="380" w:lineRule="exact"/>
              <w:ind w:firstLine="480" w:firstLineChars="20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中营养</w:t>
            </w:r>
          </w:p>
        </w:tc>
        <w:tc>
          <w:tcPr>
            <w:tcW w:w="3289"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30＜TLI（∑）≤50</w:t>
            </w:r>
          </w:p>
        </w:tc>
        <w:tc>
          <w:tcPr>
            <w:tcW w:w="3071"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3290" w:type="dxa"/>
            <w:vAlign w:val="center"/>
          </w:tcPr>
          <w:p>
            <w:pPr>
              <w:spacing w:line="380" w:lineRule="exact"/>
              <w:ind w:firstLine="480" w:firstLineChars="20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轻度富营养</w:t>
            </w:r>
          </w:p>
        </w:tc>
        <w:tc>
          <w:tcPr>
            <w:tcW w:w="3289"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50＜TLI（∑）≤60</w:t>
            </w:r>
          </w:p>
        </w:tc>
        <w:tc>
          <w:tcPr>
            <w:tcW w:w="3071"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轻度污染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3290" w:type="dxa"/>
            <w:vAlign w:val="center"/>
          </w:tcPr>
          <w:p>
            <w:pPr>
              <w:widowControl/>
              <w:spacing w:line="36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中度富营养</w:t>
            </w:r>
          </w:p>
        </w:tc>
        <w:tc>
          <w:tcPr>
            <w:tcW w:w="3289"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60＜TLI（∑）≤70</w:t>
            </w:r>
          </w:p>
        </w:tc>
        <w:tc>
          <w:tcPr>
            <w:tcW w:w="3071"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中度污染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3290" w:type="dxa"/>
            <w:vAlign w:val="center"/>
          </w:tcPr>
          <w:p>
            <w:pPr>
              <w:spacing w:line="380" w:lineRule="exact"/>
              <w:ind w:firstLine="480" w:firstLineChars="20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重度富营养</w:t>
            </w:r>
          </w:p>
        </w:tc>
        <w:tc>
          <w:tcPr>
            <w:tcW w:w="3289"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70＜TLI（∑）≤100</w:t>
            </w:r>
          </w:p>
        </w:tc>
        <w:tc>
          <w:tcPr>
            <w:tcW w:w="3071"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重度污染</w:t>
            </w:r>
          </w:p>
        </w:tc>
      </w:tr>
    </w:tbl>
    <w:p>
      <w:pPr>
        <w:widowControl/>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4</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主要污染</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因子筛选</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点水质超过</w:t>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instrText xml:space="preserve"> = 3 \* ROMAN </w:instrText>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类标准的项目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全部作为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主要污染项目（pH、溶解氧不参与计算）。</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对单因子评价结果进行排序，对于</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标准指数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位于前3位的污染因子，或标准指数大于0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的污染因子，均列为主要污染项目；对标准指数大于0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，小于0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的污染因子列为潜在污染项目。</w:t>
      </w:r>
    </w:p>
    <w:p>
      <w:pPr>
        <w:pStyle w:val="4"/>
        <w:spacing w:before="0" w:after="0" w:line="415" w:lineRule="auto"/>
        <w:rPr>
          <w:color w:val="0D0D0D" w:themeColor="text1" w:themeTint="F2"/>
          <w:sz w:val="28"/>
          <w:szCs w:val="28"/>
          <w14:textFill>
            <w14:solidFill>
              <w14:schemeClr w14:val="tx1">
                <w14:lumMod w14:val="95000"/>
                <w14:lumOff w14:val="5000"/>
              </w14:schemeClr>
            </w14:solidFill>
          </w14:textFill>
        </w:rPr>
      </w:pPr>
      <w:bookmarkStart w:id="68" w:name="_Toc27063961"/>
      <w:bookmarkStart w:id="69" w:name="_Toc27520667"/>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6</w:t>
      </w:r>
      <w:r>
        <w:rPr>
          <w:color w:val="0D0D0D" w:themeColor="text1" w:themeTint="F2"/>
          <w:sz w:val="28"/>
          <w:szCs w:val="28"/>
          <w14:textFill>
            <w14:solidFill>
              <w14:schemeClr w14:val="tx1">
                <w14:lumMod w14:val="95000"/>
                <w14:lumOff w14:val="5000"/>
              </w14:schemeClr>
            </w14:solidFill>
          </w14:textFill>
        </w:rPr>
        <w:t>.</w:t>
      </w:r>
      <w:r>
        <w:rPr>
          <w:rFonts w:hint="eastAsia"/>
          <w:color w:val="0D0D0D" w:themeColor="text1" w:themeTint="F2"/>
          <w:sz w:val="28"/>
          <w:szCs w:val="28"/>
          <w14:textFill>
            <w14:solidFill>
              <w14:schemeClr w14:val="tx1">
                <w14:lumMod w14:val="95000"/>
                <w14:lumOff w14:val="5000"/>
              </w14:schemeClr>
            </w14:solidFill>
          </w14:textFill>
        </w:rPr>
        <w:t>3</w:t>
      </w:r>
      <w:r>
        <w:rPr>
          <w:color w:val="0D0D0D" w:themeColor="text1" w:themeTint="F2"/>
          <w:sz w:val="28"/>
          <w:szCs w:val="28"/>
          <w14:textFill>
            <w14:solidFill>
              <w14:schemeClr w14:val="tx1">
                <w14:lumMod w14:val="95000"/>
                <w14:lumOff w14:val="5000"/>
              </w14:schemeClr>
            </w14:solidFill>
          </w14:textFill>
        </w:rPr>
        <w:t xml:space="preserve"> </w:t>
      </w:r>
      <w:r>
        <w:rPr>
          <w:rFonts w:hint="eastAsia"/>
          <w:color w:val="0D0D0D" w:themeColor="text1" w:themeTint="F2"/>
          <w:sz w:val="28"/>
          <w:szCs w:val="28"/>
          <w14:textFill>
            <w14:solidFill>
              <w14:schemeClr w14:val="tx1">
                <w14:lumMod w14:val="95000"/>
                <w14:lumOff w14:val="5000"/>
              </w14:schemeClr>
            </w14:solidFill>
          </w14:textFill>
        </w:rPr>
        <w:t>水质</w:t>
      </w:r>
      <w:r>
        <w:rPr>
          <w:color w:val="0D0D0D" w:themeColor="text1" w:themeTint="F2"/>
          <w:sz w:val="28"/>
          <w:szCs w:val="28"/>
          <w14:textFill>
            <w14:solidFill>
              <w14:schemeClr w14:val="tx1">
                <w14:lumMod w14:val="95000"/>
                <w14:lumOff w14:val="5000"/>
              </w14:schemeClr>
            </w14:solidFill>
          </w14:textFill>
        </w:rPr>
        <w:t>评价结果</w:t>
      </w:r>
      <w:bookmarkEnd w:id="68"/>
      <w:bookmarkEnd w:id="69"/>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w:t>
      </w:r>
      <w:r>
        <w:rPr>
          <w:rFonts w:hint="eastAsia"/>
          <w:color w:val="0D0D0D" w:themeColor="text1" w:themeTint="F2"/>
          <w:sz w:val="28"/>
          <w14:textFill>
            <w14:solidFill>
              <w14:schemeClr w14:val="tx1">
                <w14:lumMod w14:val="95000"/>
                <w14:lumOff w14:val="5000"/>
              </w14:schemeClr>
            </w14:solidFill>
          </w14:textFill>
        </w:rPr>
        <w:t>3</w:t>
      </w:r>
      <w:r>
        <w:rPr>
          <w:color w:val="0D0D0D" w:themeColor="text1" w:themeTint="F2"/>
          <w:sz w:val="28"/>
          <w14:textFill>
            <w14:solidFill>
              <w14:schemeClr w14:val="tx1">
                <w14:lumMod w14:val="95000"/>
                <w14:lumOff w14:val="5000"/>
              </w14:schemeClr>
            </w14:solidFill>
          </w14:textFill>
        </w:rPr>
        <w:t>.1 水质</w:t>
      </w:r>
      <w:r>
        <w:rPr>
          <w:rFonts w:hint="eastAsia"/>
          <w:color w:val="0D0D0D" w:themeColor="text1" w:themeTint="F2"/>
          <w:sz w:val="28"/>
          <w14:textFill>
            <w14:solidFill>
              <w14:schemeClr w14:val="tx1">
                <w14:lumMod w14:val="95000"/>
                <w14:lumOff w14:val="5000"/>
              </w14:schemeClr>
            </w14:solidFill>
          </w14:textFill>
        </w:rPr>
        <w:t>功能类别</w:t>
      </w:r>
      <w:r>
        <w:rPr>
          <w:color w:val="0D0D0D" w:themeColor="text1" w:themeTint="F2"/>
          <w:sz w:val="28"/>
          <w14:textFill>
            <w14:solidFill>
              <w14:schemeClr w14:val="tx1">
                <w14:lumMod w14:val="95000"/>
                <w14:lumOff w14:val="5000"/>
              </w14:schemeClr>
            </w14:solidFill>
          </w14:textFill>
        </w:rPr>
        <w:t>现状</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基本项目评价</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结果</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富村镇迤佐河水库2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次监测结果统计如下。对照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）表1中的标准限值，富村镇迤佐河水库所有监测项目均能满足</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水质标准限值</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要求</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（水温和pH值不参与水质功能类别评价）。</w:t>
      </w: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-4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迤</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佐</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河</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水库</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2019年常规监测基本项目</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水质所达功能评价表</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4597"/>
        <w:gridCol w:w="1968"/>
        <w:gridCol w:w="1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136" w:type="dxa"/>
            <w:vMerge w:val="restart"/>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序号</w:t>
            </w:r>
          </w:p>
        </w:tc>
        <w:tc>
          <w:tcPr>
            <w:tcW w:w="4597" w:type="dxa"/>
            <w:vMerge w:val="restart"/>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监测因子</w:t>
            </w:r>
          </w:p>
        </w:tc>
        <w:tc>
          <w:tcPr>
            <w:tcW w:w="3917" w:type="dxa"/>
            <w:gridSpan w:val="2"/>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019</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136" w:type="dxa"/>
            <w:vMerge w:val="continue"/>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4597" w:type="dxa"/>
            <w:vMerge w:val="continue"/>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1968"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监测值（mg/L）</w:t>
            </w:r>
          </w:p>
        </w:tc>
        <w:tc>
          <w:tcPr>
            <w:tcW w:w="1949"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水温（</w:t>
            </w:r>
            <w:r>
              <w:rPr>
                <w:rFonts w:hint="eastAsia" w:ascii="宋体" w:hAnsi="宋体" w:eastAsia="宋体" w:cs="宋体"/>
                <w:color w:val="0D0D0D" w:themeColor="text1" w:themeTint="F2"/>
                <w:kern w:val="0"/>
                <w:sz w:val="24"/>
                <w:szCs w:val="24"/>
                <w:lang w:bidi="ar"/>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w:t>
            </w:r>
          </w:p>
        </w:tc>
        <w:tc>
          <w:tcPr>
            <w:tcW w:w="1968"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16.4</w:t>
            </w:r>
          </w:p>
        </w:tc>
        <w:tc>
          <w:tcPr>
            <w:tcW w:w="1949" w:type="dxa"/>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Times New Roman"/>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pH</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值（无量纲）</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8.35</w:t>
            </w:r>
          </w:p>
        </w:tc>
        <w:tc>
          <w:tcPr>
            <w:tcW w:w="1949" w:type="dxa"/>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Times New Roman"/>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溶解氧</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7.4</w:t>
            </w:r>
          </w:p>
        </w:tc>
        <w:tc>
          <w:tcPr>
            <w:tcW w:w="19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高锰酸盐指数</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1.4</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COD</w:t>
            </w:r>
            <w:r>
              <w:rPr>
                <w:rFonts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cr</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6</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BOD</w:t>
            </w:r>
            <w:r>
              <w:rPr>
                <w:rFonts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5</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氨氮</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0.062</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总磷</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0.017</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总氮</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0.786</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铜</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0.001L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锌</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0.05L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氟化物</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0.18</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硒</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0.0004L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砷</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0.0003L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汞</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0.00004L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镉</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0.001L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六价铬</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0.004L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铅</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氰化物</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0.004L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挥发酚</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0.0005</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石油类</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阴离子表面活性剂</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0.05</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23</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硫化物</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0.005L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粪大肠菌群（个</w:t>
            </w: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/L</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620</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Ⅱ类</w:t>
            </w:r>
          </w:p>
        </w:tc>
      </w:tr>
    </w:tbl>
    <w:p>
      <w:pPr>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补充项目评价</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结果</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根据富村镇迤佐河水库2019年1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监测结果，所有集中式饮用水地表水源地补充项目均满足</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）表2集中式生活饮用水地表水源地标准限值要求。</w:t>
      </w: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-5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迤佐河水库2019年常规监测补充项目达标</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评价表</w:t>
      </w:r>
    </w:p>
    <w:tbl>
      <w:tblPr>
        <w:tblStyle w:val="4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00"/>
        <w:gridCol w:w="2447"/>
        <w:gridCol w:w="1352"/>
        <w:gridCol w:w="2571"/>
        <w:gridCol w:w="135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blHeader/>
        </w:trPr>
        <w:tc>
          <w:tcPr>
            <w:tcW w:w="800" w:type="dxa"/>
            <w:vMerge w:val="restart"/>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序号</w:t>
            </w:r>
          </w:p>
        </w:tc>
        <w:tc>
          <w:tcPr>
            <w:tcW w:w="2447" w:type="dxa"/>
            <w:vMerge w:val="restart"/>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监测因子*</w:t>
            </w:r>
          </w:p>
        </w:tc>
        <w:tc>
          <w:tcPr>
            <w:tcW w:w="1352" w:type="dxa"/>
            <w:vMerge w:val="restart"/>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标准限值</w:t>
            </w:r>
          </w:p>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（mg/L）</w:t>
            </w:r>
          </w:p>
        </w:tc>
        <w:tc>
          <w:tcPr>
            <w:tcW w:w="3923" w:type="dxa"/>
            <w:gridSpan w:val="2"/>
            <w:tcBorders>
              <w:bottom w:val="single" w:color="auto" w:sz="4" w:space="0"/>
            </w:tcBorders>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2019年11月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blHeader/>
        </w:trPr>
        <w:tc>
          <w:tcPr>
            <w:tcW w:w="800" w:type="dxa"/>
            <w:vMerge w:val="continue"/>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2447" w:type="dxa"/>
            <w:vMerge w:val="continue"/>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1352" w:type="dxa"/>
            <w:vMerge w:val="continue"/>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2571" w:type="dxa"/>
            <w:tcBorders>
              <w:top w:val="single" w:color="auto" w:sz="4" w:space="0"/>
            </w:tcBorders>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值（mg/L）</w:t>
            </w:r>
          </w:p>
        </w:tc>
        <w:tc>
          <w:tcPr>
            <w:tcW w:w="1352" w:type="dxa"/>
            <w:tcBorders>
              <w:top w:val="single" w:color="auto" w:sz="4" w:space="0"/>
            </w:tcBorders>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达标评价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80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244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硫酸盐</w:t>
            </w:r>
          </w:p>
        </w:tc>
        <w:tc>
          <w:tcPr>
            <w:tcW w:w="135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250</w:t>
            </w:r>
          </w:p>
        </w:tc>
        <w:tc>
          <w:tcPr>
            <w:tcW w:w="2571"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8L</w:t>
            </w:r>
          </w:p>
        </w:tc>
        <w:tc>
          <w:tcPr>
            <w:tcW w:w="135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80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w:t>
            </w:r>
          </w:p>
        </w:tc>
        <w:tc>
          <w:tcPr>
            <w:tcW w:w="2447"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氯化物</w:t>
            </w:r>
          </w:p>
        </w:tc>
        <w:tc>
          <w:tcPr>
            <w:tcW w:w="135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250</w:t>
            </w:r>
          </w:p>
        </w:tc>
        <w:tc>
          <w:tcPr>
            <w:tcW w:w="257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10L</w:t>
            </w:r>
          </w:p>
        </w:tc>
        <w:tc>
          <w:tcPr>
            <w:tcW w:w="135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80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2447"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硝酸盐氮</w:t>
            </w:r>
          </w:p>
        </w:tc>
        <w:tc>
          <w:tcPr>
            <w:tcW w:w="135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10</w:t>
            </w:r>
          </w:p>
        </w:tc>
        <w:tc>
          <w:tcPr>
            <w:tcW w:w="257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0.02L</w:t>
            </w:r>
          </w:p>
        </w:tc>
        <w:tc>
          <w:tcPr>
            <w:tcW w:w="135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80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2447"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铁</w:t>
            </w:r>
          </w:p>
        </w:tc>
        <w:tc>
          <w:tcPr>
            <w:tcW w:w="135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0.3</w:t>
            </w:r>
          </w:p>
        </w:tc>
        <w:tc>
          <w:tcPr>
            <w:tcW w:w="257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0.03L</w:t>
            </w:r>
          </w:p>
        </w:tc>
        <w:tc>
          <w:tcPr>
            <w:tcW w:w="135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80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2447"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锰</w:t>
            </w:r>
          </w:p>
        </w:tc>
        <w:tc>
          <w:tcPr>
            <w:tcW w:w="135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0.1</w:t>
            </w:r>
          </w:p>
        </w:tc>
        <w:tc>
          <w:tcPr>
            <w:tcW w:w="257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w:t>
            </w:r>
          </w:p>
        </w:tc>
        <w:tc>
          <w:tcPr>
            <w:tcW w:w="135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bl>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w:t>
      </w:r>
      <w:r>
        <w:rPr>
          <w:rFonts w:hint="eastAsia"/>
          <w:color w:val="0D0D0D" w:themeColor="text1" w:themeTint="F2"/>
          <w:sz w:val="28"/>
          <w14:textFill>
            <w14:solidFill>
              <w14:schemeClr w14:val="tx1">
                <w14:lumMod w14:val="95000"/>
                <w14:lumOff w14:val="5000"/>
              </w14:schemeClr>
            </w14:solidFill>
          </w14:textFill>
        </w:rPr>
        <w:t>3</w:t>
      </w:r>
      <w:r>
        <w:rPr>
          <w:color w:val="0D0D0D" w:themeColor="text1" w:themeTint="F2"/>
          <w:sz w:val="28"/>
          <w14:textFill>
            <w14:solidFill>
              <w14:schemeClr w14:val="tx1">
                <w14:lumMod w14:val="95000"/>
                <w14:lumOff w14:val="5000"/>
              </w14:schemeClr>
            </w14:solidFill>
          </w14:textFill>
        </w:rPr>
        <w:t>.2 单因子指数评价</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根据富村镇迤佐河水库常规监测水质功能类别评价结果，结合富村镇迤佐河水库流域现状主要污染源，选取选取pH、溶解氧、高锰酸盐指数、化学需氧量（COD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r</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）、五日生化需氧量（BOD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）、氨氮、总磷、总氮、铜、锌、氟化物、硒、砷、汞、镉、六价铬、铅、氰化物、挥发酚、石油类、阴离子表面活性剂（LAS）、硫化物等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项指标进行单因子指数法水质评价。富村镇迤佐河水库水质按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标准和集中式饮用水地表水源地补充项目标准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结果详见表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-6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迤佐河水库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单因子指数法评价结果表</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4194"/>
        <w:gridCol w:w="3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644" w:type="dxa"/>
            <w:shd w:val="clear" w:color="auto" w:fill="BEBEBE" w:themeFill="background1" w:themeFillShade="BF"/>
            <w:noWrap/>
            <w:vAlign w:val="center"/>
          </w:tcPr>
          <w:p>
            <w:pPr>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序号</w:t>
            </w:r>
          </w:p>
        </w:tc>
        <w:tc>
          <w:tcPr>
            <w:tcW w:w="4194" w:type="dxa"/>
            <w:shd w:val="clear" w:color="auto" w:fill="BEBEBE" w:themeFill="background1" w:themeFillShade="BF"/>
            <w:noWrap/>
            <w:vAlign w:val="center"/>
          </w:tcPr>
          <w:p>
            <w:pPr>
              <w:jc w:val="center"/>
              <w:textAlignment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监测因子</w:t>
            </w:r>
          </w:p>
        </w:tc>
        <w:tc>
          <w:tcPr>
            <w:tcW w:w="3812" w:type="dxa"/>
            <w:shd w:val="clear" w:color="auto" w:fill="BEBEBE" w:themeFill="background1" w:themeFillShade="BF"/>
            <w:vAlign w:val="center"/>
          </w:tcPr>
          <w:p>
            <w:pPr>
              <w:widowControl/>
              <w:jc w:val="center"/>
              <w:textAlignment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019</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年11月</w:t>
            </w:r>
          </w:p>
          <w:p>
            <w:pPr>
              <w:jc w:val="center"/>
              <w:textAlignment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单因子评价指数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pH</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值（无量纲）</w:t>
            </w:r>
          </w:p>
        </w:tc>
        <w:tc>
          <w:tcPr>
            <w:tcW w:w="381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溶解氧</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高锰酸盐指数</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COD</w:t>
            </w:r>
            <w:r>
              <w:rPr>
                <w:rFonts w:hint="eastAsia"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C</w:t>
            </w:r>
            <w:r>
              <w:rPr>
                <w:rFonts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r</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BOD</w:t>
            </w:r>
            <w:r>
              <w:rPr>
                <w:rFonts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5</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氨氮</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总磷</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总氮</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铜</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锌</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氟化物</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硒</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砷</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汞</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镉</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六价铬</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铅</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氰化物</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挥发酚</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石油类</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阴离子表面活性剂</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硫化物</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w:t>
            </w:r>
          </w:p>
        </w:tc>
      </w:tr>
    </w:tbl>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对照《地表水环境质量标准》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标准限值</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要求，</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所有的指标单因子评价指数均小于1，即达到</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水质标准。总氮的监测值为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0.79mg/L</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其</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单因子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评价指数为0.79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大于</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潜在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因子。</w:t>
      </w:r>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rFonts w:hint="eastAsia"/>
          <w:color w:val="0D0D0D" w:themeColor="text1" w:themeTint="F2"/>
          <w:sz w:val="28"/>
          <w14:textFill>
            <w14:solidFill>
              <w14:schemeClr w14:val="tx1">
                <w14:lumMod w14:val="95000"/>
                <w14:lumOff w14:val="5000"/>
              </w14:schemeClr>
            </w14:solidFill>
          </w14:textFill>
        </w:rPr>
        <w:t>2.6.3.3</w:t>
      </w:r>
      <w:r>
        <w:rPr>
          <w:color w:val="0D0D0D" w:themeColor="text1" w:themeTint="F2"/>
          <w:sz w:val="28"/>
          <w14:textFill>
            <w14:solidFill>
              <w14:schemeClr w14:val="tx1">
                <w14:lumMod w14:val="95000"/>
                <w14:lumOff w14:val="5000"/>
              </w14:schemeClr>
            </w14:solidFill>
          </w14:textFill>
        </w:rPr>
        <w:t>水库营养状态评价</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按照水库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营养状态评价模式，</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富村镇迤佐河水库2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019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年11月的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营养状态</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评价分数均低于50，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32.59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，处于中营养状态，从营养状态评价水库水质良好。富村镇迤佐河水库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营养状态评价情况见表2.6-7。</w:t>
      </w:r>
    </w:p>
    <w:p>
      <w:pPr>
        <w:spacing w:line="360" w:lineRule="auto"/>
        <w:jc w:val="center"/>
        <w:outlineLvl w:val="5"/>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表2.6-7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富村镇迤佐河水库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营养状态评价汇总表</w:t>
      </w:r>
    </w:p>
    <w:tbl>
      <w:tblPr>
        <w:tblStyle w:val="45"/>
        <w:tblW w:w="9107"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336"/>
        <w:gridCol w:w="3385"/>
        <w:gridCol w:w="33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2336" w:type="dxa"/>
            <w:vMerge w:val="restart"/>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评价参数</w:t>
            </w:r>
          </w:p>
        </w:tc>
        <w:tc>
          <w:tcPr>
            <w:tcW w:w="3385"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监测结果</w:t>
            </w:r>
          </w:p>
        </w:tc>
        <w:tc>
          <w:tcPr>
            <w:tcW w:w="3386"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营养状态指数（TLI</w:t>
            </w:r>
            <w:r>
              <w:rPr>
                <w:rFonts w:ascii="Times New Roman" w:hAnsi="Times New Roman" w:eastAsia="仿宋" w:cs="Times New Roman"/>
                <w:b/>
                <w:color w:val="0D0D0D" w:themeColor="text1" w:themeTint="F2"/>
                <w:sz w:val="24"/>
                <w:szCs w:val="24"/>
                <w:vertAlign w:val="subscript"/>
                <w14:textFill>
                  <w14:solidFill>
                    <w14:schemeClr w14:val="tx1">
                      <w14:lumMod w14:val="95000"/>
                      <w14:lumOff w14:val="5000"/>
                    </w14:schemeClr>
                  </w14:solidFill>
                </w14:textFill>
              </w:rPr>
              <w:t>j</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2336" w:type="dxa"/>
            <w:vMerge w:val="continue"/>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3385"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2019年11月</w:t>
            </w:r>
          </w:p>
        </w:tc>
        <w:tc>
          <w:tcPr>
            <w:tcW w:w="3386"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2019年11月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2336"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透明度(cm)</w:t>
            </w:r>
          </w:p>
        </w:tc>
        <w:tc>
          <w:tcPr>
            <w:tcW w:w="3385"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200</w:t>
            </w:r>
          </w:p>
        </w:tc>
        <w:tc>
          <w:tcPr>
            <w:tcW w:w="3386"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6.92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233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叶绿素a (mg/m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3385"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0.002L</w:t>
            </w:r>
          </w:p>
        </w:tc>
        <w:tc>
          <w:tcPr>
            <w:tcW w:w="33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233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总氮(mg/L)</w:t>
            </w:r>
          </w:p>
        </w:tc>
        <w:tc>
          <w:tcPr>
            <w:tcW w:w="3385"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0.79</w:t>
            </w:r>
          </w:p>
        </w:tc>
        <w:tc>
          <w:tcPr>
            <w:tcW w:w="33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9.03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233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总磷(mg/L)</w:t>
            </w:r>
          </w:p>
        </w:tc>
        <w:tc>
          <w:tcPr>
            <w:tcW w:w="3385"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0.017</w:t>
            </w:r>
          </w:p>
        </w:tc>
        <w:tc>
          <w:tcPr>
            <w:tcW w:w="33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5.30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233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高锰酸盐指数(mg/L)</w:t>
            </w:r>
          </w:p>
        </w:tc>
        <w:tc>
          <w:tcPr>
            <w:tcW w:w="3385"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w:t>
            </w:r>
          </w:p>
        </w:tc>
        <w:tc>
          <w:tcPr>
            <w:tcW w:w="33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5721" w:type="dxa"/>
            <w:gridSpan w:val="2"/>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综合指数</w:t>
            </w:r>
          </w:p>
        </w:tc>
        <w:tc>
          <w:tcPr>
            <w:tcW w:w="33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32.59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5721" w:type="dxa"/>
            <w:gridSpan w:val="2"/>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营养状态分级</w:t>
            </w:r>
          </w:p>
        </w:tc>
        <w:tc>
          <w:tcPr>
            <w:tcW w:w="33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中营养化</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5721" w:type="dxa"/>
            <w:gridSpan w:val="2"/>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定性评价</w:t>
            </w:r>
          </w:p>
        </w:tc>
        <w:tc>
          <w:tcPr>
            <w:tcW w:w="33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良好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9107" w:type="dxa"/>
            <w:gridSpan w:val="3"/>
            <w:vAlign w:val="center"/>
          </w:tcPr>
          <w:p>
            <w:pPr>
              <w:snapToGrid w:val="0"/>
              <w:jc w:val="left"/>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*根据《水环境监测规范》（SL219-98），当测定结果低于分析方法的最低检出浓度时，按1/2最低检出浓度值参与统计处理。</w:t>
            </w:r>
          </w:p>
        </w:tc>
      </w:tr>
    </w:tbl>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w:t>
      </w:r>
      <w:r>
        <w:rPr>
          <w:rFonts w:hint="eastAsia"/>
          <w:color w:val="0D0D0D" w:themeColor="text1" w:themeTint="F2"/>
          <w:sz w:val="28"/>
          <w14:textFill>
            <w14:solidFill>
              <w14:schemeClr w14:val="tx1">
                <w14:lumMod w14:val="95000"/>
                <w14:lumOff w14:val="5000"/>
              </w14:schemeClr>
            </w14:solidFill>
          </w14:textFill>
        </w:rPr>
        <w:t>3</w:t>
      </w:r>
      <w:r>
        <w:rPr>
          <w:color w:val="0D0D0D" w:themeColor="text1" w:themeTint="F2"/>
          <w:sz w:val="28"/>
          <w14:textFill>
            <w14:solidFill>
              <w14:schemeClr w14:val="tx1">
                <w14:lumMod w14:val="95000"/>
                <w14:lumOff w14:val="5000"/>
              </w14:schemeClr>
            </w14:solidFill>
          </w14:textFill>
        </w:rPr>
        <w:t>.4 主要污染物</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根据前述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评价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富村镇迤佐河水库各项监测指标均达到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）中</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标准、集中式饮用水地表水源地补充项目标准限值要求。富村镇迤佐河水库按</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水质目标要求，所有监测</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指标未</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类水质标准的因子有总氮。未超过</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类水质标准的因子中，总氮的监测值为0.79mg/L，其单因子评价指数为0.79，大于0.6，为潜在污染物因子。指标分析如下。</w:t>
      </w:r>
    </w:p>
    <w:p>
      <w:pPr>
        <w:widowControl/>
        <w:adjustRightInd w:val="0"/>
        <w:snapToGrid w:val="0"/>
        <w:spacing w:line="360" w:lineRule="auto"/>
        <w:ind w:firstLine="562"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总氮：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根据富村镇迤佐河水库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次水质监测结果，总氮监测值在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0.79mg/L</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单因子评价指数为0.79，大于0.6，为潜在污染物因子。总氮是富村镇迤佐河水库的主要污染物。水环境中，总氮主要包括硝酸盐氮、亚硝酸盐氮、氨氮等，其中氨氮主要来源于生活污水、畜禽粪便和水土流失，硝酸盐氮主要来源于种植面源（化肥）和水土流失。</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综上分析，总氮为富村镇迤佐河水库的主要污染物。</w:t>
      </w:r>
    </w:p>
    <w:p>
      <w:pPr>
        <w:pStyle w:val="3"/>
        <w:rPr>
          <w:color w:val="0D0D0D" w:themeColor="text1" w:themeTint="F2"/>
          <w14:textFill>
            <w14:solidFill>
              <w14:schemeClr w14:val="tx1">
                <w14:lumMod w14:val="95000"/>
                <w14:lumOff w14:val="5000"/>
              </w14:schemeClr>
            </w14:solidFill>
          </w14:textFill>
        </w:rPr>
      </w:pPr>
      <w:bookmarkStart w:id="70" w:name="_Toc12456067"/>
      <w:bookmarkStart w:id="71" w:name="_Toc27520668"/>
      <w:bookmarkStart w:id="72" w:name="_Toc10729980"/>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7</w:t>
      </w:r>
      <w:r>
        <w:rPr>
          <w:color w:val="0D0D0D" w:themeColor="text1" w:themeTint="F2"/>
          <w14:textFill>
            <w14:solidFill>
              <w14:schemeClr w14:val="tx1">
                <w14:lumMod w14:val="95000"/>
                <w14:lumOff w14:val="5000"/>
              </w14:schemeClr>
            </w14:solidFill>
          </w14:textFill>
        </w:rPr>
        <w:t xml:space="preserve"> </w:t>
      </w:r>
      <w:r>
        <w:rPr>
          <w:rFonts w:hint="eastAsia"/>
          <w:color w:val="0D0D0D" w:themeColor="text1" w:themeTint="F2"/>
          <w14:textFill>
            <w14:solidFill>
              <w14:schemeClr w14:val="tx1">
                <w14:lumMod w14:val="95000"/>
                <w14:lumOff w14:val="5000"/>
              </w14:schemeClr>
            </w14:solidFill>
          </w14:textFill>
        </w:rPr>
        <w:t>饮用水</w:t>
      </w:r>
      <w:r>
        <w:rPr>
          <w:color w:val="0D0D0D" w:themeColor="text1" w:themeTint="F2"/>
          <w14:textFill>
            <w14:solidFill>
              <w14:schemeClr w14:val="tx1">
                <w14:lumMod w14:val="95000"/>
                <w14:lumOff w14:val="5000"/>
              </w14:schemeClr>
            </w14:solidFill>
          </w14:textFill>
        </w:rPr>
        <w:t>水源地</w:t>
      </w:r>
      <w:r>
        <w:rPr>
          <w:rFonts w:hint="eastAsia"/>
          <w:color w:val="0D0D0D" w:themeColor="text1" w:themeTint="F2"/>
          <w14:textFill>
            <w14:solidFill>
              <w14:schemeClr w14:val="tx1">
                <w14:lumMod w14:val="95000"/>
                <w14:lumOff w14:val="5000"/>
              </w14:schemeClr>
            </w14:solidFill>
          </w14:textFill>
        </w:rPr>
        <w:t>周边及上游污染源调查</w:t>
      </w:r>
      <w:bookmarkEnd w:id="70"/>
      <w:bookmarkEnd w:id="71"/>
      <w:bookmarkEnd w:id="72"/>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73" w:name="_Hlk1792902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通过现场踏勘及资料收集，对迤佐河水库水源地周边及上游范围内的污染源进行调查，从点源、面源、流动源进行分析。</w:t>
      </w:r>
    </w:p>
    <w:bookmarkEnd w:id="73"/>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74" w:name="_Toc25679061"/>
      <w:bookmarkStart w:id="75" w:name="_Toc27520669"/>
      <w:bookmarkStart w:id="76" w:name="_Toc18506526"/>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.1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点源</w:t>
      </w:r>
      <w:bookmarkEnd w:id="74"/>
      <w:bookmarkEnd w:id="75"/>
      <w:bookmarkEnd w:id="76"/>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77" w:name="_Hlk1792905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调查分析可知，迤佐河水库水源地保护区范围内未发现工业企业及违法违规建设项目存在，无城镇生活污水排放口，也无规模化畜禽养殖场（小区）等点源存在。</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78" w:name="_Toc18506527"/>
      <w:bookmarkStart w:id="79" w:name="_Toc25679062"/>
      <w:bookmarkStart w:id="80" w:name="_Toc27520670"/>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面源</w:t>
      </w:r>
      <w:bookmarkEnd w:id="78"/>
      <w:bookmarkEnd w:id="79"/>
      <w:bookmarkEnd w:id="80"/>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81" w:name="_Hlk1792908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根据调查可知，迤佐河水库水源地保护区范围内主要为面源污染，由村庄生活污水、生活垃圾、畜禽养殖、农田种植、水土流失等污染组成。</w:t>
      </w:r>
    </w:p>
    <w:bookmarkEnd w:id="81"/>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bookmarkStart w:id="82" w:name="_Toc10729981"/>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2.1</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 xml:space="preserve"> 农村生活污水</w:t>
      </w:r>
      <w:bookmarkEnd w:id="82"/>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经统计，迤佐河水库保护区范围内涉及</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个镇、2个行政村、11个自然村，为富村镇白石岩村委会的迤佐河1个自然村，富村镇德胜村委会的夏家寨、响水坝、大水沟、郭家槽子、石家寨、陈家寨、小铺子、水井上、大石头、炸玉麦共10个自然村，914户3830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采用人均排污系数法核算农村生活污水及污染物排放量。参考第一次全国污染源普查中西南区污染物排放系数，见下表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-1  农村人均生活污水排污系数</w:t>
      </w:r>
    </w:p>
    <w:tbl>
      <w:tblPr>
        <w:tblStyle w:val="44"/>
        <w:tblW w:w="965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58"/>
        <w:gridCol w:w="1676"/>
        <w:gridCol w:w="1629"/>
        <w:gridCol w:w="1629"/>
        <w:gridCol w:w="1629"/>
        <w:gridCol w:w="16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1458"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指标</w:t>
            </w:r>
          </w:p>
        </w:tc>
        <w:tc>
          <w:tcPr>
            <w:tcW w:w="1676"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污水量（L/cap.d）</w:t>
            </w:r>
          </w:p>
        </w:tc>
        <w:tc>
          <w:tcPr>
            <w:tcW w:w="162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COD（g/cap.d）</w:t>
            </w:r>
          </w:p>
        </w:tc>
        <w:tc>
          <w:tcPr>
            <w:tcW w:w="162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-N（g/cap.d）</w:t>
            </w:r>
          </w:p>
        </w:tc>
        <w:tc>
          <w:tcPr>
            <w:tcW w:w="162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TN</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（g/cap.d）</w:t>
            </w:r>
          </w:p>
        </w:tc>
        <w:tc>
          <w:tcPr>
            <w:tcW w:w="162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TP</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（g/cap.d）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1458"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排放系数</w:t>
            </w:r>
          </w:p>
        </w:tc>
        <w:tc>
          <w:tcPr>
            <w:tcW w:w="1676"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24.48</w:t>
            </w:r>
          </w:p>
        </w:tc>
        <w:tc>
          <w:tcPr>
            <w:tcW w:w="162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19.68</w:t>
            </w:r>
          </w:p>
        </w:tc>
        <w:tc>
          <w:tcPr>
            <w:tcW w:w="162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0.08</w:t>
            </w:r>
          </w:p>
        </w:tc>
        <w:tc>
          <w:tcPr>
            <w:tcW w:w="162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0.40</w:t>
            </w:r>
          </w:p>
        </w:tc>
        <w:tc>
          <w:tcPr>
            <w:tcW w:w="162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0.22</w:t>
            </w: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同时根据部门收资及现场调查，迤佐河水库保护区内各自然村未建农村生活污水集中处理设施。</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根据保护区范围内人口统计结果及排污系数计算，迤佐河水库保护区范围内污水、化学需氧量、氨氮、总氮、总磷排放量分别为34221.82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27.512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0.112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0.559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t/a和</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0.308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t/a。如下表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所示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widowControl/>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2.7-2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迤佐河水库保护区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范围内</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农村</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生活污水污染物排放量</w:t>
      </w:r>
    </w:p>
    <w:tbl>
      <w:tblPr>
        <w:tblStyle w:val="44"/>
        <w:tblW w:w="145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1335"/>
        <w:gridCol w:w="1376"/>
        <w:gridCol w:w="1382"/>
        <w:gridCol w:w="1466"/>
        <w:gridCol w:w="1527"/>
        <w:gridCol w:w="1527"/>
        <w:gridCol w:w="1416"/>
        <w:gridCol w:w="1416"/>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741"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w:t>
            </w:r>
          </w:p>
        </w:tc>
        <w:tc>
          <w:tcPr>
            <w:tcW w:w="1335"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行政村</w:t>
            </w:r>
          </w:p>
        </w:tc>
        <w:tc>
          <w:tcPr>
            <w:tcW w:w="1376"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自然村</w:t>
            </w:r>
          </w:p>
        </w:tc>
        <w:tc>
          <w:tcPr>
            <w:tcW w:w="1382"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人口</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（人）</w:t>
            </w:r>
          </w:p>
        </w:tc>
        <w:tc>
          <w:tcPr>
            <w:tcW w:w="1466"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污水产生量（</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527"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污水排放量（</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527"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416"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416"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410"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41"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一级保护区</w:t>
            </w:r>
          </w:p>
        </w:tc>
        <w:tc>
          <w:tcPr>
            <w:tcW w:w="1335" w:type="dxa"/>
            <w:vAlign w:val="center"/>
          </w:tcPr>
          <w:p>
            <w:pPr>
              <w:jc w:val="center"/>
              <w:rPr>
                <w:rFonts w:ascii="仿宋" w:hAnsi="仿宋" w:eastAsia="仿宋" w:cs="宋体"/>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白石岩</w:t>
            </w:r>
          </w:p>
        </w:tc>
        <w:tc>
          <w:tcPr>
            <w:tcW w:w="1376" w:type="dxa"/>
            <w:vAlign w:val="center"/>
          </w:tcPr>
          <w:p>
            <w:pPr>
              <w:jc w:val="center"/>
              <w:rPr>
                <w:rFonts w:ascii="仿宋" w:hAnsi="仿宋" w:eastAsia="仿宋" w:cs="宋体"/>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迤佐河</w:t>
            </w:r>
          </w:p>
        </w:tc>
        <w:tc>
          <w:tcPr>
            <w:tcW w:w="1382"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384</w:t>
            </w:r>
          </w:p>
        </w:tc>
        <w:tc>
          <w:tcPr>
            <w:tcW w:w="1466" w:type="dxa"/>
            <w:vAlign w:val="center"/>
          </w:tcPr>
          <w:p>
            <w:pPr>
              <w:jc w:val="center"/>
              <w:rPr>
                <w:rFonts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3431.12</w:t>
            </w:r>
          </w:p>
        </w:tc>
        <w:tc>
          <w:tcPr>
            <w:tcW w:w="1527" w:type="dxa"/>
            <w:vAlign w:val="center"/>
          </w:tcPr>
          <w:p>
            <w:pPr>
              <w:jc w:val="center"/>
              <w:rPr>
                <w:rFonts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3431.12</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2.758</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0.011</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0.056</w:t>
            </w:r>
          </w:p>
        </w:tc>
        <w:tc>
          <w:tcPr>
            <w:tcW w:w="1410"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41" w:type="dxa"/>
            <w:vMerge w:val="restart"/>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二级保护区</w:t>
            </w:r>
          </w:p>
        </w:tc>
        <w:tc>
          <w:tcPr>
            <w:tcW w:w="1335"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德胜村</w:t>
            </w:r>
          </w:p>
        </w:tc>
        <w:tc>
          <w:tcPr>
            <w:tcW w:w="1376"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夏家寨</w:t>
            </w:r>
          </w:p>
        </w:tc>
        <w:tc>
          <w:tcPr>
            <w:tcW w:w="1382"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273</w:t>
            </w:r>
          </w:p>
        </w:tc>
        <w:tc>
          <w:tcPr>
            <w:tcW w:w="14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2439.31</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2439.31</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1.961</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0.008</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0.040</w:t>
            </w:r>
          </w:p>
        </w:tc>
        <w:tc>
          <w:tcPr>
            <w:tcW w:w="1410"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41"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335"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德胜村</w:t>
            </w:r>
          </w:p>
        </w:tc>
        <w:tc>
          <w:tcPr>
            <w:tcW w:w="1376"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响水坝</w:t>
            </w:r>
          </w:p>
        </w:tc>
        <w:tc>
          <w:tcPr>
            <w:tcW w:w="1382"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298</w:t>
            </w:r>
          </w:p>
        </w:tc>
        <w:tc>
          <w:tcPr>
            <w:tcW w:w="14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2662.69</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2662.69</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2.141</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0.009</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0.044</w:t>
            </w:r>
          </w:p>
        </w:tc>
        <w:tc>
          <w:tcPr>
            <w:tcW w:w="1410"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41"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335"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德胜村</w:t>
            </w:r>
          </w:p>
        </w:tc>
        <w:tc>
          <w:tcPr>
            <w:tcW w:w="1376"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大水沟</w:t>
            </w:r>
          </w:p>
        </w:tc>
        <w:tc>
          <w:tcPr>
            <w:tcW w:w="1382"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157</w:t>
            </w:r>
          </w:p>
        </w:tc>
        <w:tc>
          <w:tcPr>
            <w:tcW w:w="14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1402.83</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1402.83</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1.128</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0.005</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0.023</w:t>
            </w:r>
          </w:p>
        </w:tc>
        <w:tc>
          <w:tcPr>
            <w:tcW w:w="1410"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41"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335"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德胜村</w:t>
            </w:r>
          </w:p>
        </w:tc>
        <w:tc>
          <w:tcPr>
            <w:tcW w:w="1376"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郭家槽子</w:t>
            </w:r>
          </w:p>
        </w:tc>
        <w:tc>
          <w:tcPr>
            <w:tcW w:w="1382"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329</w:t>
            </w:r>
          </w:p>
        </w:tc>
        <w:tc>
          <w:tcPr>
            <w:tcW w:w="14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2939.68</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2939.68</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2.363</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0.010</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0.048</w:t>
            </w:r>
          </w:p>
        </w:tc>
        <w:tc>
          <w:tcPr>
            <w:tcW w:w="1410"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41"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2711" w:type="dxa"/>
            <w:gridSpan w:val="2"/>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小计</w:t>
            </w:r>
          </w:p>
        </w:tc>
        <w:tc>
          <w:tcPr>
            <w:tcW w:w="1382"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1057</w:t>
            </w:r>
          </w:p>
        </w:tc>
        <w:tc>
          <w:tcPr>
            <w:tcW w:w="1466"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9444.51</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9444.51</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7.593</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0.031</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0.154</w:t>
            </w:r>
          </w:p>
        </w:tc>
        <w:tc>
          <w:tcPr>
            <w:tcW w:w="1410"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41" w:type="dxa"/>
            <w:vMerge w:val="restart"/>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准保护区</w:t>
            </w:r>
          </w:p>
        </w:tc>
        <w:tc>
          <w:tcPr>
            <w:tcW w:w="1335"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德胜村</w:t>
            </w:r>
          </w:p>
        </w:tc>
        <w:tc>
          <w:tcPr>
            <w:tcW w:w="1376"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石家寨</w:t>
            </w:r>
          </w:p>
        </w:tc>
        <w:tc>
          <w:tcPr>
            <w:tcW w:w="1382"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328</w:t>
            </w:r>
          </w:p>
        </w:tc>
        <w:tc>
          <w:tcPr>
            <w:tcW w:w="14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2930.75</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2930.75</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2.356</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0.010</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0.048</w:t>
            </w:r>
          </w:p>
        </w:tc>
        <w:tc>
          <w:tcPr>
            <w:tcW w:w="1410"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41"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335"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德胜村</w:t>
            </w:r>
          </w:p>
        </w:tc>
        <w:tc>
          <w:tcPr>
            <w:tcW w:w="1376"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陈家寨</w:t>
            </w:r>
          </w:p>
        </w:tc>
        <w:tc>
          <w:tcPr>
            <w:tcW w:w="1382"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156</w:t>
            </w:r>
          </w:p>
        </w:tc>
        <w:tc>
          <w:tcPr>
            <w:tcW w:w="14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1393.89</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1393.89</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1.121</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0.005</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0.023</w:t>
            </w:r>
          </w:p>
        </w:tc>
        <w:tc>
          <w:tcPr>
            <w:tcW w:w="1410"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41"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335"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德胜村</w:t>
            </w:r>
          </w:p>
        </w:tc>
        <w:tc>
          <w:tcPr>
            <w:tcW w:w="1376"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小铺子</w:t>
            </w:r>
          </w:p>
        </w:tc>
        <w:tc>
          <w:tcPr>
            <w:tcW w:w="1382"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367</w:t>
            </w:r>
          </w:p>
        </w:tc>
        <w:tc>
          <w:tcPr>
            <w:tcW w:w="14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3279.22</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3279.22</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2.636</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0.011</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0.054</w:t>
            </w:r>
          </w:p>
        </w:tc>
        <w:tc>
          <w:tcPr>
            <w:tcW w:w="1410"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41"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335"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德胜村</w:t>
            </w:r>
          </w:p>
        </w:tc>
        <w:tc>
          <w:tcPr>
            <w:tcW w:w="1376"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水井上</w:t>
            </w:r>
          </w:p>
        </w:tc>
        <w:tc>
          <w:tcPr>
            <w:tcW w:w="1382"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264</w:t>
            </w:r>
          </w:p>
        </w:tc>
        <w:tc>
          <w:tcPr>
            <w:tcW w:w="14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2358.89</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2358.89</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1.896</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0.008</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0.039</w:t>
            </w:r>
          </w:p>
        </w:tc>
        <w:tc>
          <w:tcPr>
            <w:tcW w:w="1410"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1741"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335"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德胜村</w:t>
            </w:r>
          </w:p>
        </w:tc>
        <w:tc>
          <w:tcPr>
            <w:tcW w:w="1376"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大石头</w:t>
            </w:r>
          </w:p>
        </w:tc>
        <w:tc>
          <w:tcPr>
            <w:tcW w:w="1382"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293</w:t>
            </w:r>
          </w:p>
        </w:tc>
        <w:tc>
          <w:tcPr>
            <w:tcW w:w="14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2618.01</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2618.01</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2.105</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0.009</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0.043</w:t>
            </w:r>
          </w:p>
        </w:tc>
        <w:tc>
          <w:tcPr>
            <w:tcW w:w="1410"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41"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335"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德胜村</w:t>
            </w:r>
          </w:p>
        </w:tc>
        <w:tc>
          <w:tcPr>
            <w:tcW w:w="1376"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炸玉麦</w:t>
            </w:r>
          </w:p>
        </w:tc>
        <w:tc>
          <w:tcPr>
            <w:tcW w:w="1382"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981</w:t>
            </w:r>
          </w:p>
        </w:tc>
        <w:tc>
          <w:tcPr>
            <w:tcW w:w="14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8765.43</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8765.43</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7.047</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0.029</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0.143</w:t>
            </w:r>
          </w:p>
        </w:tc>
        <w:tc>
          <w:tcPr>
            <w:tcW w:w="1410"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41"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2711" w:type="dxa"/>
            <w:gridSpan w:val="2"/>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小计</w:t>
            </w:r>
          </w:p>
        </w:tc>
        <w:tc>
          <w:tcPr>
            <w:tcW w:w="1382"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2389</w:t>
            </w:r>
          </w:p>
        </w:tc>
        <w:tc>
          <w:tcPr>
            <w:tcW w:w="14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21346.19</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21346.19</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17.161</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0.070</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0.349</w:t>
            </w:r>
          </w:p>
        </w:tc>
        <w:tc>
          <w:tcPr>
            <w:tcW w:w="1410"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52" w:type="dxa"/>
            <w:gridSpan w:val="3"/>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合计</w:t>
            </w:r>
          </w:p>
        </w:tc>
        <w:tc>
          <w:tcPr>
            <w:tcW w:w="1382"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3830</w:t>
            </w:r>
          </w:p>
        </w:tc>
        <w:tc>
          <w:tcPr>
            <w:tcW w:w="1466"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34221.82</w:t>
            </w:r>
          </w:p>
        </w:tc>
        <w:tc>
          <w:tcPr>
            <w:tcW w:w="1527"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34221.82</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27.512</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0.112</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0.559</w:t>
            </w:r>
          </w:p>
        </w:tc>
        <w:tc>
          <w:tcPr>
            <w:tcW w:w="1410"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0.308</w:t>
            </w:r>
          </w:p>
        </w:tc>
      </w:tr>
    </w:tbl>
    <w:p>
      <w:pPr>
        <w:rPr>
          <w:color w:val="0D0D0D" w:themeColor="text1" w:themeTint="F2"/>
          <w14:textFill>
            <w14:solidFill>
              <w14:schemeClr w14:val="tx1">
                <w14:lumMod w14:val="95000"/>
                <w14:lumOff w14:val="5000"/>
              </w14:schemeClr>
            </w14:solidFill>
          </w14:textFill>
        </w:rPr>
        <w:sectPr>
          <w:pgSz w:w="16838" w:h="11906" w:orient="landscape"/>
          <w:pgMar w:top="1236" w:right="1440" w:bottom="1236" w:left="1440" w:header="851" w:footer="992" w:gutter="0"/>
          <w:pgNumType w:fmt="numberInDash"/>
          <w:cols w:space="0" w:num="1"/>
          <w:docGrid w:type="lines" w:linePitch="312" w:charSpace="0"/>
        </w:sectPr>
      </w:pPr>
    </w:p>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 xml:space="preserve"> 农村生活垃圾</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经统计，迤佐河水库保护区范围内涉及</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个镇、2个行政村、11个自然村，为富村镇白石岩村委会的迤佐河1个自然村，富村镇德胜村委会的夏家寨、响水坝、大水沟、郭家槽子、石家寨、陈家寨、小铺子、水井上、大石头、炸玉麦共10个自然村，914户3830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采用人均排污系数法核算农村生活垃圾及污染物排放量，参考第一次全国污染源普查中西南区污染物排放系数，见下表</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2.7-3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农村人均生活垃圾排</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放</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系数</w:t>
      </w:r>
    </w:p>
    <w:tbl>
      <w:tblPr>
        <w:tblStyle w:val="44"/>
        <w:tblW w:w="965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45"/>
        <w:gridCol w:w="1523"/>
        <w:gridCol w:w="1519"/>
        <w:gridCol w:w="1519"/>
        <w:gridCol w:w="1523"/>
        <w:gridCol w:w="15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2045"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指标</w:t>
            </w:r>
          </w:p>
        </w:tc>
        <w:tc>
          <w:tcPr>
            <w:tcW w:w="1523"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生活垃圾（kg/p.d）</w:t>
            </w:r>
          </w:p>
        </w:tc>
        <w:tc>
          <w:tcPr>
            <w:tcW w:w="1519"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p>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（g/p.d）</w:t>
            </w:r>
          </w:p>
        </w:tc>
        <w:tc>
          <w:tcPr>
            <w:tcW w:w="1519"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bCs/>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-N（g/p.d）</w:t>
            </w:r>
          </w:p>
        </w:tc>
        <w:tc>
          <w:tcPr>
            <w:tcW w:w="1523"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p>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（g/p.d）</w:t>
            </w:r>
          </w:p>
        </w:tc>
        <w:tc>
          <w:tcPr>
            <w:tcW w:w="1521"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p>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（g/p.d）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2045"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产生系数</w:t>
            </w:r>
          </w:p>
        </w:tc>
        <w:tc>
          <w:tcPr>
            <w:tcW w:w="1523"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0.351</w:t>
            </w:r>
          </w:p>
        </w:tc>
        <w:tc>
          <w:tcPr>
            <w:tcW w:w="1519"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35.1</w:t>
            </w:r>
          </w:p>
        </w:tc>
        <w:tc>
          <w:tcPr>
            <w:tcW w:w="1519"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1.053</w:t>
            </w:r>
          </w:p>
        </w:tc>
        <w:tc>
          <w:tcPr>
            <w:tcW w:w="1523"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1.755</w:t>
            </w:r>
          </w:p>
        </w:tc>
        <w:tc>
          <w:tcPr>
            <w:tcW w:w="1521"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0.702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2045"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排放系数</w:t>
            </w:r>
          </w:p>
        </w:tc>
        <w:tc>
          <w:tcPr>
            <w:tcW w:w="1523"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0.16</w:t>
            </w:r>
          </w:p>
        </w:tc>
        <w:tc>
          <w:tcPr>
            <w:tcW w:w="1519"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15.80</w:t>
            </w:r>
          </w:p>
        </w:tc>
        <w:tc>
          <w:tcPr>
            <w:tcW w:w="1519"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0.47</w:t>
            </w:r>
          </w:p>
        </w:tc>
        <w:tc>
          <w:tcPr>
            <w:tcW w:w="1523"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0.79</w:t>
            </w:r>
          </w:p>
        </w:tc>
        <w:tc>
          <w:tcPr>
            <w:tcW w:w="1521"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0.32</w:t>
            </w: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根据现场调查了解生活垃圾收集清运情况，本次核算已建设生活垃圾收集处理设施的村落生活垃圾收集处理率取</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迤佐河水库保护区范围内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人口统计结果及排污系数计算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，迤佐河水库保护区范围内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生活垃圾、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化学需氧量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、氨氮、总氮、总磷排放量分别为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223.67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22.088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0.657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1.104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0.447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具体数据见下表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迤佐河水库保护区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范围内</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农村</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生活垃圾污染物排放量</w:t>
      </w:r>
    </w:p>
    <w:tbl>
      <w:tblPr>
        <w:tblStyle w:val="44"/>
        <w:tblW w:w="145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9"/>
        <w:gridCol w:w="1334"/>
        <w:gridCol w:w="1381"/>
        <w:gridCol w:w="1381"/>
        <w:gridCol w:w="1465"/>
        <w:gridCol w:w="1527"/>
        <w:gridCol w:w="1527"/>
        <w:gridCol w:w="1416"/>
        <w:gridCol w:w="1416"/>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73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w:t>
            </w:r>
          </w:p>
        </w:tc>
        <w:tc>
          <w:tcPr>
            <w:tcW w:w="1334"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行政村</w:t>
            </w:r>
          </w:p>
        </w:tc>
        <w:tc>
          <w:tcPr>
            <w:tcW w:w="1381"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自然村</w:t>
            </w:r>
          </w:p>
        </w:tc>
        <w:tc>
          <w:tcPr>
            <w:tcW w:w="1381"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人口</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（人）</w:t>
            </w:r>
          </w:p>
        </w:tc>
        <w:tc>
          <w:tcPr>
            <w:tcW w:w="1465"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垃圾</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产生量（</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527"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垃圾</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排放量（</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527"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416"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416"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410"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3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一级保护区</w:t>
            </w:r>
          </w:p>
        </w:tc>
        <w:tc>
          <w:tcPr>
            <w:tcW w:w="1334" w:type="dxa"/>
            <w:vAlign w:val="center"/>
          </w:tcPr>
          <w:p>
            <w:pPr>
              <w:jc w:val="center"/>
              <w:rPr>
                <w:rFonts w:ascii="仿宋" w:hAnsi="仿宋" w:eastAsia="仿宋" w:cs="宋体"/>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白石岩</w:t>
            </w:r>
          </w:p>
        </w:tc>
        <w:tc>
          <w:tcPr>
            <w:tcW w:w="1381" w:type="dxa"/>
            <w:vAlign w:val="center"/>
          </w:tcPr>
          <w:p>
            <w:pPr>
              <w:jc w:val="center"/>
              <w:rPr>
                <w:rFonts w:ascii="仿宋" w:hAnsi="仿宋" w:eastAsia="仿宋" w:cs="宋体"/>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迤佐河</w:t>
            </w:r>
          </w:p>
        </w:tc>
        <w:tc>
          <w:tcPr>
            <w:tcW w:w="1381"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384</w:t>
            </w:r>
          </w:p>
        </w:tc>
        <w:tc>
          <w:tcPr>
            <w:tcW w:w="1465" w:type="dxa"/>
            <w:vAlign w:val="bottom"/>
          </w:tcPr>
          <w:p>
            <w:pPr>
              <w:jc w:val="center"/>
              <w:rPr>
                <w:rFonts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22.43</w:t>
            </w:r>
          </w:p>
        </w:tc>
        <w:tc>
          <w:tcPr>
            <w:tcW w:w="1527" w:type="dxa"/>
            <w:vAlign w:val="bottom"/>
          </w:tcPr>
          <w:p>
            <w:pPr>
              <w:jc w:val="center"/>
              <w:rPr>
                <w:rFonts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22.43</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2.215</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0.066</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0.111</w:t>
            </w:r>
          </w:p>
        </w:tc>
        <w:tc>
          <w:tcPr>
            <w:tcW w:w="1410"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39" w:type="dxa"/>
            <w:vMerge w:val="restart"/>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二级保护区</w:t>
            </w:r>
          </w:p>
        </w:tc>
        <w:tc>
          <w:tcPr>
            <w:tcW w:w="1334"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德胜村</w:t>
            </w:r>
          </w:p>
        </w:tc>
        <w:tc>
          <w:tcPr>
            <w:tcW w:w="1381"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夏家寨</w:t>
            </w:r>
          </w:p>
        </w:tc>
        <w:tc>
          <w:tcPr>
            <w:tcW w:w="1381"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273</w:t>
            </w:r>
          </w:p>
        </w:tc>
        <w:tc>
          <w:tcPr>
            <w:tcW w:w="14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15.94</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15.94</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1.574</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0.047</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0.079</w:t>
            </w:r>
          </w:p>
        </w:tc>
        <w:tc>
          <w:tcPr>
            <w:tcW w:w="1410"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39"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334"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德胜村</w:t>
            </w:r>
          </w:p>
        </w:tc>
        <w:tc>
          <w:tcPr>
            <w:tcW w:w="1381"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响水坝</w:t>
            </w:r>
          </w:p>
        </w:tc>
        <w:tc>
          <w:tcPr>
            <w:tcW w:w="1381"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298</w:t>
            </w:r>
          </w:p>
        </w:tc>
        <w:tc>
          <w:tcPr>
            <w:tcW w:w="14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17.40</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17.40</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1.719</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0.051</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0.086</w:t>
            </w:r>
          </w:p>
        </w:tc>
        <w:tc>
          <w:tcPr>
            <w:tcW w:w="1410"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39"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334"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德胜村</w:t>
            </w:r>
          </w:p>
        </w:tc>
        <w:tc>
          <w:tcPr>
            <w:tcW w:w="1381"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大水沟</w:t>
            </w:r>
          </w:p>
        </w:tc>
        <w:tc>
          <w:tcPr>
            <w:tcW w:w="1381"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157</w:t>
            </w:r>
          </w:p>
        </w:tc>
        <w:tc>
          <w:tcPr>
            <w:tcW w:w="14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9.17</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9.17</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0.905</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0.027</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0.045</w:t>
            </w:r>
          </w:p>
        </w:tc>
        <w:tc>
          <w:tcPr>
            <w:tcW w:w="1410"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39"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334"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德胜村</w:t>
            </w:r>
          </w:p>
        </w:tc>
        <w:tc>
          <w:tcPr>
            <w:tcW w:w="1381"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郭家槽子</w:t>
            </w:r>
          </w:p>
        </w:tc>
        <w:tc>
          <w:tcPr>
            <w:tcW w:w="1381"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329</w:t>
            </w:r>
          </w:p>
        </w:tc>
        <w:tc>
          <w:tcPr>
            <w:tcW w:w="14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19.21</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19.21</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1.897</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0.056</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0.095</w:t>
            </w:r>
          </w:p>
        </w:tc>
        <w:tc>
          <w:tcPr>
            <w:tcW w:w="1410"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39"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2715" w:type="dxa"/>
            <w:gridSpan w:val="2"/>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小计</w:t>
            </w:r>
          </w:p>
        </w:tc>
        <w:tc>
          <w:tcPr>
            <w:tcW w:w="1381"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1057</w:t>
            </w:r>
          </w:p>
        </w:tc>
        <w:tc>
          <w:tcPr>
            <w:tcW w:w="14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61.73</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61.73</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6.096</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0.181</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0.305</w:t>
            </w:r>
          </w:p>
        </w:tc>
        <w:tc>
          <w:tcPr>
            <w:tcW w:w="1410"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39" w:type="dxa"/>
            <w:vMerge w:val="restart"/>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准保护区</w:t>
            </w:r>
          </w:p>
        </w:tc>
        <w:tc>
          <w:tcPr>
            <w:tcW w:w="1334"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德胜村</w:t>
            </w:r>
          </w:p>
        </w:tc>
        <w:tc>
          <w:tcPr>
            <w:tcW w:w="1381"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石家寨</w:t>
            </w:r>
          </w:p>
        </w:tc>
        <w:tc>
          <w:tcPr>
            <w:tcW w:w="1381"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328</w:t>
            </w:r>
          </w:p>
        </w:tc>
        <w:tc>
          <w:tcPr>
            <w:tcW w:w="14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19.16</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19.16</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1.892</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0.056</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0.095</w:t>
            </w:r>
          </w:p>
        </w:tc>
        <w:tc>
          <w:tcPr>
            <w:tcW w:w="1410"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39"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334"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德胜村</w:t>
            </w:r>
          </w:p>
        </w:tc>
        <w:tc>
          <w:tcPr>
            <w:tcW w:w="1381"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陈家寨</w:t>
            </w:r>
          </w:p>
        </w:tc>
        <w:tc>
          <w:tcPr>
            <w:tcW w:w="1381"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156</w:t>
            </w:r>
          </w:p>
        </w:tc>
        <w:tc>
          <w:tcPr>
            <w:tcW w:w="14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9.11</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9.11</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0.900</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0.027</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0.045</w:t>
            </w:r>
          </w:p>
        </w:tc>
        <w:tc>
          <w:tcPr>
            <w:tcW w:w="1410"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39"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334"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德胜村</w:t>
            </w:r>
          </w:p>
        </w:tc>
        <w:tc>
          <w:tcPr>
            <w:tcW w:w="1381"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小铺子</w:t>
            </w:r>
          </w:p>
        </w:tc>
        <w:tc>
          <w:tcPr>
            <w:tcW w:w="1381"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367</w:t>
            </w:r>
          </w:p>
        </w:tc>
        <w:tc>
          <w:tcPr>
            <w:tcW w:w="14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21.43</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21.43</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2.116</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0.063</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0.106</w:t>
            </w:r>
          </w:p>
        </w:tc>
        <w:tc>
          <w:tcPr>
            <w:tcW w:w="1410"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39"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334"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德胜村</w:t>
            </w:r>
          </w:p>
        </w:tc>
        <w:tc>
          <w:tcPr>
            <w:tcW w:w="1381"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水井上</w:t>
            </w:r>
          </w:p>
        </w:tc>
        <w:tc>
          <w:tcPr>
            <w:tcW w:w="1381"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264</w:t>
            </w:r>
          </w:p>
        </w:tc>
        <w:tc>
          <w:tcPr>
            <w:tcW w:w="14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15.42</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15.42</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1.522</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0.045</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0.076</w:t>
            </w:r>
          </w:p>
        </w:tc>
        <w:tc>
          <w:tcPr>
            <w:tcW w:w="1410"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1739"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334"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德胜村</w:t>
            </w:r>
          </w:p>
        </w:tc>
        <w:tc>
          <w:tcPr>
            <w:tcW w:w="1381"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大石头</w:t>
            </w:r>
          </w:p>
        </w:tc>
        <w:tc>
          <w:tcPr>
            <w:tcW w:w="1381"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293</w:t>
            </w:r>
          </w:p>
        </w:tc>
        <w:tc>
          <w:tcPr>
            <w:tcW w:w="14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17.11</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17.11</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1.690</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0.050</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0.084</w:t>
            </w:r>
          </w:p>
        </w:tc>
        <w:tc>
          <w:tcPr>
            <w:tcW w:w="1410"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39"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334"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德胜村</w:t>
            </w:r>
          </w:p>
        </w:tc>
        <w:tc>
          <w:tcPr>
            <w:tcW w:w="1381"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炸玉麦</w:t>
            </w:r>
          </w:p>
        </w:tc>
        <w:tc>
          <w:tcPr>
            <w:tcW w:w="1381"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981</w:t>
            </w:r>
          </w:p>
        </w:tc>
        <w:tc>
          <w:tcPr>
            <w:tcW w:w="14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57.29</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57.29</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5.657</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0.168</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0.283</w:t>
            </w:r>
          </w:p>
        </w:tc>
        <w:tc>
          <w:tcPr>
            <w:tcW w:w="1410"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39"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2715" w:type="dxa"/>
            <w:gridSpan w:val="2"/>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小计</w:t>
            </w:r>
          </w:p>
        </w:tc>
        <w:tc>
          <w:tcPr>
            <w:tcW w:w="1381"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2389</w:t>
            </w:r>
          </w:p>
        </w:tc>
        <w:tc>
          <w:tcPr>
            <w:tcW w:w="14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19.16</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19.16</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13.777</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0.410</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0.689</w:t>
            </w:r>
          </w:p>
        </w:tc>
        <w:tc>
          <w:tcPr>
            <w:tcW w:w="1410"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54" w:type="dxa"/>
            <w:gridSpan w:val="3"/>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合计</w:t>
            </w:r>
          </w:p>
        </w:tc>
        <w:tc>
          <w:tcPr>
            <w:tcW w:w="1381"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3830</w:t>
            </w:r>
          </w:p>
        </w:tc>
        <w:tc>
          <w:tcPr>
            <w:tcW w:w="14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223.67</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223.67</w:t>
            </w:r>
          </w:p>
        </w:tc>
        <w:tc>
          <w:tcPr>
            <w:tcW w:w="152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22.088</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0.657</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1.104</w:t>
            </w:r>
          </w:p>
        </w:tc>
        <w:tc>
          <w:tcPr>
            <w:tcW w:w="1410"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0.447</w:t>
            </w:r>
          </w:p>
        </w:tc>
      </w:tr>
    </w:tbl>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sectPr>
          <w:pgSz w:w="16838" w:h="11906" w:orient="landscape"/>
          <w:pgMar w:top="1236" w:right="1440" w:bottom="1236" w:left="1440" w:header="851" w:footer="992" w:gutter="0"/>
          <w:pgNumType w:fmt="numberInDash"/>
          <w:cols w:space="0" w:num="1"/>
          <w:docGrid w:type="lines" w:linePitch="312" w:charSpace="0"/>
        </w:sectPr>
      </w:pP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p>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3 农业种植污染</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经统计，</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迤佐河水库保护区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内耕地面积总计为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433.82hm</w:t>
      </w:r>
      <w:r>
        <w:rPr>
          <w:rFonts w:hint="eastAsia"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均为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旱地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。耕地种植施用大量的化肥农药，污染物流失对水源地造成污染。迤佐河水库保护区范围内耕地面积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具体数据见表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由于</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范围内化肥统计数据不详实，运用第一次全国污染源普查成果，使用流域内耕地面积污染流失的平均强度，并根据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富源县</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的具体情况进行修正，得到旱地肥料</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化学需氧量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、总氮、总磷、氨氮的流失系数分别为1.5kg/亩、0.824kg/亩、0.095kg/亩、0.105kg/亩，水田肥料</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化学需氧量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、总氮、总磷、氨氮的流失系数分别为1.1kg/亩、1.316kg/亩、0.112kg/亩、0.194kg/亩。流失量具体见表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迤佐河水库保护区范围</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内种植业污染排放情况</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1619"/>
        <w:gridCol w:w="1619"/>
        <w:gridCol w:w="1621"/>
        <w:gridCol w:w="1621"/>
        <w:gridCol w:w="1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584"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保护区</w:t>
            </w:r>
          </w:p>
        </w:tc>
        <w:tc>
          <w:tcPr>
            <w:tcW w:w="1619" w:type="dxa"/>
            <w:shd w:val="clear" w:color="auto" w:fill="D8D8D8" w:themeFill="background1" w:themeFillShade="D9"/>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旱地（hm</w:t>
            </w:r>
            <w:r>
              <w:rPr>
                <w:rFonts w:hint="eastAsia" w:ascii="Times New Roman" w:hAnsi="Times New Roman" w:eastAsia="仿宋" w:cs="Times New Roman"/>
                <w:b/>
                <w:bCs/>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w:t>
            </w:r>
          </w:p>
        </w:tc>
        <w:tc>
          <w:tcPr>
            <w:tcW w:w="1619"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621"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621"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586"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84" w:type="dxa"/>
            <w:shd w:val="clear" w:color="auto" w:fill="auto"/>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一级保护区</w:t>
            </w:r>
          </w:p>
        </w:tc>
        <w:tc>
          <w:tcPr>
            <w:tcW w:w="1619" w:type="dxa"/>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0.16</w:t>
            </w:r>
          </w:p>
        </w:tc>
        <w:tc>
          <w:tcPr>
            <w:tcW w:w="1619" w:type="dxa"/>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0.003</w:t>
            </w:r>
          </w:p>
        </w:tc>
        <w:tc>
          <w:tcPr>
            <w:tcW w:w="162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0.0002</w:t>
            </w:r>
          </w:p>
        </w:tc>
        <w:tc>
          <w:tcPr>
            <w:tcW w:w="162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0.002</w:t>
            </w:r>
          </w:p>
        </w:tc>
        <w:tc>
          <w:tcPr>
            <w:tcW w:w="158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84" w:type="dxa"/>
            <w:shd w:val="clear" w:color="auto" w:fill="auto"/>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二级保护区</w:t>
            </w:r>
          </w:p>
        </w:tc>
        <w:tc>
          <w:tcPr>
            <w:tcW w:w="1619" w:type="dxa"/>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221.89</w:t>
            </w:r>
          </w:p>
        </w:tc>
        <w:tc>
          <w:tcPr>
            <w:tcW w:w="1619" w:type="dxa"/>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4.993</w:t>
            </w:r>
          </w:p>
        </w:tc>
        <w:tc>
          <w:tcPr>
            <w:tcW w:w="162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0.349</w:t>
            </w:r>
          </w:p>
        </w:tc>
        <w:tc>
          <w:tcPr>
            <w:tcW w:w="162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2.743</w:t>
            </w:r>
          </w:p>
        </w:tc>
        <w:tc>
          <w:tcPr>
            <w:tcW w:w="158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84" w:type="dxa"/>
            <w:shd w:val="clear" w:color="auto" w:fill="auto"/>
            <w:vAlign w:val="center"/>
          </w:tcPr>
          <w:p>
            <w:pPr>
              <w:adjustRightInd w:val="0"/>
              <w:snapToGrid w:val="0"/>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准保护区</w:t>
            </w:r>
          </w:p>
        </w:tc>
        <w:tc>
          <w:tcPr>
            <w:tcW w:w="1619" w:type="dxa"/>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211.78</w:t>
            </w:r>
          </w:p>
        </w:tc>
        <w:tc>
          <w:tcPr>
            <w:tcW w:w="1619" w:type="dxa"/>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4.765</w:t>
            </w:r>
          </w:p>
        </w:tc>
        <w:tc>
          <w:tcPr>
            <w:tcW w:w="162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0.334</w:t>
            </w:r>
          </w:p>
        </w:tc>
        <w:tc>
          <w:tcPr>
            <w:tcW w:w="162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2.618</w:t>
            </w:r>
          </w:p>
        </w:tc>
        <w:tc>
          <w:tcPr>
            <w:tcW w:w="158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84" w:type="dxa"/>
            <w:shd w:val="clear" w:color="auto" w:fill="auto"/>
            <w:vAlign w:val="center"/>
          </w:tcPr>
          <w:p>
            <w:pPr>
              <w:adjustRightInd w:val="0"/>
              <w:snapToGrid w:val="0"/>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合计</w:t>
            </w:r>
          </w:p>
        </w:tc>
        <w:tc>
          <w:tcPr>
            <w:tcW w:w="1619" w:type="dxa"/>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433.82</w:t>
            </w:r>
          </w:p>
        </w:tc>
        <w:tc>
          <w:tcPr>
            <w:tcW w:w="1619" w:type="dxa"/>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9.761</w:t>
            </w:r>
          </w:p>
        </w:tc>
        <w:tc>
          <w:tcPr>
            <w:tcW w:w="162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0.683</w:t>
            </w:r>
          </w:p>
        </w:tc>
        <w:tc>
          <w:tcPr>
            <w:tcW w:w="162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5.362</w:t>
            </w:r>
          </w:p>
        </w:tc>
        <w:tc>
          <w:tcPr>
            <w:tcW w:w="158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0.618</w:t>
            </w:r>
          </w:p>
        </w:tc>
      </w:tr>
    </w:tbl>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bookmarkStart w:id="83" w:name="_Toc10729984"/>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4 畜禽养殖污染</w:t>
      </w:r>
      <w:bookmarkEnd w:id="83"/>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经统计，迤佐河水库保护区年末出栏肉猪579头、肉牛38头、肉羊243头。</w:t>
      </w:r>
    </w:p>
    <w:p>
      <w:pPr>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畜禽养殖污染物产生量计算采用产污系数法，其中粪便、尿液量产生系数参照《农业农村部办公厅关于做好畜禽粪污资源化跟踪监测工作的通知（农办牧〔2018〕28号）》中肉猪、肉牛、肉鸡、肉羊标准；COD、NH</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-N、TN、TP产生系数以《第一次全国污染源普查畜禽养殖产排污系数手册》（2008年）西南地区相关参数为依据，大牲畜选用肉牛育肥标准、猪选用生猪育肥标准、家禽采用肉鸡标准，畜禽养殖产污系数见表2.7-6。</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2.7-6</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畜禽养殖污染产生量计算系数</w:t>
      </w:r>
    </w:p>
    <w:tbl>
      <w:tblPr>
        <w:tblStyle w:val="44"/>
        <w:tblW w:w="9650" w:type="dxa"/>
        <w:jc w:val="center"/>
        <w:tblInd w:w="0" w:type="dxa"/>
        <w:tblLayout w:type="fixed"/>
        <w:tblCellMar>
          <w:top w:w="0" w:type="dxa"/>
          <w:left w:w="108" w:type="dxa"/>
          <w:bottom w:w="0" w:type="dxa"/>
          <w:right w:w="108" w:type="dxa"/>
        </w:tblCellMar>
      </w:tblPr>
      <w:tblGrid>
        <w:gridCol w:w="1453"/>
        <w:gridCol w:w="1639"/>
        <w:gridCol w:w="1403"/>
        <w:gridCol w:w="1357"/>
        <w:gridCol w:w="1237"/>
        <w:gridCol w:w="1185"/>
        <w:gridCol w:w="1376"/>
      </w:tblGrid>
      <w:tr>
        <w:tblPrEx>
          <w:tblLayout w:type="fixed"/>
          <w:tblCellMar>
            <w:top w:w="0" w:type="dxa"/>
            <w:left w:w="108" w:type="dxa"/>
            <w:bottom w:w="0" w:type="dxa"/>
            <w:right w:w="108" w:type="dxa"/>
          </w:tblCellMar>
        </w:tblPrEx>
        <w:trPr>
          <w:trHeight w:val="340" w:hRule="atLeast"/>
          <w:tblHeader/>
          <w:jc w:val="center"/>
        </w:trPr>
        <w:tc>
          <w:tcPr>
            <w:tcW w:w="145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种类</w:t>
            </w:r>
          </w:p>
        </w:tc>
        <w:tc>
          <w:tcPr>
            <w:tcW w:w="1639"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粪便</w:t>
            </w:r>
          </w:p>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（kg/天/头、只）</w:t>
            </w:r>
          </w:p>
        </w:tc>
        <w:tc>
          <w:tcPr>
            <w:tcW w:w="1403"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尿液量</w:t>
            </w:r>
          </w:p>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（kg/天/头、只）</w:t>
            </w:r>
          </w:p>
        </w:tc>
        <w:tc>
          <w:tcPr>
            <w:tcW w:w="1357"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COD</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（g/天/头、只）</w:t>
            </w:r>
          </w:p>
        </w:tc>
        <w:tc>
          <w:tcPr>
            <w:tcW w:w="1237"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NH</w:t>
            </w:r>
            <w:r>
              <w:rPr>
                <w:rFonts w:ascii="Times New Roman" w:hAnsi="Times New Roman" w:eastAsia="仿宋"/>
                <w:b/>
                <w:color w:val="0D0D0D" w:themeColor="text1" w:themeTint="F2"/>
                <w:sz w:val="24"/>
                <w:szCs w:val="24"/>
                <w:vertAlign w:val="subscript"/>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-N</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（g/天/头、只）</w:t>
            </w:r>
          </w:p>
        </w:tc>
        <w:tc>
          <w:tcPr>
            <w:tcW w:w="1185"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TN</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（g/天/头、只）</w:t>
            </w:r>
          </w:p>
        </w:tc>
        <w:tc>
          <w:tcPr>
            <w:tcW w:w="1376"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TP</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（g/天/头、只）</w:t>
            </w:r>
          </w:p>
        </w:tc>
      </w:tr>
      <w:tr>
        <w:tblPrEx>
          <w:tblLayout w:type="fixed"/>
          <w:tblCellMar>
            <w:top w:w="0" w:type="dxa"/>
            <w:left w:w="108" w:type="dxa"/>
            <w:bottom w:w="0" w:type="dxa"/>
            <w:right w:w="108" w:type="dxa"/>
          </w:tblCellMar>
        </w:tblPrEx>
        <w:trPr>
          <w:trHeight w:val="340" w:hRule="atLeast"/>
          <w:jc w:val="center"/>
        </w:trPr>
        <w:tc>
          <w:tcPr>
            <w:tcW w:w="145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大牲畜</w:t>
            </w:r>
          </w:p>
        </w:tc>
        <w:tc>
          <w:tcPr>
            <w:tcW w:w="163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12.1</w:t>
            </w:r>
          </w:p>
        </w:tc>
        <w:tc>
          <w:tcPr>
            <w:tcW w:w="140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8.32</w:t>
            </w:r>
          </w:p>
        </w:tc>
        <w:tc>
          <w:tcPr>
            <w:tcW w:w="135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2235.21</w:t>
            </w:r>
          </w:p>
        </w:tc>
        <w:tc>
          <w:tcPr>
            <w:tcW w:w="123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72.87</w:t>
            </w:r>
          </w:p>
        </w:tc>
        <w:tc>
          <w:tcPr>
            <w:tcW w:w="118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104.1</w:t>
            </w:r>
          </w:p>
        </w:tc>
        <w:tc>
          <w:tcPr>
            <w:tcW w:w="13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10.17</w:t>
            </w:r>
          </w:p>
        </w:tc>
      </w:tr>
      <w:tr>
        <w:tblPrEx>
          <w:tblLayout w:type="fixed"/>
          <w:tblCellMar>
            <w:top w:w="0" w:type="dxa"/>
            <w:left w:w="108" w:type="dxa"/>
            <w:bottom w:w="0" w:type="dxa"/>
            <w:right w:w="108" w:type="dxa"/>
          </w:tblCellMar>
        </w:tblPrEx>
        <w:trPr>
          <w:trHeight w:val="340" w:hRule="atLeast"/>
          <w:jc w:val="center"/>
        </w:trPr>
        <w:tc>
          <w:tcPr>
            <w:tcW w:w="145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猪</w:t>
            </w:r>
          </w:p>
        </w:tc>
        <w:tc>
          <w:tcPr>
            <w:tcW w:w="163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w:t>
            </w:r>
          </w:p>
        </w:tc>
        <w:tc>
          <w:tcPr>
            <w:tcW w:w="140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2.53</w:t>
            </w:r>
          </w:p>
        </w:tc>
        <w:tc>
          <w:tcPr>
            <w:tcW w:w="135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403.67</w:t>
            </w:r>
          </w:p>
        </w:tc>
        <w:tc>
          <w:tcPr>
            <w:tcW w:w="123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13.818</w:t>
            </w:r>
          </w:p>
        </w:tc>
        <w:tc>
          <w:tcPr>
            <w:tcW w:w="118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19.74</w:t>
            </w:r>
          </w:p>
        </w:tc>
        <w:tc>
          <w:tcPr>
            <w:tcW w:w="13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4.84</w:t>
            </w:r>
          </w:p>
        </w:tc>
      </w:tr>
      <w:tr>
        <w:tblPrEx>
          <w:tblLayout w:type="fixed"/>
          <w:tblCellMar>
            <w:top w:w="0" w:type="dxa"/>
            <w:left w:w="108" w:type="dxa"/>
            <w:bottom w:w="0" w:type="dxa"/>
            <w:right w:w="108" w:type="dxa"/>
          </w:tblCellMar>
        </w:tblPrEx>
        <w:trPr>
          <w:trHeight w:val="340" w:hRule="atLeast"/>
          <w:jc w:val="center"/>
        </w:trPr>
        <w:tc>
          <w:tcPr>
            <w:tcW w:w="145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羊</w:t>
            </w:r>
          </w:p>
        </w:tc>
        <w:tc>
          <w:tcPr>
            <w:tcW w:w="163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0.69</w:t>
            </w:r>
          </w:p>
        </w:tc>
        <w:tc>
          <w:tcPr>
            <w:tcW w:w="140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0.41</w:t>
            </w:r>
          </w:p>
        </w:tc>
        <w:tc>
          <w:tcPr>
            <w:tcW w:w="135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45.014</w:t>
            </w:r>
          </w:p>
        </w:tc>
        <w:tc>
          <w:tcPr>
            <w:tcW w:w="123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2.186</w:t>
            </w:r>
          </w:p>
        </w:tc>
        <w:tc>
          <w:tcPr>
            <w:tcW w:w="118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3.123</w:t>
            </w:r>
          </w:p>
        </w:tc>
        <w:tc>
          <w:tcPr>
            <w:tcW w:w="13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1.233</w:t>
            </w:r>
          </w:p>
        </w:tc>
      </w:tr>
      <w:tr>
        <w:tblPrEx>
          <w:tblLayout w:type="fixed"/>
          <w:tblCellMar>
            <w:top w:w="0" w:type="dxa"/>
            <w:left w:w="108" w:type="dxa"/>
            <w:bottom w:w="0" w:type="dxa"/>
            <w:right w:w="108" w:type="dxa"/>
          </w:tblCellMar>
        </w:tblPrEx>
        <w:trPr>
          <w:trHeight w:val="340" w:hRule="atLeast"/>
          <w:jc w:val="center"/>
        </w:trPr>
        <w:tc>
          <w:tcPr>
            <w:tcW w:w="145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家禽</w:t>
            </w:r>
          </w:p>
        </w:tc>
        <w:tc>
          <w:tcPr>
            <w:tcW w:w="163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0.06</w:t>
            </w:r>
          </w:p>
        </w:tc>
        <w:tc>
          <w:tcPr>
            <w:tcW w:w="140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35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13.05</w:t>
            </w:r>
          </w:p>
        </w:tc>
        <w:tc>
          <w:tcPr>
            <w:tcW w:w="123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0.497</w:t>
            </w:r>
          </w:p>
        </w:tc>
        <w:tc>
          <w:tcPr>
            <w:tcW w:w="118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0.71</w:t>
            </w:r>
          </w:p>
        </w:tc>
        <w:tc>
          <w:tcPr>
            <w:tcW w:w="13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0.06</w:t>
            </w: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畜禽养殖专业户污染排污系数根据《第一次全国污染源普查畜禽养殖产排污系数手册》（2008年）西南地区相关参数为依据，大牲畜选用肉牛育肥标准、猪选用生猪育肥标准，选取西南地区干清粪工艺系数。畜禽养殖污染物排放经村落环境综合整治，散养流失粪尿土壤净化槽、氧化塘湿地等各种处理工艺处理，确定</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本次核算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综合削减率约为88%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计算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，迤佐河水库保护区范围内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污染物外排量</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为化学需氧量</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14.437</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氨氮0.495</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 xml:space="preserve">总氮0.707 </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t/a、</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总磷0.153</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2.7-7</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迤佐河水库保护区范围内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养殖污染排放情况统计</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1890"/>
        <w:gridCol w:w="1889"/>
        <w:gridCol w:w="1889"/>
        <w:gridCol w:w="1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2093"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w:t>
            </w:r>
          </w:p>
        </w:tc>
        <w:tc>
          <w:tcPr>
            <w:tcW w:w="1890"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88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889"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889"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093"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一级保护区</w:t>
            </w:r>
          </w:p>
        </w:tc>
        <w:tc>
          <w:tcPr>
            <w:tcW w:w="1890"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3.505</w:t>
            </w:r>
          </w:p>
        </w:tc>
        <w:tc>
          <w:tcPr>
            <w:tcW w:w="1889"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0.120</w:t>
            </w:r>
          </w:p>
        </w:tc>
        <w:tc>
          <w:tcPr>
            <w:tcW w:w="1889"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0.172</w:t>
            </w:r>
          </w:p>
        </w:tc>
        <w:tc>
          <w:tcPr>
            <w:tcW w:w="1889"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093"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二级保护区</w:t>
            </w:r>
          </w:p>
        </w:tc>
        <w:tc>
          <w:tcPr>
            <w:tcW w:w="1890"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3.120</w:t>
            </w:r>
          </w:p>
        </w:tc>
        <w:tc>
          <w:tcPr>
            <w:tcW w:w="1889"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0.109</w:t>
            </w:r>
          </w:p>
        </w:tc>
        <w:tc>
          <w:tcPr>
            <w:tcW w:w="1889"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0.156</w:t>
            </w:r>
          </w:p>
        </w:tc>
        <w:tc>
          <w:tcPr>
            <w:tcW w:w="1889"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093"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准保护区</w:t>
            </w:r>
          </w:p>
        </w:tc>
        <w:tc>
          <w:tcPr>
            <w:tcW w:w="1890"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7.811</w:t>
            </w:r>
          </w:p>
        </w:tc>
        <w:tc>
          <w:tcPr>
            <w:tcW w:w="1889"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0.266</w:t>
            </w:r>
          </w:p>
        </w:tc>
        <w:tc>
          <w:tcPr>
            <w:tcW w:w="1889"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0.380</w:t>
            </w:r>
          </w:p>
        </w:tc>
        <w:tc>
          <w:tcPr>
            <w:tcW w:w="1889"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093"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合计</w:t>
            </w:r>
          </w:p>
        </w:tc>
        <w:tc>
          <w:tcPr>
            <w:tcW w:w="1890"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14.437</w:t>
            </w:r>
          </w:p>
        </w:tc>
        <w:tc>
          <w:tcPr>
            <w:tcW w:w="1889"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0.495</w:t>
            </w:r>
          </w:p>
        </w:tc>
        <w:tc>
          <w:tcPr>
            <w:tcW w:w="1889"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0.707</w:t>
            </w:r>
          </w:p>
        </w:tc>
        <w:tc>
          <w:tcPr>
            <w:tcW w:w="1889"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0.153</w:t>
            </w:r>
          </w:p>
        </w:tc>
      </w:tr>
    </w:tbl>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2.5</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 xml:space="preserve"> 水土流失污染</w:t>
      </w:r>
    </w:p>
    <w:p>
      <w:pPr>
        <w:adjustRightInd w:val="0"/>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（1）水土流失现状测算方法</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目前云南省现有的水土流失现状图为2015年遥测成果，本区划通过对保护区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进行卫星影像解译，</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获取植被覆盖度矢量数据，并结合区域地形坡度矢量数据和土地利用现状矢量数据，根据《土壤侵蚀分类分级标准》（SL190-2007）对径流区内不同地类、不同植被覆盖度和不同坡度进行土壤侵蚀分级，分级依据详见下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.7-8。</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2.7-8</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bookmarkStart w:id="84" w:name="_Hlk527891143"/>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不同地面坡度条件下土壤侵蚀等级</w:t>
      </w:r>
      <w:bookmarkEnd w:id="84"/>
    </w:p>
    <w:tbl>
      <w:tblPr>
        <w:tblStyle w:val="45"/>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6"/>
        <w:gridCol w:w="1307"/>
        <w:gridCol w:w="1108"/>
        <w:gridCol w:w="1112"/>
        <w:gridCol w:w="1309"/>
        <w:gridCol w:w="1480"/>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163" w:type="dxa"/>
            <w:gridSpan w:val="2"/>
            <w:tcBorders>
              <w:bottom w:val="single" w:color="auto" w:sz="4" w:space="0"/>
              <w:tl2br w:val="single" w:color="auto" w:sz="4" w:space="0"/>
            </w:tcBorders>
            <w:shd w:val="clear" w:color="auto" w:fill="D8D8D8" w:themeFill="background1" w:themeFillShade="D9"/>
          </w:tcPr>
          <w:p>
            <w:pPr>
              <w:widowControl/>
              <w:snapToGrid w:val="0"/>
              <w:jc w:val="right"/>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地面坡度(°)</w:t>
            </w:r>
          </w:p>
          <w:p>
            <w:pPr>
              <w:widowControl/>
              <w:snapToGrid w:val="0"/>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地类</w:t>
            </w:r>
          </w:p>
        </w:tc>
        <w:tc>
          <w:tcPr>
            <w:tcW w:w="1108"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5</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~8</w:t>
            </w:r>
          </w:p>
        </w:tc>
        <w:tc>
          <w:tcPr>
            <w:tcW w:w="1112"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8</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~15</w:t>
            </w:r>
          </w:p>
        </w:tc>
        <w:tc>
          <w:tcPr>
            <w:tcW w:w="1309"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5~25</w:t>
            </w:r>
          </w:p>
        </w:tc>
        <w:tc>
          <w:tcPr>
            <w:tcW w:w="1480"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5~35</w:t>
            </w:r>
          </w:p>
        </w:tc>
        <w:tc>
          <w:tcPr>
            <w:tcW w:w="1478"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&gt;</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6" w:type="dxa"/>
            <w:vMerge w:val="restart"/>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非耕地</w:t>
            </w:r>
          </w:p>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林草盖度</w:t>
            </w:r>
          </w:p>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07" w:type="dxa"/>
            <w:tcBorders>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0~75</w:t>
            </w:r>
          </w:p>
        </w:tc>
        <w:tc>
          <w:tcPr>
            <w:tcW w:w="3529" w:type="dxa"/>
            <w:gridSpan w:val="3"/>
            <w:tcBorders>
              <w:top w:val="nil"/>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958" w:type="dxa"/>
            <w:gridSpan w:val="2"/>
            <w:tcBorders>
              <w:top w:val="nil"/>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6"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7" w:type="dxa"/>
            <w:tcBorders>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5~60</w:t>
            </w:r>
          </w:p>
        </w:tc>
        <w:tc>
          <w:tcPr>
            <w:tcW w:w="1108" w:type="dxa"/>
            <w:tcBorders>
              <w:top w:val="nil"/>
              <w:left w:val="single" w:color="auto" w:sz="4" w:space="0"/>
              <w:bottom w:val="nil"/>
              <w:right w:val="nil"/>
            </w:tcBorders>
            <w:vAlign w:val="center"/>
          </w:tcPr>
          <w:p>
            <w:pPr>
              <w:widowControl/>
              <w:snapToGrid w:val="0"/>
              <w:jc w:val="righ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轻</w:t>
            </w:r>
          </w:p>
        </w:tc>
        <w:tc>
          <w:tcPr>
            <w:tcW w:w="1112" w:type="dxa"/>
            <w:tcBorders>
              <w:top w:val="nil"/>
              <w:left w:val="nil"/>
              <w:bottom w:val="single" w:color="auto" w:sz="4" w:space="0"/>
              <w:right w:val="single" w:color="auto" w:sz="4" w:space="0"/>
            </w:tcBorders>
            <w:vAlign w:val="center"/>
          </w:tcPr>
          <w:p>
            <w:pPr>
              <w:widowControl/>
              <w:snapToGrid w:val="0"/>
              <w:ind w:firstLine="120" w:firstLineChars="50"/>
              <w:jc w:val="lef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度</w:t>
            </w:r>
          </w:p>
        </w:tc>
        <w:tc>
          <w:tcPr>
            <w:tcW w:w="1309" w:type="dxa"/>
            <w:tcBorders>
              <w:top w:val="single" w:color="auto" w:sz="4" w:space="0"/>
              <w:left w:val="single" w:color="auto" w:sz="4" w:space="0"/>
              <w:bottom w:val="nil"/>
              <w:right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80" w:type="dxa"/>
            <w:tcBorders>
              <w:top w:val="nil"/>
              <w:left w:val="nil"/>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78"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强烈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6"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7" w:type="dxa"/>
            <w:tcBorders>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0~45</w:t>
            </w:r>
          </w:p>
        </w:tc>
        <w:tc>
          <w:tcPr>
            <w:tcW w:w="1108" w:type="dxa"/>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12" w:type="dxa"/>
            <w:tcBorders>
              <w:top w:val="single" w:color="auto" w:sz="4" w:space="0"/>
              <w:left w:val="single" w:color="auto" w:sz="4" w:space="0"/>
              <w:bottom w:val="nil"/>
              <w:right w:val="nil"/>
            </w:tcBorders>
            <w:vAlign w:val="center"/>
          </w:tcPr>
          <w:p>
            <w:pPr>
              <w:widowControl/>
              <w:snapToGrid w:val="0"/>
              <w:jc w:val="righ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中</w:t>
            </w:r>
          </w:p>
        </w:tc>
        <w:tc>
          <w:tcPr>
            <w:tcW w:w="1309" w:type="dxa"/>
            <w:tcBorders>
              <w:top w:val="nil"/>
              <w:left w:val="nil"/>
              <w:bottom w:val="single" w:color="auto" w:sz="4" w:space="0"/>
              <w:right w:val="single" w:color="auto" w:sz="4" w:space="0"/>
            </w:tcBorders>
            <w:vAlign w:val="center"/>
          </w:tcPr>
          <w:p>
            <w:pPr>
              <w:widowControl/>
              <w:snapToGrid w:val="0"/>
              <w:jc w:val="lef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度</w:t>
            </w:r>
          </w:p>
        </w:tc>
        <w:tc>
          <w:tcPr>
            <w:tcW w:w="1480"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强烈</w:t>
            </w:r>
          </w:p>
        </w:tc>
        <w:tc>
          <w:tcPr>
            <w:tcW w:w="1478"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极强烈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6"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7" w:type="dxa"/>
            <w:tcBorders>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&lt;</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30</w:t>
            </w:r>
          </w:p>
        </w:tc>
        <w:tc>
          <w:tcPr>
            <w:tcW w:w="1108" w:type="dxa"/>
            <w:tcBorders>
              <w:top w:val="single" w:color="auto" w:sz="4" w:space="0"/>
              <w:left w:val="single" w:color="auto" w:sz="4" w:space="0"/>
              <w:bottom w:val="single" w:color="auto" w:sz="4" w:space="0"/>
              <w:right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12" w:type="dxa"/>
            <w:tcBorders>
              <w:top w:val="nil"/>
              <w:left w:val="nil"/>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9" w:type="dxa"/>
            <w:vMerge w:val="restart"/>
            <w:tcBorders>
              <w:top w:val="single" w:color="auto" w:sz="4" w:space="0"/>
              <w:left w:val="single" w:color="auto" w:sz="4" w:space="0"/>
              <w:bottom w:val="nil"/>
              <w:right w:val="single" w:color="auto" w:sz="4" w:space="0"/>
            </w:tcBorders>
            <w:vAlign w:val="center"/>
          </w:tcPr>
          <w:p>
            <w:pPr>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强烈</w:t>
            </w:r>
          </w:p>
        </w:tc>
        <w:tc>
          <w:tcPr>
            <w:tcW w:w="1480" w:type="dxa"/>
            <w:vMerge w:val="restart"/>
            <w:tcBorders>
              <w:top w:val="single" w:color="auto" w:sz="4" w:space="0"/>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极剧烈</w:t>
            </w:r>
          </w:p>
        </w:tc>
        <w:tc>
          <w:tcPr>
            <w:tcW w:w="1478" w:type="dxa"/>
            <w:vMerge w:val="restart"/>
            <w:tcBorders>
              <w:top w:val="single" w:color="auto" w:sz="4" w:space="0"/>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剧烈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163" w:type="dxa"/>
            <w:gridSpan w:val="2"/>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坡耕地</w:t>
            </w:r>
          </w:p>
        </w:tc>
        <w:tc>
          <w:tcPr>
            <w:tcW w:w="1108" w:type="dxa"/>
            <w:tcBorders>
              <w:top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轻度</w:t>
            </w:r>
          </w:p>
        </w:tc>
        <w:tc>
          <w:tcPr>
            <w:tcW w:w="1112" w:type="dxa"/>
            <w:tcBorders>
              <w:top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中度</w:t>
            </w:r>
          </w:p>
        </w:tc>
        <w:tc>
          <w:tcPr>
            <w:tcW w:w="1309" w:type="dxa"/>
            <w:vMerge w:val="continue"/>
            <w:tcBorders>
              <w:top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80" w:type="dxa"/>
            <w:vMerge w:val="continue"/>
            <w:tcBorders>
              <w:top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78" w:type="dxa"/>
            <w:vMerge w:val="continue"/>
            <w:tcBorders>
              <w:top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利用GIS技术，对保护区范围进行土壤侵蚀分级后，结合富源县土壤侵蚀情况，确定各侵蚀强度、坡度和地类情景下的土壤侵蚀模数，从而计算迤佐河水库的平均侵蚀模数和年均土壤流失量。区域土壤侵蚀模数分级见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.7-9。</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不同土壤侵蚀等级的土壤侵蚀模数</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7"/>
        <w:gridCol w:w="1280"/>
        <w:gridCol w:w="1280"/>
        <w:gridCol w:w="1458"/>
        <w:gridCol w:w="3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2527"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土地利用类型</w:t>
            </w:r>
          </w:p>
        </w:tc>
        <w:tc>
          <w:tcPr>
            <w:tcW w:w="1280"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坡度</w:t>
            </w:r>
          </w:p>
        </w:tc>
        <w:tc>
          <w:tcPr>
            <w:tcW w:w="1280"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土壤侵蚀等级</w:t>
            </w:r>
          </w:p>
        </w:tc>
        <w:tc>
          <w:tcPr>
            <w:tcW w:w="1458"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土壤侵蚀模数</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（t/km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w:t>
            </w:r>
          </w:p>
        </w:tc>
        <w:tc>
          <w:tcPr>
            <w:tcW w:w="3105"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取值依据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有林地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灌木林地</w:t>
            </w:r>
          </w:p>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疏林地</w:t>
            </w:r>
          </w:p>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果园</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林草覆盖度60~75%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轻度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中度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荒草地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林草覆盖度45~60%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5~15°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轻度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15°~35°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中度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强烈</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旱地（坡）</w:t>
            </w:r>
          </w:p>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独立工可用地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5~8°</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轻度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left"/>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8°~25°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中度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left"/>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强烈</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灌溉水田梯坪地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林草覆盖度一般＜30%，坡度一般小于5°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shd w:val="clear" w:color="auto" w:fill="auto"/>
            <w:vAlign w:val="center"/>
          </w:tcPr>
          <w:p>
            <w:pPr>
              <w:widowControl/>
              <w:ind w:left="-141" w:leftChars="-67" w:right="-101" w:rightChars="-48"/>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水域及水利设施用地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村镇建设用地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r>
    </w:tbl>
    <w:p>
      <w:pPr>
        <w:adjustRightInd w:val="0"/>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（2）迤佐河水库</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范围内水土流失现状</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根据解译成果，</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迤佐河水库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范围总面积</w:t>
      </w:r>
      <w:bookmarkStart w:id="85" w:name="_Hlk20347912"/>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1118.80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bookmarkEnd w:id="85"/>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，其中无明显侵蚀面积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224.08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20.03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水土流失面积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894.72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79.97</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%，其中轻度侵蚀面积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298.27</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33.34</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中度侵蚀面积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489.08h</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54.66</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强烈侵蚀面积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104.38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11.67</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极强烈侵蚀面积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2.99</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0.33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采用加权平均法计算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平均</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土壤侵蚀模数为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2416.09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t/（km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•a），年均土壤流失量约</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27031.22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t/a。</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2.7-10</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迤佐河水库保护区范围内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土壤侵蚀现状统计表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720"/>
        <w:gridCol w:w="1247"/>
        <w:gridCol w:w="1702"/>
        <w:gridCol w:w="1274"/>
        <w:gridCol w:w="1417"/>
        <w:gridCol w:w="1278"/>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trPr>
        <w:tc>
          <w:tcPr>
            <w:tcW w:w="4363" w:type="dxa"/>
            <w:gridSpan w:val="4"/>
            <w:vMerge w:val="restart"/>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w:t>
            </w:r>
          </w:p>
        </w:tc>
        <w:tc>
          <w:tcPr>
            <w:tcW w:w="5287" w:type="dxa"/>
            <w:gridSpan w:val="4"/>
            <w:shd w:val="clear" w:color="auto" w:fill="D8D8D8" w:themeFill="background1" w:themeFillShade="D9"/>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迤佐河水库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trPr>
        <w:tc>
          <w:tcPr>
            <w:tcW w:w="4363" w:type="dxa"/>
            <w:gridSpan w:val="4"/>
            <w:vMerge w:val="continue"/>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4"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一级保护区</w:t>
            </w:r>
          </w:p>
        </w:tc>
        <w:tc>
          <w:tcPr>
            <w:tcW w:w="1417"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二级保护区</w:t>
            </w:r>
          </w:p>
        </w:tc>
        <w:tc>
          <w:tcPr>
            <w:tcW w:w="1278"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准保护区</w:t>
            </w:r>
          </w:p>
        </w:tc>
        <w:tc>
          <w:tcPr>
            <w:tcW w:w="1318"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363" w:type="dxa"/>
            <w:gridSpan w:val="4"/>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总面积（</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27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79.56</w:t>
            </w:r>
          </w:p>
        </w:tc>
        <w:tc>
          <w:tcPr>
            <w:tcW w:w="141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587.46</w:t>
            </w:r>
          </w:p>
        </w:tc>
        <w:tc>
          <w:tcPr>
            <w:tcW w:w="1278" w:type="dxa"/>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451.78</w:t>
            </w:r>
          </w:p>
        </w:tc>
        <w:tc>
          <w:tcPr>
            <w:tcW w:w="1318"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1118.80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661" w:type="dxa"/>
            <w:gridSpan w:val="3"/>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无明显侵蚀</w:t>
            </w:r>
          </w:p>
        </w:tc>
        <w:tc>
          <w:tcPr>
            <w:tcW w:w="170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27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32.87</w:t>
            </w:r>
          </w:p>
        </w:tc>
        <w:tc>
          <w:tcPr>
            <w:tcW w:w="141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73.91</w:t>
            </w:r>
          </w:p>
        </w:tc>
        <w:tc>
          <w:tcPr>
            <w:tcW w:w="1278" w:type="dxa"/>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117.30</w:t>
            </w:r>
          </w:p>
        </w:tc>
        <w:tc>
          <w:tcPr>
            <w:tcW w:w="1318"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661" w:type="dxa"/>
            <w:gridSpan w:val="3"/>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70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占区域面积%</w:t>
            </w:r>
          </w:p>
        </w:tc>
        <w:tc>
          <w:tcPr>
            <w:tcW w:w="127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41.32</w:t>
            </w:r>
          </w:p>
        </w:tc>
        <w:tc>
          <w:tcPr>
            <w:tcW w:w="141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12.58</w:t>
            </w:r>
          </w:p>
        </w:tc>
        <w:tc>
          <w:tcPr>
            <w:tcW w:w="1278" w:type="dxa"/>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25.96</w:t>
            </w:r>
          </w:p>
        </w:tc>
        <w:tc>
          <w:tcPr>
            <w:tcW w:w="1318"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694"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土壤侵蚀</w:t>
            </w:r>
          </w:p>
        </w:tc>
        <w:tc>
          <w:tcPr>
            <w:tcW w:w="1967" w:type="dxa"/>
            <w:gridSpan w:val="2"/>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总体情况</w:t>
            </w:r>
          </w:p>
        </w:tc>
        <w:tc>
          <w:tcPr>
            <w:tcW w:w="170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27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46.69</w:t>
            </w:r>
          </w:p>
        </w:tc>
        <w:tc>
          <w:tcPr>
            <w:tcW w:w="141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513.55</w:t>
            </w:r>
          </w:p>
        </w:tc>
        <w:tc>
          <w:tcPr>
            <w:tcW w:w="1278" w:type="dxa"/>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334.48</w:t>
            </w:r>
          </w:p>
        </w:tc>
        <w:tc>
          <w:tcPr>
            <w:tcW w:w="1318"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894.72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694"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967" w:type="dxa"/>
            <w:gridSpan w:val="2"/>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70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占区域面积%</w:t>
            </w:r>
          </w:p>
        </w:tc>
        <w:tc>
          <w:tcPr>
            <w:tcW w:w="127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58.68</w:t>
            </w:r>
          </w:p>
        </w:tc>
        <w:tc>
          <w:tcPr>
            <w:tcW w:w="141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87.42</w:t>
            </w:r>
          </w:p>
        </w:tc>
        <w:tc>
          <w:tcPr>
            <w:tcW w:w="1278" w:type="dxa"/>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74.04</w:t>
            </w:r>
          </w:p>
        </w:tc>
        <w:tc>
          <w:tcPr>
            <w:tcW w:w="1318"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694"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720"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强度分级</w:t>
            </w:r>
          </w:p>
        </w:tc>
        <w:tc>
          <w:tcPr>
            <w:tcW w:w="1247"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highlight w:val="yellow"/>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轻度流失</w:t>
            </w:r>
          </w:p>
        </w:tc>
        <w:tc>
          <w:tcPr>
            <w:tcW w:w="170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highlight w:val="yellow"/>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27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6.38</w:t>
            </w:r>
          </w:p>
        </w:tc>
        <w:tc>
          <w:tcPr>
            <w:tcW w:w="141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163.57</w:t>
            </w:r>
          </w:p>
        </w:tc>
        <w:tc>
          <w:tcPr>
            <w:tcW w:w="1278" w:type="dxa"/>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128.33</w:t>
            </w:r>
          </w:p>
        </w:tc>
        <w:tc>
          <w:tcPr>
            <w:tcW w:w="1318"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298.27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694"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720"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47"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highlight w:val="yellow"/>
                <w14:textFill>
                  <w14:solidFill>
                    <w14:schemeClr w14:val="tx1">
                      <w14:lumMod w14:val="95000"/>
                      <w14:lumOff w14:val="5000"/>
                    </w14:schemeClr>
                  </w14:solidFill>
                </w14:textFill>
              </w:rPr>
            </w:pPr>
          </w:p>
        </w:tc>
        <w:tc>
          <w:tcPr>
            <w:tcW w:w="170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highlight w:val="yellow"/>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27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13.66</w:t>
            </w:r>
          </w:p>
        </w:tc>
        <w:tc>
          <w:tcPr>
            <w:tcW w:w="141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31.85</w:t>
            </w:r>
          </w:p>
        </w:tc>
        <w:tc>
          <w:tcPr>
            <w:tcW w:w="1278" w:type="dxa"/>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38.37</w:t>
            </w:r>
          </w:p>
        </w:tc>
        <w:tc>
          <w:tcPr>
            <w:tcW w:w="1318"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694"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720"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47"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中度流失</w:t>
            </w:r>
          </w:p>
        </w:tc>
        <w:tc>
          <w:tcPr>
            <w:tcW w:w="170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27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35.89</w:t>
            </w:r>
          </w:p>
        </w:tc>
        <w:tc>
          <w:tcPr>
            <w:tcW w:w="141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273.21</w:t>
            </w:r>
          </w:p>
        </w:tc>
        <w:tc>
          <w:tcPr>
            <w:tcW w:w="1278" w:type="dxa"/>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179.98</w:t>
            </w:r>
          </w:p>
        </w:tc>
        <w:tc>
          <w:tcPr>
            <w:tcW w:w="1318"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489.08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694"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720"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47"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70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27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76.86</w:t>
            </w:r>
          </w:p>
        </w:tc>
        <w:tc>
          <w:tcPr>
            <w:tcW w:w="141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53.20</w:t>
            </w:r>
          </w:p>
        </w:tc>
        <w:tc>
          <w:tcPr>
            <w:tcW w:w="1278" w:type="dxa"/>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53.81</w:t>
            </w:r>
          </w:p>
        </w:tc>
        <w:tc>
          <w:tcPr>
            <w:tcW w:w="1318"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694"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720"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47"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强烈流失</w:t>
            </w:r>
          </w:p>
        </w:tc>
        <w:tc>
          <w:tcPr>
            <w:tcW w:w="170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27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4.05</w:t>
            </w:r>
          </w:p>
        </w:tc>
        <w:tc>
          <w:tcPr>
            <w:tcW w:w="141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74.17</w:t>
            </w:r>
          </w:p>
        </w:tc>
        <w:tc>
          <w:tcPr>
            <w:tcW w:w="1278" w:type="dxa"/>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26.17</w:t>
            </w:r>
          </w:p>
        </w:tc>
        <w:tc>
          <w:tcPr>
            <w:tcW w:w="1318"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694"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720"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47"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70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27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8.67</w:t>
            </w:r>
          </w:p>
        </w:tc>
        <w:tc>
          <w:tcPr>
            <w:tcW w:w="141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14.44</w:t>
            </w:r>
          </w:p>
        </w:tc>
        <w:tc>
          <w:tcPr>
            <w:tcW w:w="1278" w:type="dxa"/>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7.82</w:t>
            </w:r>
          </w:p>
        </w:tc>
        <w:tc>
          <w:tcPr>
            <w:tcW w:w="1318"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694"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720"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47" w:type="dxa"/>
            <w:vMerge w:val="restart"/>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极</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强烈流失</w:t>
            </w:r>
          </w:p>
        </w:tc>
        <w:tc>
          <w:tcPr>
            <w:tcW w:w="170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27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0.38</w:t>
            </w:r>
          </w:p>
        </w:tc>
        <w:tc>
          <w:tcPr>
            <w:tcW w:w="141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2.61</w:t>
            </w:r>
          </w:p>
        </w:tc>
        <w:tc>
          <w:tcPr>
            <w:tcW w:w="1278" w:type="dxa"/>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318"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694"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720"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47"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70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27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0.81</w:t>
            </w:r>
          </w:p>
        </w:tc>
        <w:tc>
          <w:tcPr>
            <w:tcW w:w="141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0.51</w:t>
            </w:r>
          </w:p>
        </w:tc>
        <w:tc>
          <w:tcPr>
            <w:tcW w:w="1278" w:type="dxa"/>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318"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363" w:type="dxa"/>
            <w:gridSpan w:val="4"/>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平均土壤侵蚀模数（t/km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w:t>
            </w:r>
          </w:p>
        </w:tc>
        <w:tc>
          <w:tcPr>
            <w:tcW w:w="127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1977.58</w:t>
            </w:r>
          </w:p>
        </w:tc>
        <w:tc>
          <w:tcPr>
            <w:tcW w:w="141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2735.59</w:t>
            </w:r>
          </w:p>
        </w:tc>
        <w:tc>
          <w:tcPr>
            <w:tcW w:w="1278" w:type="dxa"/>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2077.87</w:t>
            </w:r>
          </w:p>
        </w:tc>
        <w:tc>
          <w:tcPr>
            <w:tcW w:w="1318"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2416.09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363" w:type="dxa"/>
            <w:gridSpan w:val="4"/>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年均土壤流失量（t/a）</w:t>
            </w:r>
          </w:p>
        </w:tc>
        <w:tc>
          <w:tcPr>
            <w:tcW w:w="127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1573.37</w:t>
            </w:r>
          </w:p>
        </w:tc>
        <w:tc>
          <w:tcPr>
            <w:tcW w:w="141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16070.46</w:t>
            </w:r>
          </w:p>
        </w:tc>
        <w:tc>
          <w:tcPr>
            <w:tcW w:w="1278" w:type="dxa"/>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9387.39</w:t>
            </w:r>
          </w:p>
        </w:tc>
        <w:tc>
          <w:tcPr>
            <w:tcW w:w="1318"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27031.22</w:t>
            </w:r>
          </w:p>
        </w:tc>
      </w:tr>
    </w:tbl>
    <w:p>
      <w:pPr>
        <w:adjustRightInd w:val="0"/>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（3）水土流失污染物入库量</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迤佐河水库保护区内水土流失现状，对保护区范围内的土壤氮磷含量进行综合分析，流失土壤中总氮含量取1.32g/kg，总磷含量取19.30mg/kg，化学需氧量含量取2.13%，按照20%的淋溶率计算水土流失污染物入库量。迤佐河水库保护区范围内水土流失污染物入库量，如下表2.7-11。</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2.7-12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迤佐河水库</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水土流失入库量估算</w:t>
      </w:r>
    </w:p>
    <w:tbl>
      <w:tblPr>
        <w:tblStyle w:val="44"/>
        <w:tblW w:w="9650" w:type="dxa"/>
        <w:tblInd w:w="0" w:type="dxa"/>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
      <w:tblGrid>
        <w:gridCol w:w="1790"/>
        <w:gridCol w:w="2044"/>
        <w:gridCol w:w="1922"/>
        <w:gridCol w:w="1343"/>
        <w:gridCol w:w="1343"/>
        <w:gridCol w:w="1208"/>
      </w:tblGrid>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Ex>
        <w:trPr>
          <w:trHeight w:val="284" w:hRule="atLeast"/>
          <w:tblHeader/>
        </w:trPr>
        <w:tc>
          <w:tcPr>
            <w:tcW w:w="1790"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保护区</w:t>
            </w:r>
          </w:p>
        </w:tc>
        <w:tc>
          <w:tcPr>
            <w:tcW w:w="2044"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平均土壤侵蚀模数（t/km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w:t>
            </w:r>
          </w:p>
        </w:tc>
        <w:tc>
          <w:tcPr>
            <w:tcW w:w="1922"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年均土壤流失量（t/a）</w:t>
            </w:r>
          </w:p>
        </w:tc>
        <w:tc>
          <w:tcPr>
            <w:tcW w:w="1343"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COD</w:t>
            </w:r>
          </w:p>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（t/a）</w:t>
            </w:r>
          </w:p>
        </w:tc>
        <w:tc>
          <w:tcPr>
            <w:tcW w:w="1343"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TN</w:t>
            </w:r>
          </w:p>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（t/a）</w:t>
            </w:r>
          </w:p>
        </w:tc>
        <w:tc>
          <w:tcPr>
            <w:tcW w:w="1208"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TP</w:t>
            </w:r>
          </w:p>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（t/a）</w:t>
            </w:r>
          </w:p>
        </w:tc>
      </w:tr>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Ex>
        <w:trPr>
          <w:trHeight w:val="284" w:hRule="atLeast"/>
        </w:trPr>
        <w:tc>
          <w:tcPr>
            <w:tcW w:w="1790"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一级保护区</w:t>
            </w:r>
          </w:p>
        </w:tc>
        <w:tc>
          <w:tcPr>
            <w:tcW w:w="2044"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1977.58</w:t>
            </w:r>
          </w:p>
        </w:tc>
        <w:tc>
          <w:tcPr>
            <w:tcW w:w="19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1573.37</w:t>
            </w:r>
          </w:p>
        </w:tc>
        <w:tc>
          <w:tcPr>
            <w:tcW w:w="1343"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6.703</w:t>
            </w:r>
          </w:p>
        </w:tc>
        <w:tc>
          <w:tcPr>
            <w:tcW w:w="134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0.415</w:t>
            </w:r>
          </w:p>
        </w:tc>
        <w:tc>
          <w:tcPr>
            <w:tcW w:w="1208"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0.006</w:t>
            </w:r>
          </w:p>
        </w:tc>
      </w:tr>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Ex>
        <w:trPr>
          <w:trHeight w:val="284" w:hRule="atLeast"/>
        </w:trPr>
        <w:tc>
          <w:tcPr>
            <w:tcW w:w="1790"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二级保护区</w:t>
            </w:r>
          </w:p>
        </w:tc>
        <w:tc>
          <w:tcPr>
            <w:tcW w:w="2044"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2735.59</w:t>
            </w:r>
          </w:p>
        </w:tc>
        <w:tc>
          <w:tcPr>
            <w:tcW w:w="19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16070.46</w:t>
            </w:r>
          </w:p>
        </w:tc>
        <w:tc>
          <w:tcPr>
            <w:tcW w:w="1343"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68.460</w:t>
            </w:r>
          </w:p>
        </w:tc>
        <w:tc>
          <w:tcPr>
            <w:tcW w:w="134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4.243</w:t>
            </w:r>
          </w:p>
        </w:tc>
        <w:tc>
          <w:tcPr>
            <w:tcW w:w="1208"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0.062</w:t>
            </w:r>
          </w:p>
        </w:tc>
      </w:tr>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Ex>
        <w:trPr>
          <w:trHeight w:val="284" w:hRule="atLeast"/>
        </w:trPr>
        <w:tc>
          <w:tcPr>
            <w:tcW w:w="1790"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准保护区</w:t>
            </w:r>
          </w:p>
        </w:tc>
        <w:tc>
          <w:tcPr>
            <w:tcW w:w="2044"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2077.87</w:t>
            </w:r>
          </w:p>
        </w:tc>
        <w:tc>
          <w:tcPr>
            <w:tcW w:w="19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9387.39</w:t>
            </w:r>
          </w:p>
        </w:tc>
        <w:tc>
          <w:tcPr>
            <w:tcW w:w="1343"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39.990</w:t>
            </w:r>
          </w:p>
        </w:tc>
        <w:tc>
          <w:tcPr>
            <w:tcW w:w="134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2.478</w:t>
            </w:r>
          </w:p>
        </w:tc>
        <w:tc>
          <w:tcPr>
            <w:tcW w:w="1208"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0.036</w:t>
            </w:r>
          </w:p>
        </w:tc>
      </w:tr>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Ex>
        <w:trPr>
          <w:trHeight w:val="284" w:hRule="atLeast"/>
        </w:trPr>
        <w:tc>
          <w:tcPr>
            <w:tcW w:w="1790"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合计</w:t>
            </w:r>
          </w:p>
        </w:tc>
        <w:tc>
          <w:tcPr>
            <w:tcW w:w="2044"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2416.09</w:t>
            </w:r>
          </w:p>
        </w:tc>
        <w:tc>
          <w:tcPr>
            <w:tcW w:w="19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27031.22</w:t>
            </w:r>
          </w:p>
        </w:tc>
        <w:tc>
          <w:tcPr>
            <w:tcW w:w="1343"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115.153</w:t>
            </w:r>
          </w:p>
        </w:tc>
        <w:tc>
          <w:tcPr>
            <w:tcW w:w="134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7.136</w:t>
            </w:r>
          </w:p>
        </w:tc>
        <w:tc>
          <w:tcPr>
            <w:tcW w:w="1208"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0.104</w:t>
            </w:r>
          </w:p>
        </w:tc>
      </w:tr>
    </w:tbl>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86" w:name="_Toc18506528"/>
      <w:bookmarkStart w:id="87" w:name="_Toc25679063"/>
      <w:bookmarkStart w:id="88" w:name="_Toc27520671"/>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bookmarkEnd w:id="86"/>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流动源</w:t>
      </w:r>
      <w:bookmarkEnd w:id="87"/>
      <w:bookmarkEnd w:id="88"/>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迤佐河水库保护区范围内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省道、县道、乡道及连接各自然村道路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穿过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一级保护区、二级保护区、准保护区内均有分布。其中，一级保护内省道S213主要沿一级保护区陆域边界，长约2.67km；县道X152沿一级保护区陆域长约0.44km；其他乡村道路穿越路段长约0.64km。二级保护区内省道S213穿越路段长约0.70km；县道152穿越路段长约0.55km，其他连接保护区内各自然村的道路长约2.31km。准保护区内省道S213穿越路段长约1.07km，县道穿越路段长约1.93km，其他连接自然村的道路长约2.76km</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。迤佐河水库保护区范围内自然村分布较多，连接各自然村的道路较长，且有省道、县道穿越，道路风险较大，应加强交通运输环境风险防控。</w:t>
      </w:r>
    </w:p>
    <w:bookmarkEnd w:id="77"/>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89" w:name="_Toc18506529"/>
      <w:bookmarkStart w:id="90" w:name="_Toc25679064"/>
      <w:bookmarkStart w:id="91" w:name="_Toc27520672"/>
      <w:bookmarkStart w:id="92" w:name="_Toc12621594"/>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4</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污染源汇总</w:t>
      </w:r>
      <w:bookmarkEnd w:id="89"/>
      <w:bookmarkEnd w:id="90"/>
      <w:bookmarkEnd w:id="91"/>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综合以上</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统计分析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，迤佐河水库各级保护区内各类污染源情况见表2.7-13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从各级保护区分析，二级保护区、准保护区内化学需氧量、氨氮、总氮、总磷排放量占比较大，其中二级保护区内主要污染物排放量占比在34.45%~51.11%之间，准保护区内主要污染物排放量占比在43.80%~55.41%。一级保护区内各类污染物排放量在5.08%~10.14%之间。二级保护区及准保护区内污染源分布较多，污染物排放量较大。</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从各污染源分析，在一级保护区，化学需氧量主要污染源是水土流失、畜禽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养殖</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，贡献率分别达到</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44.14%、23.08%；氨氮主要污染源是畜禽养殖、农村生活垃圾，贡献率分别达到60.82%、33.37%；总氮主要污染源是水土流失、农业种植，贡献率分别达到54.97%、22.70%；总磷主要污染源是农村生活垃圾、畜禽养殖，贡献率分别达到38.21%、30.17%</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在二级保护区，化学需氧量主要污染源是水土流失，贡献率为75.85%；氨氮主要污染源是农业种植、农村生活垃圾，贡献率分别达到52.10%、27.03%；总氮主要污染源是水土流失、农业种植，贡献率分别达到55.82%、36.09%；总磷主要污染源是农业种植、农村生活垃圾，贡献率分别达到51.11%、19.96%。</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在准保护区，化学需氧量主要污染源是水土流失、农村生活污水，贡献率分别达到60.94%、14.56%；氨氮主要污染源是农业种植、农村生活垃圾，贡献率分别达到35.09%、33.74%；总氮主要污染源是水土流失、农业种植，贡献率分别达到47.99%、36.06%；总磷主要污染源是农业种植、农村生活垃圾，贡献率分别达到37.92%、27.44%。</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综上分析，迤佐河水库保护区范围内水污染防治重点为农业种植、水土流失，</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其次是农村生活污染源。</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2.7-13</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迤佐河水库保护区范围内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污染源</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汇总</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974"/>
        <w:gridCol w:w="1793"/>
        <w:gridCol w:w="1764"/>
        <w:gridCol w:w="1368"/>
        <w:gridCol w:w="1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blHeader/>
        </w:trPr>
        <w:tc>
          <w:tcPr>
            <w:tcW w:w="1417"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w:t>
            </w:r>
          </w:p>
        </w:tc>
        <w:tc>
          <w:tcPr>
            <w:tcW w:w="1974"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污染源构成</w:t>
            </w:r>
          </w:p>
        </w:tc>
        <w:tc>
          <w:tcPr>
            <w:tcW w:w="1793"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COD（t/a）</w:t>
            </w:r>
          </w:p>
        </w:tc>
        <w:tc>
          <w:tcPr>
            <w:tcW w:w="1764"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-N（t/a）</w:t>
            </w:r>
          </w:p>
        </w:tc>
        <w:tc>
          <w:tcPr>
            <w:tcW w:w="1368"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TN（t/a）</w:t>
            </w:r>
          </w:p>
        </w:tc>
        <w:tc>
          <w:tcPr>
            <w:tcW w:w="1334"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TP（t/a）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restart"/>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一级保护区</w:t>
            </w: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农村生活污水</w:t>
            </w:r>
          </w:p>
        </w:tc>
        <w:tc>
          <w:tcPr>
            <w:tcW w:w="1793"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2.758</w:t>
            </w:r>
          </w:p>
        </w:tc>
        <w:tc>
          <w:tcPr>
            <w:tcW w:w="176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0.011</w:t>
            </w:r>
          </w:p>
        </w:tc>
        <w:tc>
          <w:tcPr>
            <w:tcW w:w="136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0.056</w:t>
            </w:r>
          </w:p>
        </w:tc>
        <w:tc>
          <w:tcPr>
            <w:tcW w:w="133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农村生活垃圾</w:t>
            </w:r>
          </w:p>
        </w:tc>
        <w:tc>
          <w:tcPr>
            <w:tcW w:w="1793"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2.215</w:t>
            </w:r>
          </w:p>
        </w:tc>
        <w:tc>
          <w:tcPr>
            <w:tcW w:w="176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0.066</w:t>
            </w:r>
          </w:p>
        </w:tc>
        <w:tc>
          <w:tcPr>
            <w:tcW w:w="136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0.111</w:t>
            </w:r>
          </w:p>
        </w:tc>
        <w:tc>
          <w:tcPr>
            <w:tcW w:w="133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农业种植</w:t>
            </w:r>
          </w:p>
        </w:tc>
        <w:tc>
          <w:tcPr>
            <w:tcW w:w="1793"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0.003</w:t>
            </w:r>
          </w:p>
        </w:tc>
        <w:tc>
          <w:tcPr>
            <w:tcW w:w="1764" w:type="dxa"/>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0.000</w:t>
            </w:r>
          </w:p>
        </w:tc>
        <w:tc>
          <w:tcPr>
            <w:tcW w:w="1368" w:type="dxa"/>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0.002</w:t>
            </w:r>
          </w:p>
        </w:tc>
        <w:tc>
          <w:tcPr>
            <w:tcW w:w="1334" w:type="dxa"/>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畜禽养殖</w:t>
            </w:r>
          </w:p>
        </w:tc>
        <w:tc>
          <w:tcPr>
            <w:tcW w:w="1793"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3.505</w:t>
            </w:r>
          </w:p>
        </w:tc>
        <w:tc>
          <w:tcPr>
            <w:tcW w:w="176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0.120</w:t>
            </w:r>
          </w:p>
        </w:tc>
        <w:tc>
          <w:tcPr>
            <w:tcW w:w="136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0.172</w:t>
            </w:r>
          </w:p>
        </w:tc>
        <w:tc>
          <w:tcPr>
            <w:tcW w:w="133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水土流失</w:t>
            </w:r>
          </w:p>
        </w:tc>
        <w:tc>
          <w:tcPr>
            <w:tcW w:w="1793" w:type="dxa"/>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6.703</w:t>
            </w:r>
          </w:p>
        </w:tc>
        <w:tc>
          <w:tcPr>
            <w:tcW w:w="176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0.000</w:t>
            </w:r>
          </w:p>
        </w:tc>
        <w:tc>
          <w:tcPr>
            <w:tcW w:w="136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0.415</w:t>
            </w:r>
          </w:p>
        </w:tc>
        <w:tc>
          <w:tcPr>
            <w:tcW w:w="133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小计</w:t>
            </w:r>
          </w:p>
        </w:tc>
        <w:tc>
          <w:tcPr>
            <w:tcW w:w="1793"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15.184</w:t>
            </w:r>
          </w:p>
        </w:tc>
        <w:tc>
          <w:tcPr>
            <w:tcW w:w="176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0.197</w:t>
            </w:r>
          </w:p>
        </w:tc>
        <w:tc>
          <w:tcPr>
            <w:tcW w:w="136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0.756</w:t>
            </w:r>
          </w:p>
        </w:tc>
        <w:tc>
          <w:tcPr>
            <w:tcW w:w="133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restart"/>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二级保护区</w:t>
            </w: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农村生活污水</w:t>
            </w:r>
          </w:p>
        </w:tc>
        <w:tc>
          <w:tcPr>
            <w:tcW w:w="1793"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7.593</w:t>
            </w:r>
          </w:p>
        </w:tc>
        <w:tc>
          <w:tcPr>
            <w:tcW w:w="176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0.031</w:t>
            </w:r>
          </w:p>
        </w:tc>
        <w:tc>
          <w:tcPr>
            <w:tcW w:w="136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0.154</w:t>
            </w:r>
          </w:p>
        </w:tc>
        <w:tc>
          <w:tcPr>
            <w:tcW w:w="133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农村生活垃圾</w:t>
            </w:r>
          </w:p>
        </w:tc>
        <w:tc>
          <w:tcPr>
            <w:tcW w:w="1793"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6.096</w:t>
            </w:r>
          </w:p>
        </w:tc>
        <w:tc>
          <w:tcPr>
            <w:tcW w:w="176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0.181</w:t>
            </w:r>
          </w:p>
        </w:tc>
        <w:tc>
          <w:tcPr>
            <w:tcW w:w="136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0.305</w:t>
            </w:r>
          </w:p>
        </w:tc>
        <w:tc>
          <w:tcPr>
            <w:tcW w:w="133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农业种植</w:t>
            </w:r>
          </w:p>
        </w:tc>
        <w:tc>
          <w:tcPr>
            <w:tcW w:w="1793"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4.993</w:t>
            </w:r>
          </w:p>
        </w:tc>
        <w:tc>
          <w:tcPr>
            <w:tcW w:w="1764" w:type="dxa"/>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0.349</w:t>
            </w:r>
          </w:p>
        </w:tc>
        <w:tc>
          <w:tcPr>
            <w:tcW w:w="1368" w:type="dxa"/>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2.743</w:t>
            </w:r>
          </w:p>
        </w:tc>
        <w:tc>
          <w:tcPr>
            <w:tcW w:w="1334" w:type="dxa"/>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畜禽养殖</w:t>
            </w:r>
          </w:p>
        </w:tc>
        <w:tc>
          <w:tcPr>
            <w:tcW w:w="1793"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3.120</w:t>
            </w:r>
          </w:p>
        </w:tc>
        <w:tc>
          <w:tcPr>
            <w:tcW w:w="176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0.109</w:t>
            </w:r>
          </w:p>
        </w:tc>
        <w:tc>
          <w:tcPr>
            <w:tcW w:w="136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0.156</w:t>
            </w:r>
          </w:p>
        </w:tc>
        <w:tc>
          <w:tcPr>
            <w:tcW w:w="133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水土流失</w:t>
            </w:r>
          </w:p>
        </w:tc>
        <w:tc>
          <w:tcPr>
            <w:tcW w:w="1793" w:type="dxa"/>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68.460</w:t>
            </w:r>
          </w:p>
        </w:tc>
        <w:tc>
          <w:tcPr>
            <w:tcW w:w="176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0.000</w:t>
            </w:r>
          </w:p>
        </w:tc>
        <w:tc>
          <w:tcPr>
            <w:tcW w:w="136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4.243</w:t>
            </w:r>
          </w:p>
        </w:tc>
        <w:tc>
          <w:tcPr>
            <w:tcW w:w="133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小计</w:t>
            </w:r>
          </w:p>
        </w:tc>
        <w:tc>
          <w:tcPr>
            <w:tcW w:w="1793"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90.261</w:t>
            </w:r>
          </w:p>
        </w:tc>
        <w:tc>
          <w:tcPr>
            <w:tcW w:w="176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0.671</w:t>
            </w:r>
          </w:p>
        </w:tc>
        <w:tc>
          <w:tcPr>
            <w:tcW w:w="136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7.600</w:t>
            </w:r>
          </w:p>
        </w:tc>
        <w:tc>
          <w:tcPr>
            <w:tcW w:w="133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restart"/>
            <w:shd w:val="clear" w:color="auto" w:fill="auto"/>
            <w:noWrap/>
            <w:vAlign w:val="center"/>
          </w:tcPr>
          <w:p>
            <w:pPr>
              <w:widowControl/>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准保护区</w:t>
            </w: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农村生活污水</w:t>
            </w:r>
          </w:p>
        </w:tc>
        <w:tc>
          <w:tcPr>
            <w:tcW w:w="1793"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17.161</w:t>
            </w:r>
          </w:p>
        </w:tc>
        <w:tc>
          <w:tcPr>
            <w:tcW w:w="176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0.070</w:t>
            </w:r>
          </w:p>
        </w:tc>
        <w:tc>
          <w:tcPr>
            <w:tcW w:w="136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0.349</w:t>
            </w:r>
          </w:p>
        </w:tc>
        <w:tc>
          <w:tcPr>
            <w:tcW w:w="133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农村生活垃圾</w:t>
            </w:r>
          </w:p>
        </w:tc>
        <w:tc>
          <w:tcPr>
            <w:tcW w:w="1793"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13.777</w:t>
            </w:r>
          </w:p>
        </w:tc>
        <w:tc>
          <w:tcPr>
            <w:tcW w:w="176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0.410</w:t>
            </w:r>
          </w:p>
        </w:tc>
        <w:tc>
          <w:tcPr>
            <w:tcW w:w="136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0.689</w:t>
            </w:r>
          </w:p>
        </w:tc>
        <w:tc>
          <w:tcPr>
            <w:tcW w:w="133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农业种植</w:t>
            </w:r>
          </w:p>
        </w:tc>
        <w:tc>
          <w:tcPr>
            <w:tcW w:w="1793"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4.765</w:t>
            </w:r>
          </w:p>
        </w:tc>
        <w:tc>
          <w:tcPr>
            <w:tcW w:w="176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0.334</w:t>
            </w:r>
          </w:p>
        </w:tc>
        <w:tc>
          <w:tcPr>
            <w:tcW w:w="136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2.618</w:t>
            </w:r>
          </w:p>
        </w:tc>
        <w:tc>
          <w:tcPr>
            <w:tcW w:w="133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畜禽养殖</w:t>
            </w:r>
          </w:p>
        </w:tc>
        <w:tc>
          <w:tcPr>
            <w:tcW w:w="1793"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7.811</w:t>
            </w:r>
          </w:p>
        </w:tc>
        <w:tc>
          <w:tcPr>
            <w:tcW w:w="176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0.266</w:t>
            </w:r>
          </w:p>
        </w:tc>
        <w:tc>
          <w:tcPr>
            <w:tcW w:w="136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0.380</w:t>
            </w:r>
          </w:p>
        </w:tc>
        <w:tc>
          <w:tcPr>
            <w:tcW w:w="133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水土流失</w:t>
            </w:r>
          </w:p>
        </w:tc>
        <w:tc>
          <w:tcPr>
            <w:tcW w:w="1793"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39.990</w:t>
            </w:r>
          </w:p>
        </w:tc>
        <w:tc>
          <w:tcPr>
            <w:tcW w:w="176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0.000</w:t>
            </w:r>
          </w:p>
        </w:tc>
        <w:tc>
          <w:tcPr>
            <w:tcW w:w="136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2.478</w:t>
            </w:r>
          </w:p>
        </w:tc>
        <w:tc>
          <w:tcPr>
            <w:tcW w:w="133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小计</w:t>
            </w:r>
          </w:p>
        </w:tc>
        <w:tc>
          <w:tcPr>
            <w:tcW w:w="1793"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83.504</w:t>
            </w:r>
          </w:p>
        </w:tc>
        <w:tc>
          <w:tcPr>
            <w:tcW w:w="176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1.079</w:t>
            </w:r>
          </w:p>
        </w:tc>
        <w:tc>
          <w:tcPr>
            <w:tcW w:w="136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6.513</w:t>
            </w:r>
          </w:p>
        </w:tc>
        <w:tc>
          <w:tcPr>
            <w:tcW w:w="133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restart"/>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保护区</w:t>
            </w: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农村生活污水</w:t>
            </w:r>
          </w:p>
        </w:tc>
        <w:tc>
          <w:tcPr>
            <w:tcW w:w="1793"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27.512</w:t>
            </w:r>
          </w:p>
        </w:tc>
        <w:tc>
          <w:tcPr>
            <w:tcW w:w="1764"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0.112</w:t>
            </w:r>
          </w:p>
        </w:tc>
        <w:tc>
          <w:tcPr>
            <w:tcW w:w="1368"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0.559</w:t>
            </w:r>
          </w:p>
        </w:tc>
        <w:tc>
          <w:tcPr>
            <w:tcW w:w="1334"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农村生活垃圾</w:t>
            </w:r>
          </w:p>
        </w:tc>
        <w:tc>
          <w:tcPr>
            <w:tcW w:w="1793"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22.088</w:t>
            </w:r>
          </w:p>
        </w:tc>
        <w:tc>
          <w:tcPr>
            <w:tcW w:w="1764"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0.657</w:t>
            </w:r>
          </w:p>
        </w:tc>
        <w:tc>
          <w:tcPr>
            <w:tcW w:w="1368"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1.104</w:t>
            </w:r>
          </w:p>
        </w:tc>
        <w:tc>
          <w:tcPr>
            <w:tcW w:w="1334"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农业种植</w:t>
            </w:r>
          </w:p>
        </w:tc>
        <w:tc>
          <w:tcPr>
            <w:tcW w:w="1793"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9.761</w:t>
            </w:r>
          </w:p>
        </w:tc>
        <w:tc>
          <w:tcPr>
            <w:tcW w:w="1764" w:type="dxa"/>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0.683</w:t>
            </w:r>
          </w:p>
        </w:tc>
        <w:tc>
          <w:tcPr>
            <w:tcW w:w="1368" w:type="dxa"/>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5.362</w:t>
            </w:r>
          </w:p>
        </w:tc>
        <w:tc>
          <w:tcPr>
            <w:tcW w:w="1334" w:type="dxa"/>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畜禽养殖</w:t>
            </w:r>
          </w:p>
        </w:tc>
        <w:tc>
          <w:tcPr>
            <w:tcW w:w="1793"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14.437</w:t>
            </w:r>
          </w:p>
        </w:tc>
        <w:tc>
          <w:tcPr>
            <w:tcW w:w="1764"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0.495</w:t>
            </w:r>
          </w:p>
        </w:tc>
        <w:tc>
          <w:tcPr>
            <w:tcW w:w="1368"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0.707</w:t>
            </w:r>
          </w:p>
        </w:tc>
        <w:tc>
          <w:tcPr>
            <w:tcW w:w="1334"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水土流失</w:t>
            </w:r>
          </w:p>
        </w:tc>
        <w:tc>
          <w:tcPr>
            <w:tcW w:w="1793" w:type="dxa"/>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115.153</w:t>
            </w:r>
          </w:p>
        </w:tc>
        <w:tc>
          <w:tcPr>
            <w:tcW w:w="1764"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0.000</w:t>
            </w:r>
          </w:p>
        </w:tc>
        <w:tc>
          <w:tcPr>
            <w:tcW w:w="1368"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7.136</w:t>
            </w:r>
          </w:p>
        </w:tc>
        <w:tc>
          <w:tcPr>
            <w:tcW w:w="1334"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小计</w:t>
            </w:r>
          </w:p>
        </w:tc>
        <w:tc>
          <w:tcPr>
            <w:tcW w:w="1793"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188.950</w:t>
            </w:r>
          </w:p>
        </w:tc>
        <w:tc>
          <w:tcPr>
            <w:tcW w:w="176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1.947</w:t>
            </w:r>
          </w:p>
        </w:tc>
        <w:tc>
          <w:tcPr>
            <w:tcW w:w="136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14.869</w:t>
            </w:r>
          </w:p>
        </w:tc>
        <w:tc>
          <w:tcPr>
            <w:tcW w:w="133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1.630</w:t>
            </w:r>
          </w:p>
        </w:tc>
      </w:tr>
    </w:tbl>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552950" cy="2819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552950" cy="2819400"/>
                    </a:xfrm>
                    <a:prstGeom prst="rect">
                      <a:avLst/>
                    </a:prstGeom>
                    <a:noFill/>
                    <a:ln>
                      <a:noFill/>
                    </a:ln>
                  </pic:spPr>
                </pic:pic>
              </a:graphicData>
            </a:graphic>
          </wp:inline>
        </w:drawing>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图2.7-1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迤佐河水库各级保护区污染物贡献率分布图</w:t>
      </w:r>
    </w:p>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533900" cy="28098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533900" cy="2809875"/>
                    </a:xfrm>
                    <a:prstGeom prst="rect">
                      <a:avLst/>
                    </a:prstGeom>
                    <a:noFill/>
                    <a:ln>
                      <a:noFill/>
                    </a:ln>
                  </pic:spPr>
                </pic:pic>
              </a:graphicData>
            </a:graphic>
          </wp:inline>
        </w:drawing>
      </w:r>
    </w:p>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533900" cy="28098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533900" cy="2809875"/>
                    </a:xfrm>
                    <a:prstGeom prst="rect">
                      <a:avLst/>
                    </a:prstGeom>
                    <a:noFill/>
                    <a:ln>
                      <a:noFill/>
                    </a:ln>
                  </pic:spPr>
                </pic:pic>
              </a:graphicData>
            </a:graphic>
          </wp:inline>
        </w:drawing>
      </w:r>
    </w:p>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drawing>
          <wp:inline distT="0" distB="0" distL="0" distR="0">
            <wp:extent cx="4533900" cy="28098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533900" cy="2809875"/>
                    </a:xfrm>
                    <a:prstGeom prst="rect">
                      <a:avLst/>
                    </a:prstGeom>
                    <a:noFill/>
                    <a:ln>
                      <a:noFill/>
                    </a:ln>
                  </pic:spPr>
                </pic:pic>
              </a:graphicData>
            </a:graphic>
          </wp:inline>
        </w:drawing>
      </w:r>
    </w:p>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533900" cy="28098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533900" cy="2809875"/>
                    </a:xfrm>
                    <a:prstGeom prst="rect">
                      <a:avLst/>
                    </a:prstGeom>
                    <a:noFill/>
                    <a:ln>
                      <a:noFill/>
                    </a:ln>
                  </pic:spPr>
                </pic:pic>
              </a:graphicData>
            </a:graphic>
          </wp:inline>
        </w:drawing>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图2.7-2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迤佐河水库各级保护区内各</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污染源</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贡献率</w:t>
      </w:r>
    </w:p>
    <w:p>
      <w:pPr>
        <w:keepNext/>
        <w:keepLines/>
        <w:spacing w:before="340" w:after="330" w:line="578" w:lineRule="auto"/>
        <w:jc w:val="center"/>
        <w:outlineLvl w:val="0"/>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93" w:name="_Toc25679065"/>
      <w:bookmarkStart w:id="94" w:name="_Toc27520673"/>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2.8 饮用水水源地水环境风险分析</w:t>
      </w:r>
      <w:bookmarkEnd w:id="93"/>
      <w:bookmarkEnd w:id="94"/>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按照《集中式饮用水水源环境保护指南（试行）》要求，采用风险值定性评价方法评价迤佐河水库饮用水水源地的环境风险。根据风险源所在保护区的影响程度和影响范围，按照固定源、流动源和非点源分别对水源存在的风险进行源项分析及评价。计算方法如下：</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固定源：Rp=P1+P2+P3；流动源：Rf=F1+F2+F3；非点源：Ry=Y1+Y2+Y3；</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式中：P、F、Y分别为固定源、流动源、非点源的评分值。</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一般来说，当Rp（或Rf、Ry）≤3时，作为可接受程度的背景值；当3＜Rp（或Rf、Ry）≤7时，应采取风险防范措施；当7＜Rp（或Rf、Ry）≤9时，应采取风险预警措施；当Rp（或Rf、Ry）＞9时，应采取风险应急措施。</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评价方法根据风险源指标及评分值，按照评分值叠加法对饮用水水源保护区内风险源进行定性评价，评价结果见表2.8-1。</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2.8-1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迤佐河水库饮用水水源地环境风险评价结果</w:t>
      </w:r>
    </w:p>
    <w:tbl>
      <w:tblPr>
        <w:tblStyle w:val="45"/>
        <w:tblW w:w="8733"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77"/>
        <w:gridCol w:w="1525"/>
        <w:gridCol w:w="1316"/>
        <w:gridCol w:w="768"/>
        <w:gridCol w:w="829"/>
        <w:gridCol w:w="770"/>
        <w:gridCol w:w="1154"/>
        <w:gridCol w:w="761"/>
        <w:gridCol w:w="63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blHeader/>
        </w:trPr>
        <w:tc>
          <w:tcPr>
            <w:tcW w:w="977" w:type="dxa"/>
            <w:vMerge w:val="restart"/>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源</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项</w:t>
            </w:r>
          </w:p>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类型</w:t>
            </w:r>
          </w:p>
        </w:tc>
        <w:tc>
          <w:tcPr>
            <w:tcW w:w="1525" w:type="dxa"/>
            <w:vMerge w:val="restart"/>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风险源</w:t>
            </w:r>
          </w:p>
        </w:tc>
        <w:tc>
          <w:tcPr>
            <w:tcW w:w="2084" w:type="dxa"/>
            <w:gridSpan w:val="2"/>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一级保护区</w:t>
            </w:r>
          </w:p>
        </w:tc>
        <w:tc>
          <w:tcPr>
            <w:tcW w:w="1599" w:type="dxa"/>
            <w:gridSpan w:val="2"/>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二级</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保护区</w:t>
            </w:r>
          </w:p>
        </w:tc>
        <w:tc>
          <w:tcPr>
            <w:tcW w:w="1915" w:type="dxa"/>
            <w:gridSpan w:val="2"/>
            <w:shd w:val="clear" w:color="auto" w:fill="D8D8D8" w:themeFill="background1" w:themeFillShade="D9"/>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准保护区</w:t>
            </w:r>
          </w:p>
        </w:tc>
        <w:tc>
          <w:tcPr>
            <w:tcW w:w="633" w:type="dxa"/>
            <w:vMerge w:val="restart"/>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总分值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blHeader/>
        </w:trPr>
        <w:tc>
          <w:tcPr>
            <w:tcW w:w="977" w:type="dxa"/>
            <w:vMerge w:val="continue"/>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525" w:type="dxa"/>
            <w:vMerge w:val="continue"/>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16" w:type="dxa"/>
            <w:tcBorders>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指标值</w:t>
            </w:r>
          </w:p>
        </w:tc>
        <w:tc>
          <w:tcPr>
            <w:tcW w:w="768" w:type="dxa"/>
            <w:tcBorders>
              <w:lef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得分值</w:t>
            </w:r>
          </w:p>
        </w:tc>
        <w:tc>
          <w:tcPr>
            <w:tcW w:w="829" w:type="dxa"/>
            <w:tcBorders>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指标值</w:t>
            </w:r>
          </w:p>
        </w:tc>
        <w:tc>
          <w:tcPr>
            <w:tcW w:w="770" w:type="dxa"/>
            <w:tcBorders>
              <w:lef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得分值</w:t>
            </w:r>
          </w:p>
        </w:tc>
        <w:tc>
          <w:tcPr>
            <w:tcW w:w="1154" w:type="dxa"/>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指标值</w:t>
            </w:r>
          </w:p>
        </w:tc>
        <w:tc>
          <w:tcPr>
            <w:tcW w:w="761" w:type="dxa"/>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得分值</w:t>
            </w:r>
          </w:p>
        </w:tc>
        <w:tc>
          <w:tcPr>
            <w:tcW w:w="633" w:type="dxa"/>
            <w:vMerge w:val="continue"/>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977" w:type="dxa"/>
            <w:vMerge w:val="restart"/>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固定源（</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Rp</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52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石油</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化工行业（</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个</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6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82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7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15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61"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63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977"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52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垃圾</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填埋场（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处</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6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82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7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15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61"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63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977"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52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危险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废弃物填埋场（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处</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6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82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7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15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61"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63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977"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52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尾矿库</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6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82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7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15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61"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63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977"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52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加油站</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6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82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7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15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61"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63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977"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52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油品</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储罐（</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6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82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7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15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61"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63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977"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52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码头</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吞吐量（</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万吨/年</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6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82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7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15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61"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63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977"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52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污/废水</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处理设施（</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万吨/日</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6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82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7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15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61"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63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977" w:type="dxa"/>
            <w:vMerge w:val="restart"/>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流动源</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Rf</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52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陆运</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L＞2r</w:t>
            </w:r>
            <w:r>
              <w:rPr>
                <w:rFonts w:hint="eastAsia"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d</w:t>
            </w:r>
          </w:p>
        </w:tc>
        <w:tc>
          <w:tcPr>
            <w:tcW w:w="768" w:type="dxa"/>
            <w:tcBorders>
              <w:bottom w:val="single" w:color="auto" w:sz="4" w:space="0"/>
            </w:tcBorders>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2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L＞2r</w:t>
            </w:r>
            <w:r>
              <w:rPr>
                <w:rFonts w:hint="eastAsia"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d</w:t>
            </w:r>
          </w:p>
        </w:tc>
        <w:tc>
          <w:tcPr>
            <w:tcW w:w="77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7</w:t>
            </w:r>
          </w:p>
        </w:tc>
        <w:tc>
          <w:tcPr>
            <w:tcW w:w="1154" w:type="dxa"/>
          </w:tcPr>
          <w:p>
            <w:pPr>
              <w:jc w:val="center"/>
              <w:rPr>
                <w:rFonts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rd&lt;L&lt;2rd</w:t>
            </w:r>
          </w:p>
        </w:tc>
        <w:tc>
          <w:tcPr>
            <w:tcW w:w="761" w:type="dxa"/>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633" w:type="dxa"/>
            <w:vMerge w:val="restart"/>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977"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52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船舶</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68" w:type="dxa"/>
            <w:tcBorders>
              <w:top w:val="single" w:color="auto" w:sz="4" w:space="0"/>
            </w:tcBorders>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82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7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15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61"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633" w:type="dxa"/>
            <w:vMerge w:val="continue"/>
            <w:vAlign w:val="center"/>
          </w:tcPr>
          <w:p>
            <w:pPr>
              <w:widowControl/>
              <w:adjustRightInd w:val="0"/>
              <w:snapToGrid w:val="0"/>
              <w:jc w:val="center"/>
              <w:rPr>
                <w:rFonts w:ascii="Times New Roman" w:hAnsi="Times New Roman" w:eastAsia="仿宋"/>
                <w:color w:val="0D0D0D" w:themeColor="text1" w:themeTint="F2"/>
                <w:sz w:val="24"/>
                <w:szCs w:val="24"/>
                <w:highlight w:val="yellow"/>
                <w14:textFill>
                  <w14:solidFill>
                    <w14:schemeClr w14:val="tx1">
                      <w14:lumMod w14:val="95000"/>
                      <w14:lumOff w14:val="5000"/>
                    </w14:schemeClr>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977" w:type="dxa"/>
            <w:vMerge w:val="restart"/>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非点源</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（Ry）</w:t>
            </w:r>
          </w:p>
        </w:tc>
        <w:tc>
          <w:tcPr>
            <w:tcW w:w="152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耕地面积</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所占比例</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存在（0.20%）</w:t>
            </w:r>
          </w:p>
        </w:tc>
        <w:tc>
          <w:tcPr>
            <w:tcW w:w="76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2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30%~</w:t>
            </w:r>
          </w:p>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40%</w:t>
            </w:r>
          </w:p>
        </w:tc>
        <w:tc>
          <w:tcPr>
            <w:tcW w:w="77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115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30%~</w:t>
            </w:r>
          </w:p>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40%</w:t>
            </w:r>
          </w:p>
        </w:tc>
        <w:tc>
          <w:tcPr>
            <w:tcW w:w="761"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63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977"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52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生态</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缓冲</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带</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6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82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7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154" w:type="dxa"/>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761" w:type="dxa"/>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63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bl>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p>
    <w:p>
      <w:pPr>
        <w:widowControl/>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（1）固定源</w:t>
      </w:r>
    </w:p>
    <w:p>
      <w:pPr>
        <w:widowControl/>
        <w:adjustRightInd w:val="0"/>
        <w:snapToGrid w:val="0"/>
        <w:spacing w:line="360" w:lineRule="auto"/>
        <w:ind w:firstLine="560" w:firstLineChars="200"/>
        <w:rPr>
          <w:rFonts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根据现场调查，迤佐河水库保护区范围内</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无固定风险源。</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迤佐河水库饮用水水源地固定源环境风险低，水库保护区范围内</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无固定污染源，固定源总分值为0，评分值</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Rp＜3，为可接受程度的背景值。</w:t>
      </w:r>
    </w:p>
    <w:p>
      <w:pPr>
        <w:widowControl/>
        <w:adjustRightInd w:val="0"/>
        <w:snapToGrid w:val="0"/>
        <w:spacing w:line="360" w:lineRule="auto"/>
        <w:ind w:firstLine="562" w:firstLineChars="200"/>
        <w:rPr>
          <w:rFonts w:ascii="Times New Roman" w:hAnsi="Times New Roman" w:eastAsia="仿宋" w:cs="仿宋"/>
          <w:b/>
          <w:color w:val="0D0D0D" w:themeColor="text1" w:themeTint="F2"/>
          <w:kern w:val="0"/>
          <w:sz w:val="28"/>
          <w:szCs w:val="28"/>
          <w:shd w:val="clear" w:color="auto" w:fill="FFFFFF"/>
          <w14:textFill>
            <w14:solidFill>
              <w14:schemeClr w14:val="tx1">
                <w14:lumMod w14:val="95000"/>
                <w14:lumOff w14:val="5000"/>
              </w14:schemeClr>
            </w14:solidFill>
          </w14:textFill>
        </w:rPr>
      </w:pPr>
      <w:r>
        <w:rPr>
          <w:rFonts w:hint="eastAsia" w:ascii="Times New Roman" w:hAnsi="Times New Roman" w:eastAsia="仿宋" w:cs="仿宋"/>
          <w:b/>
          <w:color w:val="0D0D0D" w:themeColor="text1" w:themeTint="F2"/>
          <w:kern w:val="0"/>
          <w:sz w:val="28"/>
          <w:szCs w:val="28"/>
          <w:shd w:val="clear" w:color="auto" w:fill="FFFFFF"/>
          <w14:textFill>
            <w14:solidFill>
              <w14:schemeClr w14:val="tx1">
                <w14:lumMod w14:val="95000"/>
                <w14:lumOff w14:val="5000"/>
              </w14:schemeClr>
            </w14:solidFill>
          </w14:textFill>
        </w:rPr>
        <w:t>（2）流动源</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迤佐河水库保护区范围内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省道、县道、乡道及连接各自然村道路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穿过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其中，一级保护内省道S213主要沿一级保护区陆域边界，长约2.67km；县道X152沿一级保护区陆域长约0.44km；其他乡村道路穿越路段长约0.64km。二级保护区内省道S213穿越路段长约0.70km；县道152穿越路段长约0.55km，其他连接保护区内各自然村的道路长约2.31km。准保护区内省道S213穿越路段长约1.07km，县道穿越路段长约1.93km，其他连接自然村的道路长约2.76km</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。迤佐河水库保护区范围内自然村分布较多，连接各自然村的道路较长，且有省道、县道穿越，道路风险较大，应加强交通运输环境风险防控。</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迤佐河水库保护区范围内流动源总分值为23，</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评分值</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Rf＞9，应采取风险应急措施，加强水库周边省道、县道等道路车辆通行监管，严格禁止运输危险化学品，限制运输可能对水库水质造成污染的其他物品。</w:t>
      </w:r>
    </w:p>
    <w:p>
      <w:pPr>
        <w:widowControl/>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（3）非点源</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根据调查，迤佐河水库保护区范围内现状非点源主要有农村生活、农业种植、畜禽养殖及水土流失面源污染等，具体源强详见2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.7.2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节。</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迤佐河水库保护区范围内耕地面积占比为38.52%，一级保护区、二级保护区、准保护区均有分布。根据非点源风险值计算，非点源风险值为19，</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评分值</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Ry&gt;9，应采取风险应急措施，环境风险较高。此外，根据实地踏勘，迤佐河水库保护区范围内还存在农村生活污水及垃圾污染、畜禽养殖污染及水土流失污染。通过识别环境风险因素，应重点对非点源风险采取应急措施，加快农村农业面源治理及水土流失治理，降低水源保护区环境风险，保证饮用水水质安全。</w:t>
      </w: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95" w:name="_Toc27520674"/>
      <w:bookmarkStart w:id="96" w:name="_Toc25679066"/>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2.9 饮用水水源保护区规范化建设</w:t>
      </w:r>
      <w:bookmarkEnd w:id="92"/>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现状及存在问题</w:t>
      </w:r>
      <w:bookmarkEnd w:id="95"/>
      <w:bookmarkEnd w:id="96"/>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97" w:name="_Toc27520675"/>
      <w:bookmarkStart w:id="98" w:name="_Toc12621595"/>
      <w:bookmarkStart w:id="99" w:name="_Toc25679067"/>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2.9.1 保护区规范化建设及管理现状</w:t>
      </w:r>
      <w:bookmarkEnd w:id="97"/>
      <w:bookmarkEnd w:id="98"/>
      <w:bookmarkEnd w:id="99"/>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迤佐河水库作为在用水源，但未严格按《集中式饮用水源地规范化建设环境保护技术要求》（HJ773-2015）开展水源地保护相关保护工作。根据现场调查及资料收集，目前已开展的保护工作主要有：</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（1）管理机构设置</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迤佐河水库水源地主管部门为富源县水利水电工程管理站，管理单位为富村镇水务所。</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（2）监测能力</w:t>
      </w:r>
    </w:p>
    <w:p>
      <w:pPr>
        <w:adjustRightInd w:val="0"/>
        <w:snapToGrid w:val="0"/>
        <w:spacing w:line="360" w:lineRule="auto"/>
        <w:ind w:firstLine="560" w:firstLineChars="200"/>
        <w:rPr>
          <w:rFonts w:ascii="Times New Roman" w:hAnsi="Times New Roman" w:cs="Times New Roman"/>
          <w:color w:val="0D0D0D" w:themeColor="text1" w:themeTint="F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迤佐河水库</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未进行例行水质监测，于2011年12月、2012年8月、2013年7月按照《地表水环境质量标准》（</w:t>
      </w: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分别开展了水质监测，主要对pH、溶解氧、高锰酸盐指数、五日生化需氧量、氨氮、化学需氧量、砷、汞、六价铬、镉、铅、挥发酚、总氮、总磷、粪大肠菌群、氰化物、石油类、氟化物及饮用水源地集中式生活饮用水源地补充项目硫酸盐、氯化物、硝酸盐、铁、锰进行监测</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00" w:name="_Toc12621596"/>
      <w:bookmarkStart w:id="101" w:name="_Toc27520676"/>
      <w:bookmarkStart w:id="102" w:name="_Toc25679068"/>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2.9.2 保护区</w:t>
      </w:r>
      <w:bookmarkEnd w:id="100"/>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主要环境问题</w:t>
      </w:r>
      <w:bookmarkEnd w:id="101"/>
      <w:bookmarkEnd w:id="102"/>
    </w:p>
    <w:p>
      <w:pPr>
        <w:adjustRightInd w:val="0"/>
        <w:snapToGrid w:val="0"/>
        <w:spacing w:line="360" w:lineRule="auto"/>
        <w:ind w:firstLine="560"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bookmarkStart w:id="103" w:name="_Hlk20349135"/>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根据《集中式饮用水源地规范化建设环境保护技术要求》（HJ 773-2015）等技术规范，结合现场调查，</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迤佐河水库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水源地规范化建设存在问题如下：</w:t>
      </w:r>
    </w:p>
    <w:bookmarkEnd w:id="103"/>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（1）面源污染问题</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迤佐河水库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范围内涉及</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11个自然村，农村生活污水及垃圾污染、畜禽养殖面源污染较严重</w:t>
      </w:r>
      <w:bookmarkStart w:id="104" w:name="_Hlk20349201"/>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迤佐河水库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水源地</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内有大量耕地，</w:t>
      </w:r>
      <w:bookmarkStart w:id="105" w:name="_Hlk2009203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耕地面积占比达到水库保护区面积的38.78%，</w:t>
      </w:r>
      <w:bookmarkEnd w:id="105"/>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农业生产中大量使用农药化肥导致水体污染。</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内水土流失面积占比在</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79.97</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中度及以上侵蚀面积占水土流失面积的66.66%，</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水土流失造成一定的面源污染。</w:t>
      </w:r>
    </w:p>
    <w:bookmarkEnd w:id="104"/>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06" w:name="_Hlk20349559"/>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（2）保护区分级划界问题</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迤佐河水库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作为在用水源地，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未按新的技术规范要求划分水源保护区并依法审批并颁布实施，也未按水源保护区边界范围并根据《饮用水水源保护区标志技术要求》（HJ/T433-2008）设置界桩、交通警示牌、宣传牌等标识</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）风险防控与应急能力建设问题</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地应定期或不定期开展水源地周边安全隐患排查及风险评估，建立水源保护区内风险源名录和风险防控方案。同时制定水库饮用水水源地应急预案，按照生态环境部门要求备案并定期开展应急演练，储备应急物资，设有应急防护工程，具备饮用水水源地突发环境事件应急处置技术方案及应急专家库，并具备应急监测能力。目前，</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根据水环境风险源分析，迤佐河水库流动源及非点源环境风险较大，但迤佐河水库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未制定</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相应的</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应急预案，风险防控与应急能力</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还</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待加强。</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）管理</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措施不到位</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按照《集中式饮用水水源编码规范》（HJ 747-2015）要求，应对水源地进行编码，完善水源地档案，做到</w:t>
      </w:r>
      <w:r>
        <w:rPr>
          <w:rFonts w:ascii="仿宋" w:hAnsi="仿宋" w:eastAsia="仿宋" w:cs="Times New Roman"/>
          <w:color w:val="0D0D0D" w:themeColor="text1" w:themeTint="F2"/>
          <w:sz w:val="28"/>
          <w:szCs w:val="28"/>
          <w14:textFill>
            <w14:solidFill>
              <w14:schemeClr w14:val="tx1">
                <w14:lumMod w14:val="95000"/>
                <w14:lumOff w14:val="5000"/>
              </w14:schemeClr>
            </w14:solidFill>
          </w14:textFill>
        </w:rPr>
        <w:t>“一源一档”，</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并按照环境监察要求定期巡查、开展水源地环境状况评估，建立水源地信息化管理平台，定期公开水源地相关信息。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迤佐河水库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需加强管理，建立完善水源地档案及环境监察。</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5</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）存在煤矿采矿权问题</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迤佐河水库保护区范围与南冲煤矿采矿区重叠，重叠区域涉及一级保护区6.65hm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、二级保护区113.95hm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重叠区域占水库径流面积比例较大。若在迤佐河水库保护区范围内进行煤矿开采，对水源地水质和水量存在较大的环境风险。由于开采可能会造成地表坍塌、影响地表植被及水源涵养，工矿厂区生产废水对水库水质造成污染等。目前迤佐河水库无可替代水源，且南冲煤矿不具备开采条件，建议南冲煤矿采矿权范围退出重叠区。</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drawing>
          <wp:inline distT="0" distB="0" distL="0" distR="0">
            <wp:extent cx="4962525" cy="5295900"/>
            <wp:effectExtent l="0" t="0" r="9525" b="0"/>
            <wp:docPr id="6" name="图片 6" descr="C:\Users\Administrator\Desktop\迤佐河水库与采矿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迤佐河水库与采矿权.jpg"/>
                    <pic:cNvPicPr>
                      <a:picLocks noChangeAspect="1" noChangeArrowheads="1"/>
                    </pic:cNvPicPr>
                  </pic:nvPicPr>
                  <pic:blipFill>
                    <a:blip r:embed="rId22" cstate="print">
                      <a:extLst>
                        <a:ext uri="{28A0092B-C50C-407E-A947-70E740481C1C}">
                          <a14:useLocalDpi xmlns:a14="http://schemas.microsoft.com/office/drawing/2010/main" val="0"/>
                        </a:ext>
                      </a:extLst>
                    </a:blip>
                    <a:srcRect l="2891" t="8812" r="3000" b="20179"/>
                    <a:stretch>
                      <a:fillRect/>
                    </a:stretch>
                  </pic:blipFill>
                  <pic:spPr>
                    <a:xfrm>
                      <a:off x="0" y="0"/>
                      <a:ext cx="4963647" cy="5297097"/>
                    </a:xfrm>
                    <a:prstGeom prst="rect">
                      <a:avLst/>
                    </a:prstGeom>
                    <a:noFill/>
                    <a:ln>
                      <a:noFill/>
                    </a:ln>
                  </pic:spPr>
                </pic:pic>
              </a:graphicData>
            </a:graphic>
          </wp:inline>
        </w:drawing>
      </w:r>
    </w:p>
    <w:p>
      <w:pPr>
        <w:adjustRightInd w:val="0"/>
        <w:snapToGrid w:val="0"/>
        <w:spacing w:line="240" w:lineRule="atLeast"/>
        <w:jc w:val="cente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2.9</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迤佐河水库保护区范围与南冲煤矿采矿权范围示意图</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p>
    <w:bookmarkEnd w:id="106"/>
    <w:p>
      <w:pPr>
        <w:adjustRightInd w:val="0"/>
        <w:snapToGrid w:val="0"/>
        <w:spacing w:line="360" w:lineRule="auto"/>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bookmarkStart w:id="107" w:name="_Toc326180110"/>
      <w:bookmarkStart w:id="108" w:name="_Toc10723878"/>
      <w:bookmarkStart w:id="109" w:name="_Toc12456077"/>
    </w:p>
    <w:p>
      <w:pPr>
        <w:keepNext/>
        <w:keepLines/>
        <w:spacing w:before="340" w:after="330" w:line="578" w:lineRule="auto"/>
        <w:jc w:val="center"/>
        <w:outlineLvl w:val="0"/>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pPr>
      <w:bookmarkStart w:id="110" w:name="_Toc20409149"/>
      <w:bookmarkStart w:id="111" w:name="_Toc27520677"/>
      <w:r>
        <w:rPr>
          <w:rFonts w:hint="eastAsia"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 xml:space="preserve">第三章 </w:t>
      </w:r>
      <w:r>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保护区</w:t>
      </w:r>
      <w:r>
        <w:rPr>
          <w:rFonts w:hint="eastAsia"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划分与定界</w:t>
      </w:r>
      <w:bookmarkEnd w:id="110"/>
      <w:bookmarkEnd w:id="111"/>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12" w:name="_Toc10723880"/>
      <w:bookmarkStart w:id="113" w:name="_Toc12621586"/>
      <w:bookmarkStart w:id="114" w:name="_Toc20409150"/>
      <w:bookmarkStart w:id="115" w:name="_Toc27520678"/>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1</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划分方法</w:t>
      </w:r>
      <w:bookmarkEnd w:id="112"/>
      <w:bookmarkEnd w:id="113"/>
      <w:bookmarkEnd w:id="114"/>
      <w:bookmarkEnd w:id="115"/>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按照《饮用水水源保护区划分技术规范》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，利用</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区域</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地形图、水系图、土地利用现状图、土地利用规划图，</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采用地形边界法、类比经验法，</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划分</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迤佐河水库水源地的</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一级保护区</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和</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二级保护区，对局部区域，根据实际情况进行微调。</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16" w:name="_Toc530362551"/>
      <w:bookmarkStart w:id="117" w:name="_Toc20409151"/>
      <w:bookmarkStart w:id="118" w:name="_Toc27520679"/>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一级保护区划分</w:t>
      </w:r>
      <w:bookmarkEnd w:id="116"/>
      <w:bookmarkEnd w:id="117"/>
      <w:bookmarkEnd w:id="118"/>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（1）水域范围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6.2.1节：</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6.2.1.1  小型水库和单一供水功能的湖泊、水库应将多年平均水位对应的高程线以下的全部水域划为一级保护区。</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6.2.2节。</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6.2.2.1  小型和单一供水功能的湖泊、水库以及中小型水库为一级保护区水域外不小于200 m范围内的陆域，或一定高程线以下的陆域，但不超过流域分水岭范围。</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19" w:name="_Toc530362552"/>
      <w:bookmarkStart w:id="120" w:name="_Toc20409152"/>
      <w:bookmarkStart w:id="121" w:name="_Toc27520680"/>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 二级保护区划分</w:t>
      </w:r>
      <w:bookmarkEnd w:id="119"/>
      <w:bookmarkEnd w:id="120"/>
      <w:bookmarkEnd w:id="121"/>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（1）水域范围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6.3.1节。</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 xml:space="preserve">6.3.1.1 </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满足条件的水源地，可采用类比经验法确定二级保护区水域范围。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小型湖泊、中小型水库一级保护区边界外的水域面积设定为二级保护区。</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6.3.2节。</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6.3.2.2  采用地形边界法或类比经验法</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小型水库可将上游整个流域（一级保护区陆域外区域）设定为二级保护区。</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单一功能的湖泊、水库、小型湖泊和平原型中型水库的二级保护区范围是一级保护区以外水平距离不小于2000 m区域，山区型中型水库二级保护区的范围为水库周边山脊线以内（一级保护区以外）及入库河流上溯不小于3000 m的汇水区域。二级保护区陆域边界不超过相应的流域分水岭。</w:t>
      </w:r>
    </w:p>
    <w:p>
      <w:pPr>
        <w:pStyle w:val="4"/>
        <w:rPr>
          <w:color w:val="0D0D0D" w:themeColor="text1" w:themeTint="F2"/>
          <w14:textFill>
            <w14:solidFill>
              <w14:schemeClr w14:val="tx1">
                <w14:lumMod w14:val="95000"/>
                <w14:lumOff w14:val="5000"/>
              </w14:schemeClr>
            </w14:solidFill>
          </w14:textFill>
        </w:rPr>
      </w:pPr>
      <w:bookmarkStart w:id="122" w:name="_Toc25679073"/>
      <w:bookmarkStart w:id="123" w:name="_Toc27520681"/>
      <w:r>
        <w:rPr>
          <w:color w:val="0D0D0D" w:themeColor="text1" w:themeTint="F2"/>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1</w:t>
      </w:r>
      <w:r>
        <w:rPr>
          <w:color w:val="0D0D0D" w:themeColor="text1" w:themeTint="F2"/>
          <w14:textFill>
            <w14:solidFill>
              <w14:schemeClr w14:val="tx1">
                <w14:lumMod w14:val="95000"/>
                <w14:lumOff w14:val="5000"/>
              </w14:schemeClr>
            </w14:solidFill>
          </w14:textFill>
        </w:rPr>
        <w:t>.</w:t>
      </w:r>
      <w:r>
        <w:rPr>
          <w:rFonts w:hint="eastAsia"/>
          <w:color w:val="0D0D0D" w:themeColor="text1" w:themeTint="F2"/>
          <w14:textFill>
            <w14:solidFill>
              <w14:schemeClr w14:val="tx1">
                <w14:lumMod w14:val="95000"/>
                <w14:lumOff w14:val="5000"/>
              </w14:schemeClr>
            </w14:solidFill>
          </w14:textFill>
        </w:rPr>
        <w:t>3 准</w:t>
      </w:r>
      <w:r>
        <w:rPr>
          <w:color w:val="0D0D0D" w:themeColor="text1" w:themeTint="F2"/>
          <w14:textFill>
            <w14:solidFill>
              <w14:schemeClr w14:val="tx1">
                <w14:lumMod w14:val="95000"/>
                <w14:lumOff w14:val="5000"/>
              </w14:schemeClr>
            </w14:solidFill>
          </w14:textFill>
        </w:rPr>
        <w:t>保护区划分</w:t>
      </w:r>
      <w:bookmarkEnd w:id="122"/>
      <w:bookmarkEnd w:id="123"/>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参照二级保护区划分方法划分准保护区。</w:t>
      </w: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24" w:name="_Toc10723885"/>
      <w:bookmarkStart w:id="125" w:name="_Toc12621589"/>
      <w:bookmarkStart w:id="126" w:name="_Toc20409153"/>
      <w:bookmarkStart w:id="127" w:name="_Toc27520682"/>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2</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w:t>
      </w:r>
      <w:bookmarkEnd w:id="124"/>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初步划分结果与分析</w:t>
      </w:r>
      <w:bookmarkEnd w:id="125"/>
      <w:bookmarkEnd w:id="126"/>
      <w:bookmarkEnd w:id="127"/>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28" w:name="_Toc20409154"/>
      <w:bookmarkStart w:id="129" w:name="_Toc27520683"/>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一</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级保护区</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范围的确定</w:t>
      </w:r>
      <w:bookmarkEnd w:id="128"/>
      <w:bookmarkEnd w:id="129"/>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水</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迤佐河</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水库正常蓄水位</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1915</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m，相应库容</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402.10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（V＜0.1亿m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为</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小型水库。水库水面面积不大，因此将</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迤佐河</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水库正常蓄水位</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1915</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m以下的全部水域划为一级保护区，面积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0.2433</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正常蓄水位外延200m范围，同时以水库周边现状公路定界，面积为0.5523</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一级保护区总面积合计</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0.7956</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30" w:name="_Toc20409155"/>
      <w:bookmarkStart w:id="131" w:name="_Toc27520684"/>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二</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级保护区</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范围的确定</w:t>
      </w:r>
      <w:bookmarkEnd w:id="130"/>
      <w:bookmarkEnd w:id="131"/>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（1）水域范围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迤佐河</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级保护区边界外无大中型河流，面积并入陆域范围统计。</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迤佐河水库流域范围内除一级保护区的其他区域</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5.8746</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二级保护区总面积合计</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5.8746</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32" w:name="_Toc27520685"/>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准</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保护区</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范围的确定</w:t>
      </w:r>
      <w:bookmarkEnd w:id="132"/>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北、北东出露于库区地表水分水岭内的地下水补给区位于出露点北东至南东德胜——乍玉麦山间溶蚀凹地地区，基于地下水分水岭与地表水分水岭一致判据，将该溶蚀凹地区域地表水分水岭化作准保护区边界，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4.5178</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 xml:space="preserve"> 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表3.</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-1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迤佐河</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水库饮用水水源保护区组成</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33"/>
        <w:gridCol w:w="482"/>
        <w:gridCol w:w="4291"/>
        <w:gridCol w:w="2053"/>
        <w:gridCol w:w="116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blHeader/>
        </w:trPr>
        <w:tc>
          <w:tcPr>
            <w:tcW w:w="1015" w:type="dxa"/>
            <w:gridSpan w:val="2"/>
            <w:shd w:val="clear" w:color="auto" w:fill="D8D8D8" w:themeFill="background1" w:themeFillShade="D9"/>
            <w:vAlign w:val="center"/>
          </w:tcPr>
          <w:p>
            <w:pPr>
              <w:adjustRightInd w:val="0"/>
              <w:snapToGrid w:val="0"/>
              <w:spacing w:line="360" w:lineRule="auto"/>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区划</w:t>
            </w:r>
          </w:p>
        </w:tc>
        <w:tc>
          <w:tcPr>
            <w:tcW w:w="4291" w:type="dxa"/>
            <w:shd w:val="clear" w:color="auto" w:fill="D8D8D8" w:themeFill="background1" w:themeFillShade="D9"/>
            <w:vAlign w:val="center"/>
          </w:tcPr>
          <w:p>
            <w:pPr>
              <w:adjustRightInd w:val="0"/>
              <w:snapToGrid w:val="0"/>
              <w:spacing w:line="360" w:lineRule="auto"/>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依据HJ 338-2018</w:t>
            </w:r>
          </w:p>
        </w:tc>
        <w:tc>
          <w:tcPr>
            <w:tcW w:w="2053" w:type="dxa"/>
            <w:shd w:val="clear" w:color="auto" w:fill="D8D8D8" w:themeFill="background1" w:themeFillShade="D9"/>
            <w:vAlign w:val="center"/>
          </w:tcPr>
          <w:p>
            <w:pPr>
              <w:adjustRightInd w:val="0"/>
              <w:snapToGrid w:val="0"/>
              <w:spacing w:line="360" w:lineRule="auto"/>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控制范围</w:t>
            </w:r>
          </w:p>
        </w:tc>
        <w:tc>
          <w:tcPr>
            <w:tcW w:w="1163"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面积（km</w:t>
            </w:r>
            <w:r>
              <w:rPr>
                <w:rFonts w:ascii="Times New Roman" w:hAnsi="Times New Roman" w:eastAsia="仿宋" w:cs="Times New Roman"/>
                <w:b/>
                <w:color w:val="0D0D0D" w:themeColor="text1" w:themeTint="F2"/>
                <w:kern w:val="0"/>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533" w:type="dxa"/>
            <w:vMerge w:val="restart"/>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一</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级</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保</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护</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区</w:t>
            </w:r>
          </w:p>
        </w:tc>
        <w:tc>
          <w:tcPr>
            <w:tcW w:w="482"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4291"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6.2.1.1  小型水库和单一供水功能的湖泊、水库应将多年平均水位对应的高程线以下的全部水域划为一级保护区。</w:t>
            </w:r>
          </w:p>
        </w:tc>
        <w:tc>
          <w:tcPr>
            <w:tcW w:w="2053"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迤佐河</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水库正常蓄水位</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1915.00</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m以下的全部水域。</w:t>
            </w:r>
          </w:p>
        </w:tc>
        <w:tc>
          <w:tcPr>
            <w:tcW w:w="1163"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0.2433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533" w:type="dxa"/>
            <w:vMerge w:val="continue"/>
            <w:vAlign w:val="center"/>
          </w:tcPr>
          <w:p>
            <w:pPr>
              <w:spacing w:line="400" w:lineRule="exact"/>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482"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4291"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6.2.2.1  小型和单一供水功能的湖泊、水库以及中小型水库为一级保护区水域外不小于200 m范围内的陆域，或一定高程线以下的陆域，但不超过流域分水岭范围。</w:t>
            </w:r>
          </w:p>
        </w:tc>
        <w:tc>
          <w:tcPr>
            <w:tcW w:w="2053"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迤佐河</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水库正常蓄水位</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外延200m范围</w:t>
            </w:r>
          </w:p>
        </w:tc>
        <w:tc>
          <w:tcPr>
            <w:tcW w:w="1163"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0.5523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7359" w:type="dxa"/>
            <w:gridSpan w:val="4"/>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小计</w:t>
            </w:r>
          </w:p>
        </w:tc>
        <w:tc>
          <w:tcPr>
            <w:tcW w:w="1163"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0.7956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533" w:type="dxa"/>
            <w:vMerge w:val="restart"/>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二</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级</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保</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护</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区</w:t>
            </w:r>
          </w:p>
        </w:tc>
        <w:tc>
          <w:tcPr>
            <w:tcW w:w="482"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4291"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6.3.1.1  满足条件的水源地，可采用类比经验法确定二级保护区水域范围。</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小型湖泊、中小型水库一级保护区边界外的水域面积设定为二级保护区。</w:t>
            </w:r>
          </w:p>
        </w:tc>
        <w:tc>
          <w:tcPr>
            <w:tcW w:w="2053"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迤佐河</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水库一级保护区边界外无大中型河流，仅为小型溪流，面积并入陆域范围统计。</w:t>
            </w:r>
          </w:p>
        </w:tc>
        <w:tc>
          <w:tcPr>
            <w:tcW w:w="1163"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533" w:type="dxa"/>
            <w:vMerge w:val="continue"/>
            <w:vAlign w:val="center"/>
          </w:tcPr>
          <w:p>
            <w:pPr>
              <w:spacing w:line="400" w:lineRule="exact"/>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482"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4291"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6.3.2.2  采用地形边界法或类比经验法</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小型水库可将上游整个流域（一级保护区陆域外区域）设定为二级保护区。</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单一功能的湖泊、水库、小型湖泊和平原型中型水库的二级保护区范围是一级保护区以外水平距离不小于2000 m区域，山区型中型水库二级保护区的范围为水库周边山脊线以内（一级保护区以外）及入库河流上溯不小于3000 m的汇水区域。二级保护区陆域边界不超过相应的流域分水岭。</w:t>
            </w:r>
          </w:p>
        </w:tc>
        <w:tc>
          <w:tcPr>
            <w:tcW w:w="2053"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流域分水岭范围内一级保护区外的其他区域</w:t>
            </w:r>
          </w:p>
        </w:tc>
        <w:tc>
          <w:tcPr>
            <w:tcW w:w="1163"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5.8746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7359" w:type="dxa"/>
            <w:gridSpan w:val="4"/>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小计</w:t>
            </w:r>
          </w:p>
        </w:tc>
        <w:tc>
          <w:tcPr>
            <w:tcW w:w="1163"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5.8746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240" w:hRule="atLeast"/>
        </w:trPr>
        <w:tc>
          <w:tcPr>
            <w:tcW w:w="533" w:type="dxa"/>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准保护区</w:t>
            </w:r>
          </w:p>
        </w:tc>
        <w:tc>
          <w:tcPr>
            <w:tcW w:w="482" w:type="dxa"/>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陆域</w:t>
            </w:r>
          </w:p>
        </w:tc>
        <w:tc>
          <w:tcPr>
            <w:tcW w:w="4291" w:type="dxa"/>
            <w:vAlign w:val="center"/>
          </w:tcPr>
          <w:p>
            <w:pPr>
              <w:adjustRightInd w:val="0"/>
              <w:snapToGrid w:val="0"/>
              <w:jc w:val="left"/>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4参照二级保护区的划分方法划分准保护区</w:t>
            </w:r>
          </w:p>
        </w:tc>
        <w:tc>
          <w:tcPr>
            <w:tcW w:w="2053"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以</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德胜-乍玉麦山间溶蚀凹地</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区域</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地表水分水岭</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为准保护区</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边界</w:t>
            </w:r>
          </w:p>
        </w:tc>
        <w:tc>
          <w:tcPr>
            <w:tcW w:w="1163"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4.5178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7359" w:type="dxa"/>
            <w:gridSpan w:val="4"/>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合计</w:t>
            </w:r>
          </w:p>
        </w:tc>
        <w:tc>
          <w:tcPr>
            <w:tcW w:w="1163"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11.1880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522" w:type="dxa"/>
            <w:gridSpan w:val="5"/>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备注：水位线高程为1985国家高程基准，采用2000国家大地坐标系计算面积。</w:t>
            </w:r>
          </w:p>
        </w:tc>
      </w:tr>
    </w:tbl>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33" w:name="_Toc20409156"/>
      <w:bookmarkStart w:id="134" w:name="_Toc12621593"/>
      <w:bookmarkStart w:id="135" w:name="_Toc27520686"/>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保护区定界的</w:t>
      </w:r>
      <w:bookmarkEnd w:id="133"/>
      <w:bookmarkEnd w:id="134"/>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依据</w:t>
      </w:r>
      <w:bookmarkEnd w:id="135"/>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（1）为便于开展日常环境管理工作，依据保护区划分的分析、计算结果，结合水源保护区的地形、地标、地物特点，最终确定各级保护区的界线。</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（2）充分利用具有永久性的明显标志如水分线、行政区界线、公路、铁路、桥梁、大型建筑物、水库大坝、水工建筑物、河流汊口、输电线、通讯线等标示保护区界线。</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（3）最终确定的各级保护区坐标红线图、表，作为政府部门审批的依据，也作为规划国土、环保部门土地开发审批的依据。</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（4）应按照国家规定设置饮用水水源地保护标志。</w:t>
      </w:r>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pPr>
      <w:bookmarkStart w:id="136" w:name="_Toc27520687"/>
      <w:bookmarkStart w:id="137" w:name="_Toc25162371"/>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第四章</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饮用水水源</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保护区</w:t>
      </w: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建设投资估算</w:t>
      </w:r>
      <w:bookmarkEnd w:id="136"/>
      <w:bookmarkEnd w:id="137"/>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38" w:name="_Toc27520688"/>
      <w:bookmarkStart w:id="139" w:name="_Toc25162372"/>
      <w:bookmarkStart w:id="140" w:name="_Toc12536221"/>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4</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.1</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保护区规范化建设项目投资估算</w:t>
      </w:r>
      <w:bookmarkEnd w:id="138"/>
      <w:bookmarkEnd w:id="139"/>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依据《集中式饮用水水源地规范化建设环境保护技术要求》（H</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J773-2015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），结合迤佐河水库保护区规范化建设及管理现状、存在问题分析，针对迤佐河水库保护区提出规范化建设项目。</w:t>
      </w:r>
      <w:bookmarkStart w:id="141" w:name="_Toc524596456"/>
    </w:p>
    <w:bookmarkEnd w:id="141"/>
    <w:p>
      <w:pPr>
        <w:keepNext/>
        <w:keepLines/>
        <w:spacing w:before="120" w:after="120" w:line="415" w:lineRule="auto"/>
        <w:outlineLvl w:val="2"/>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bookmarkStart w:id="142" w:name="_Toc27520689"/>
      <w:bookmarkStart w:id="143" w:name="_Toc25162373"/>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4.1.1 保护区范围划定工程</w:t>
      </w:r>
      <w:bookmarkEnd w:id="142"/>
      <w:bookmarkEnd w:id="143"/>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bookmarkStart w:id="144" w:name="_Hlk25181393"/>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根据保护区建设要求，饮用水水源保护区应依据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《饮用水水源保护区标志技术要求》（HJT433-2008）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设置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、交通警示牌、宣传牌等标识，在一级保护区周边人类活动频繁区域设置隔离防护设施。</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迤佐河水库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应根据划定的保护区范围设置标识、建设隔离防护设施。</w:t>
      </w:r>
    </w:p>
    <w:bookmarkEnd w:id="144"/>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45" w:name="_Toc452322606"/>
      <w:bookmarkStart w:id="146" w:name="_Toc478742845"/>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一级保护区围网</w:t>
      </w:r>
      <w:bookmarkEnd w:id="145"/>
      <w:bookmarkEnd w:id="146"/>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佐河水库一级保护区陆域边界长4198m，需要在一级保护区周边人类活动频繁的区域设置隔离防护设施，根据迤佐河水库一级保护区边道路及村庄分布，在一级保护区乡村道路及水库周边村庄边界设置围网，需要设围网的边界长3992m。</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围网高1.8m，每3m设置一个立柱，单价以200元/m计（包含制作费、运输费和施工等），总投资约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79.84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（2）一级</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界桩</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一级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保护区边界制作埋设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，在公路进入保护区范围处设立标示标牌。采用50cm×25cm×10cm的水泥混凝土</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，单价以500元/个（包含</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测绘、</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制作费、运输费和埋设费等）计</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。经测算，迤佐河水库一级保护区边界长约4198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，共设拐点17个，设置界桩17个，需投资0.85元。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（3）二级</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界桩</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保护区边界制作埋设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，在公路进入保护区范围处设立标示标牌。采用50cm×25cm×10cm的水泥混凝土</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，单价以500元/个（包含</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测绘、</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制作费、运输费和埋设费等）计</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。经测算，迤佐河水库二级保护区边界长约11745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，共设拐点18个，按拐点设置界桩18个，需投资0.90万元。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（4）准</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界桩</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保护区边界制作埋设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，在公路进入保护区范围处设立标示标牌。采用50cm×25cm×10cm的水泥混凝土</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，单价以500元/个（包含</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测绘、</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制作费、运输费和埋设费等）计</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。经测算，迤佐河水库准保护区边界长约9443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，共设拐点20个，按拐点设置界桩20个，需投资1.00万元。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交通警示牌、宣传牌</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在水库保护区的进出路口设置交通警示牌，共计13块；同时，为加强宣传保护，规划在保护区内11个自然村设置水源保护宣传牌，共计11块。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交通警示牌、宣传牌依据《饮用水水源保护区标志技术要求》（HJ/T433-2008）设置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交通警示牌0.5万元/个，宣传牌0.5万元/个。</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设置1块取水口告示碑，钢筋混凝土，200cm×50cm×250cm，估价2万元/座。</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迤佐河水库饮用水源保护区边界及</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标志标牌投资估算见表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-1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迤佐河水库饮用水源保护区边界及</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标志标牌投资估算表</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2241"/>
        <w:gridCol w:w="1178"/>
        <w:gridCol w:w="1236"/>
        <w:gridCol w:w="1609"/>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blHeader/>
        </w:trPr>
        <w:tc>
          <w:tcPr>
            <w:tcW w:w="1078"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水库</w:t>
            </w:r>
          </w:p>
        </w:tc>
        <w:tc>
          <w:tcPr>
            <w:tcW w:w="2241" w:type="dxa"/>
            <w:shd w:val="clear" w:color="auto" w:fill="D9D9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工程内容</w:t>
            </w:r>
          </w:p>
        </w:tc>
        <w:tc>
          <w:tcPr>
            <w:tcW w:w="1178"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边界长</w:t>
            </w:r>
          </w:p>
          <w:p>
            <w:pPr>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（m）</w:t>
            </w:r>
          </w:p>
        </w:tc>
        <w:tc>
          <w:tcPr>
            <w:tcW w:w="1236"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工程数量</w:t>
            </w:r>
          </w:p>
        </w:tc>
        <w:tc>
          <w:tcPr>
            <w:tcW w:w="1609" w:type="dxa"/>
            <w:shd w:val="clear" w:color="auto" w:fill="D9D9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单价</w:t>
            </w:r>
          </w:p>
        </w:tc>
        <w:tc>
          <w:tcPr>
            <w:tcW w:w="1180"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p>
            <w:pPr>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078" w:type="dxa"/>
            <w:vMerge w:val="restart"/>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迤佐河水库</w:t>
            </w:r>
          </w:p>
        </w:tc>
        <w:tc>
          <w:tcPr>
            <w:tcW w:w="2241"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一级保护区围网</w:t>
            </w:r>
          </w:p>
        </w:tc>
        <w:tc>
          <w:tcPr>
            <w:tcW w:w="1178" w:type="dxa"/>
            <w:shd w:val="clear" w:color="auto" w:fill="auto"/>
            <w:vAlign w:val="bottom"/>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4198</w:t>
            </w:r>
          </w:p>
        </w:tc>
        <w:tc>
          <w:tcPr>
            <w:tcW w:w="12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2349m</w:t>
            </w:r>
          </w:p>
        </w:tc>
        <w:tc>
          <w:tcPr>
            <w:tcW w:w="1609"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0.02万元/</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m</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078"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41"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保护区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界桩</w:t>
            </w:r>
          </w:p>
        </w:tc>
        <w:tc>
          <w:tcPr>
            <w:tcW w:w="1178" w:type="dxa"/>
            <w:shd w:val="clear" w:color="auto" w:fill="auto"/>
            <w:vAlign w:val="bottom"/>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4198</w:t>
            </w:r>
          </w:p>
        </w:tc>
        <w:tc>
          <w:tcPr>
            <w:tcW w:w="12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17个</w:t>
            </w:r>
          </w:p>
        </w:tc>
        <w:tc>
          <w:tcPr>
            <w:tcW w:w="1609"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0.05</w:t>
            </w:r>
            <w:r>
              <w:rPr>
                <w:rFonts w:ascii="Times New Roman" w:hAnsi="Times New Roman" w:eastAsia="仿宋"/>
                <w:bCs/>
                <w:color w:val="0D0D0D" w:themeColor="text1" w:themeTint="F2"/>
                <w:sz w:val="24"/>
                <w:szCs w:val="24"/>
                <w14:textFill>
                  <w14:solidFill>
                    <w14:schemeClr w14:val="tx1">
                      <w14:lumMod w14:val="95000"/>
                      <w14:lumOff w14:val="5000"/>
                    </w14:schemeClr>
                  </w14:solidFill>
                </w14:textFill>
              </w:rPr>
              <w:t>万元/个</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078"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41"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二级保护区界桩</w:t>
            </w:r>
          </w:p>
        </w:tc>
        <w:tc>
          <w:tcPr>
            <w:tcW w:w="1178" w:type="dxa"/>
            <w:shd w:val="clear" w:color="auto" w:fill="auto"/>
            <w:vAlign w:val="bottom"/>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11745</w:t>
            </w:r>
          </w:p>
        </w:tc>
        <w:tc>
          <w:tcPr>
            <w:tcW w:w="12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18个</w:t>
            </w:r>
          </w:p>
        </w:tc>
        <w:tc>
          <w:tcPr>
            <w:tcW w:w="1609"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0.05</w:t>
            </w:r>
            <w:r>
              <w:rPr>
                <w:rFonts w:ascii="Times New Roman" w:hAnsi="Times New Roman" w:eastAsia="仿宋"/>
                <w:bCs/>
                <w:color w:val="0D0D0D" w:themeColor="text1" w:themeTint="F2"/>
                <w:sz w:val="24"/>
                <w:szCs w:val="24"/>
                <w14:textFill>
                  <w14:solidFill>
                    <w14:schemeClr w14:val="tx1">
                      <w14:lumMod w14:val="95000"/>
                      <w14:lumOff w14:val="5000"/>
                    </w14:schemeClr>
                  </w14:solidFill>
                </w14:textFill>
              </w:rPr>
              <w:t>万元/个</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078"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41"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准保护区界桩</w:t>
            </w:r>
          </w:p>
        </w:tc>
        <w:tc>
          <w:tcPr>
            <w:tcW w:w="1178" w:type="dxa"/>
            <w:shd w:val="clear" w:color="auto" w:fill="auto"/>
            <w:vAlign w:val="bottom"/>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9443</w:t>
            </w:r>
          </w:p>
        </w:tc>
        <w:tc>
          <w:tcPr>
            <w:tcW w:w="12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20个</w:t>
            </w:r>
          </w:p>
        </w:tc>
        <w:tc>
          <w:tcPr>
            <w:tcW w:w="1609"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0.05</w:t>
            </w:r>
            <w:r>
              <w:rPr>
                <w:rFonts w:ascii="Times New Roman" w:hAnsi="Times New Roman" w:eastAsia="仿宋"/>
                <w:bCs/>
                <w:color w:val="0D0D0D" w:themeColor="text1" w:themeTint="F2"/>
                <w:sz w:val="24"/>
                <w:szCs w:val="24"/>
                <w14:textFill>
                  <w14:solidFill>
                    <w14:schemeClr w14:val="tx1">
                      <w14:lumMod w14:val="95000"/>
                      <w14:lumOff w14:val="5000"/>
                    </w14:schemeClr>
                  </w14:solidFill>
                </w14:textFill>
              </w:rPr>
              <w:t>万元/个</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078"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41"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交通警示牌</w:t>
            </w:r>
          </w:p>
        </w:tc>
        <w:tc>
          <w:tcPr>
            <w:tcW w:w="1178"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2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13块</w:t>
            </w:r>
          </w:p>
        </w:tc>
        <w:tc>
          <w:tcPr>
            <w:tcW w:w="1609"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万元/块</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078"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41"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宣传牌</w:t>
            </w:r>
          </w:p>
        </w:tc>
        <w:tc>
          <w:tcPr>
            <w:tcW w:w="1178"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2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11块</w:t>
            </w:r>
          </w:p>
        </w:tc>
        <w:tc>
          <w:tcPr>
            <w:tcW w:w="1609"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万元/块</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078"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41"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取水口告示牌</w:t>
            </w:r>
          </w:p>
        </w:tc>
        <w:tc>
          <w:tcPr>
            <w:tcW w:w="1178"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2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1块</w:t>
            </w:r>
          </w:p>
        </w:tc>
        <w:tc>
          <w:tcPr>
            <w:tcW w:w="1609"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2万元/块</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078" w:type="dxa"/>
            <w:vMerge w:val="continue"/>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6264" w:type="dxa"/>
            <w:gridSpan w:val="4"/>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96.59</w:t>
            </w:r>
          </w:p>
        </w:tc>
      </w:tr>
    </w:tbl>
    <w:p>
      <w:pPr>
        <w:keepNext/>
        <w:keepLines/>
        <w:spacing w:before="120" w:after="120" w:line="415" w:lineRule="auto"/>
        <w:outlineLvl w:val="2"/>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bookmarkStart w:id="147" w:name="_Toc25162374"/>
      <w:bookmarkStart w:id="148" w:name="_Toc27520690"/>
      <w:bookmarkStart w:id="149" w:name="_Toc524596457"/>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4.1.2 保护区整治工程</w:t>
      </w:r>
      <w:bookmarkEnd w:id="147"/>
      <w:bookmarkEnd w:id="148"/>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根据技术规范要求，对一级保护区、二级保护区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、准保护区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进行污染整治。一级保护区内不存在与供水设施和保护水源无关的建设项目，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保护区划定前已有的建设项目拆除或关闭并视情进行生态修复；保护区内无工业、生活排污口，无畜禽养殖、网箱养殖、旅游、游泳、垂钓等活动；</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保护区内无新增农业种植和经济林，已有的农业种植严格控制化肥、农药等非点源污染，并逐步退出。二级保护区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整治点源、控制非点源、管理流动源，</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实行科学种植和非点源污染防治。</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准保护区内无新建、扩建对水体污染养殖的建设项目，无毁林开荒行为等</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迤佐河水库保护区划分结果，一级保护区内无与水源保护无关的建设项目及排口，但存在农村居民居住、畜禽养殖及耕地种植；二级保护区内有大量居民居住、畜禽养殖及耕地种植；准保护区内有居民居住、畜禽养殖及耕地种植。因此主要对保护区内农村生活面源污染、畜禽养殖污染及耕地种植面源污染实施控制工程；并加强保护区内道路交通污染和风险防控。</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面源污染控制</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bookmarkEnd w:id="149"/>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1）退耕还林工程</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通过实施退耕还林还草，清退一级保护区内全部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耕地，禁止区内新开垦耕地。根据201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国家发展改革局、财政部、国家林业局、农业部、国土资源部联合下发的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关于下达2017年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退耕还林还草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年度任务的通知</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》，退耕还林补助为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00元/亩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，每亩第一年900元（其中，种苗造林费400元）、第三年300元、第五年400元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迤佐河水库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一级保护区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现状有耕地约2.33亩（0.16hm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约0.37万元。</w:t>
      </w:r>
      <w:bookmarkStart w:id="150" w:name="_Toc524596458"/>
    </w:p>
    <w:p>
      <w:pPr>
        <w:widowControl/>
        <w:adjustRightInd w:val="0"/>
        <w:snapToGrid w:val="0"/>
        <w:spacing w:before="156" w:beforeLines="50"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2）农村生活</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面源治理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迤佐河水库一级保护区内主要涉及迤佐河村，约84户287人，应对保护区内居民生活污水及生活垃圾进行集中收集和处理。</w:t>
      </w:r>
    </w:p>
    <w:p>
      <w:pPr>
        <w:adjustRightInd w:val="0"/>
        <w:snapToGrid w:val="0"/>
        <w:spacing w:line="360" w:lineRule="auto"/>
        <w:ind w:firstLine="56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农村生活垃圾处置工程：</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建成</w:t>
      </w:r>
      <w:r>
        <w:rPr>
          <w:rFonts w:ascii="仿宋" w:hAnsi="仿宋" w:eastAsia="仿宋" w:cs="Times New Roman"/>
          <w:color w:val="0D0D0D" w:themeColor="text1" w:themeTint="F2"/>
          <w:sz w:val="28"/>
          <w:szCs w:val="28"/>
          <w14:textFill>
            <w14:solidFill>
              <w14:schemeClr w14:val="tx1">
                <w14:lumMod w14:val="95000"/>
                <w14:lumOff w14:val="5000"/>
              </w14:schemeClr>
            </w14:solidFill>
          </w14:textFill>
        </w:rPr>
        <w:t>“组保洁、村收集、乡（镇）转运、县（市）区处置”的城乡生活垃圾无害化</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收运处置四级管理体制，将保护区内农村生活垃圾集中收集并在保护区外进行无害化处置，近期农村生活垃圾收集处理率达80%。垃圾收集基础设施（垃圾房）每个自然村设置1个，按村委会投工投劳，政府补助方式实施，投资以0.5万元/个计；每个村委会配置1辆农用三轮摩托式垃圾清运车，以2万元/辆计；垃圾清运费（含清运人员工资、运输车辆运维等），向农户定期收取后支付，以10元/户/月估算。</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迤佐河水库一级保护区内迤佐河村</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配备垃圾清运车</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辆，</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投资2.00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万元</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；建设1个</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垃圾收集基础设施</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，投资0.50万元；84</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户垃圾清运年运维费约</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1.01</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万元/年。</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共投资3.51万元，垃圾收集清运后由镇统一集中处理。</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农村生活污水处置工程：迤佐河村居民居住较为集中，采用集中生活污水处理方式，并将生活污水收集处理后引出流域外。根据自然村生活污水产生量设计污水集中处理设施规模分别为10t/d，截污沟渠、截污管道及处理设施投资以1万元/t计，估算投资10.00万元。</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3）畜禽养殖</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面源治理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迤佐河水库一级保护内主要涉及1个自然村，畜禽养殖约为肉猪124头、肉牛12头、肉羊70只。</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结合“提升城乡人居环境五年行动计划”，对保护区内农户畜禽养殖实施“改圈”，规范农村畜禽养殖，加强相关宣传教育工作，提高农户污染防范意识，畜禽养殖粪便禁止排入区内地表水体。农户“改圈”按村民投工投劳，政府补助方式实施，投资按0.5万元/户计，田边水库保护区内84户全面实施“改圈”，投资约42.00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（2）二级保护区面源污染控制</w:t>
      </w:r>
      <w:bookmarkEnd w:id="150"/>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1）退耕还林工程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二级保护区内25°以上坡耕地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逐步</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实施退耕还林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。根据统计分析，迤佐河水库二级保护区2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以上坡</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耕地面积</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约95.29亩（6.35hm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现状及退耕还林投资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估算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见下表。</w:t>
      </w: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迤佐河水库二级</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保护区退耕还林工程投资估算表</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1312"/>
        <w:gridCol w:w="1478"/>
        <w:gridCol w:w="1278"/>
        <w:gridCol w:w="1135"/>
        <w:gridCol w:w="1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blHeader/>
        </w:trPr>
        <w:tc>
          <w:tcPr>
            <w:tcW w:w="1572" w:type="dxa"/>
            <w:vMerge w:val="restart"/>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农用地类型</w:t>
            </w:r>
          </w:p>
        </w:tc>
        <w:tc>
          <w:tcPr>
            <w:tcW w:w="1312"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现状面积</w:t>
            </w:r>
          </w:p>
        </w:tc>
        <w:tc>
          <w:tcPr>
            <w:tcW w:w="2756" w:type="dxa"/>
            <w:gridSpan w:val="2"/>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退耕还林面积</w:t>
            </w:r>
          </w:p>
        </w:tc>
        <w:tc>
          <w:tcPr>
            <w:tcW w:w="1135" w:type="dxa"/>
            <w:shd w:val="clear" w:color="auto" w:fill="D8D8D8" w:themeFill="background1" w:themeFillShade="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单价</w:t>
            </w:r>
          </w:p>
        </w:tc>
        <w:tc>
          <w:tcPr>
            <w:tcW w:w="1747"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blHeader/>
        </w:trPr>
        <w:tc>
          <w:tcPr>
            <w:tcW w:w="1572" w:type="dxa"/>
            <w:vMerge w:val="continue"/>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p>
        </w:tc>
        <w:tc>
          <w:tcPr>
            <w:tcW w:w="1312"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478"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278" w:type="dxa"/>
            <w:shd w:val="clear" w:color="auto" w:fill="D8D8D8" w:themeFill="background1" w:themeFillShade="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亩</w:t>
            </w:r>
          </w:p>
        </w:tc>
        <w:tc>
          <w:tcPr>
            <w:tcW w:w="1135" w:type="dxa"/>
            <w:shd w:val="clear" w:color="auto" w:fill="D8D8D8" w:themeFill="background1" w:themeFillShade="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万元/亩</w:t>
            </w:r>
          </w:p>
        </w:tc>
        <w:tc>
          <w:tcPr>
            <w:tcW w:w="1747"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572"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旱地</w:t>
            </w:r>
          </w:p>
        </w:tc>
        <w:tc>
          <w:tcPr>
            <w:tcW w:w="1312"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221.89</w:t>
            </w:r>
          </w:p>
        </w:tc>
        <w:tc>
          <w:tcPr>
            <w:tcW w:w="1478"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6.35</w:t>
            </w:r>
          </w:p>
        </w:tc>
        <w:tc>
          <w:tcPr>
            <w:tcW w:w="127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95.29</w:t>
            </w:r>
          </w:p>
        </w:tc>
        <w:tc>
          <w:tcPr>
            <w:tcW w:w="1135"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16</w:t>
            </w:r>
          </w:p>
        </w:tc>
        <w:tc>
          <w:tcPr>
            <w:tcW w:w="1747"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15.25</w:t>
            </w:r>
          </w:p>
        </w:tc>
      </w:tr>
    </w:tbl>
    <w:p>
      <w:pPr>
        <w:widowControl/>
        <w:adjustRightInd w:val="0"/>
        <w:snapToGrid w:val="0"/>
        <w:spacing w:before="156" w:beforeLines="50"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测土配方施肥</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针对目前农田化肥施用过量，化肥氮、磷、钾配比不协调，农作物品质下降、农田氮、磷流失严重等问题，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实施测土配方施肥技术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农田的实际情况，当地测土配方施肥技术推广和示范费用补助1500元/hm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元/亩）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迤佐河水库二级保护区内的旱地进行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测土</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配方推广，实施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面积约为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215.54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，总投资约为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32.33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迤佐河水库二级保护区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测土配方施肥</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面积及</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测算</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415"/>
        <w:gridCol w:w="2759"/>
        <w:gridCol w:w="1413"/>
        <w:gridCol w:w="1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704" w:type="dxa"/>
            <w:vMerge w:val="restart"/>
            <w:shd w:val="clear" w:color="auto" w:fill="D8D8D8" w:themeFill="background1" w:themeFillShade="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农用地类型</w:t>
            </w:r>
          </w:p>
        </w:tc>
        <w:tc>
          <w:tcPr>
            <w:tcW w:w="1415"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现状面积</w:t>
            </w:r>
          </w:p>
        </w:tc>
        <w:tc>
          <w:tcPr>
            <w:tcW w:w="2759"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测土配方施肥</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面积</w:t>
            </w:r>
          </w:p>
        </w:tc>
        <w:tc>
          <w:tcPr>
            <w:tcW w:w="1413"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单价</w:t>
            </w:r>
          </w:p>
        </w:tc>
        <w:tc>
          <w:tcPr>
            <w:tcW w:w="1231"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704" w:type="dxa"/>
            <w:vMerge w:val="continue"/>
            <w:shd w:val="clear" w:color="auto" w:fill="D8D8D8" w:themeFill="background1" w:themeFillShade="D9"/>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p>
        </w:tc>
        <w:tc>
          <w:tcPr>
            <w:tcW w:w="1415"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2759"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1413" w:type="dxa"/>
            <w:shd w:val="clear" w:color="auto" w:fill="D9D9D9"/>
            <w:noWrap/>
            <w:vAlign w:val="center"/>
          </w:tcPr>
          <w:p>
            <w:pPr>
              <w:widowControl/>
              <w:jc w:val="cente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万元/hm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1231"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704"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旱地</w:t>
            </w:r>
          </w:p>
        </w:tc>
        <w:tc>
          <w:tcPr>
            <w:tcW w:w="1415"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221.89</w:t>
            </w:r>
          </w:p>
        </w:tc>
        <w:tc>
          <w:tcPr>
            <w:tcW w:w="2759"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215.54</w:t>
            </w:r>
          </w:p>
        </w:tc>
        <w:tc>
          <w:tcPr>
            <w:tcW w:w="1413"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231"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32.33</w:t>
            </w:r>
          </w:p>
        </w:tc>
      </w:tr>
    </w:tbl>
    <w:p>
      <w:pPr>
        <w:widowControl/>
        <w:adjustRightInd w:val="0"/>
        <w:snapToGrid w:val="0"/>
        <w:spacing w:before="156" w:beforeLines="50"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3）农村生活</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面源治理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迤佐河水库二级保护区内主要涉及德胜村的夏家寨、响水坝、大水沟、郭家槽子4个自然村，二级保护区内有265户1057人。</w:t>
      </w:r>
    </w:p>
    <w:p>
      <w:pPr>
        <w:adjustRightInd w:val="0"/>
        <w:snapToGrid w:val="0"/>
        <w:spacing w:line="360" w:lineRule="auto"/>
        <w:ind w:firstLine="56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农村生活垃圾处置工程：</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建成</w:t>
      </w:r>
      <w:r>
        <w:rPr>
          <w:rFonts w:ascii="仿宋" w:hAnsi="仿宋" w:eastAsia="仿宋" w:cs="Times New Roman"/>
          <w:color w:val="0D0D0D" w:themeColor="text1" w:themeTint="F2"/>
          <w:sz w:val="28"/>
          <w:szCs w:val="28"/>
          <w14:textFill>
            <w14:solidFill>
              <w14:schemeClr w14:val="tx1">
                <w14:lumMod w14:val="95000"/>
                <w14:lumOff w14:val="5000"/>
              </w14:schemeClr>
            </w14:solidFill>
          </w14:textFill>
        </w:rPr>
        <w:t>“组保洁、村收集、乡（镇）转运、县（市）区处置”的城乡生活垃圾无害化</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收运处置四级管理体制，将保护区内农村生活垃圾集中收集并在保护区外进行无害化处置，近期农村生活垃圾收集处理率达80%。垃圾收集基础设施（垃圾房）每个自然村设置1个，按村委会投工投劳，政府补助方式实施，投资以0.5万元/个计；每个村委会配置1辆农用三轮摩托式垃圾清运车，以2万元/辆计；垃圾清运费（含清运人员工资、运输车辆运维等），向农户定期收取后支付，以10元/户/月估算。</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迤佐河水库二级保护区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涉及</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1个村委会4个自然村，</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配备垃圾清运车</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辆，</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投资2.00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万元</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；4个自然村各建设1个</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垃圾收集基础设施</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，投资2.00万元；265</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户垃圾清运年运维费约</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3.18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万元/年。</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共投资7.18万元，垃圾收集清运后由镇统一处置。</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农村生活污水处置工程：二级保护区内村庄污水应收集后进行集中处置，开展生活污水收集处理的村庄数达到100%，农村生活污水收集处置率需达到50%。居住较为集中的自然村采用集中生活污水处理方式，并将生活污水收集处理后引出流域外；分散居住的普及卫生厕所用于生活污水处理。二级保护区的夏家寨（65户273人）、响水坝（73户298人）、大水沟（45户157人）采用污水集中收集处理设施，根据各自然村生活污水产生量设计污水集中处理设施规模分别为7t/d、8t/d、4t/d，截污沟渠、截污管道及处理设施投资以1万元/t计，估算投资19.00万元。</w:t>
      </w:r>
    </w:p>
    <w:p>
      <w:pPr>
        <w:adjustRightInd w:val="0"/>
        <w:snapToGrid w:val="0"/>
        <w:spacing w:line="360" w:lineRule="auto"/>
        <w:ind w:firstLine="56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农村卫生厕所普及工程：对保护区内的农户实</w:t>
      </w:r>
      <w:r>
        <w:rPr>
          <w:rFonts w:ascii="仿宋" w:hAnsi="仿宋" w:eastAsia="仿宋" w:cs="Times New Roman"/>
          <w:color w:val="0D0D0D" w:themeColor="text1" w:themeTint="F2"/>
          <w:sz w:val="28"/>
          <w:szCs w:val="28"/>
          <w14:textFill>
            <w14:solidFill>
              <w14:schemeClr w14:val="tx1">
                <w14:lumMod w14:val="95000"/>
                <w14:lumOff w14:val="5000"/>
              </w14:schemeClr>
            </w14:solidFill>
          </w14:textFill>
        </w:rPr>
        <w:t>施农村卫生厕所普及工程，每个自然村至少建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成1座公共卫生厕</w:t>
      </w:r>
      <w:r>
        <w:rPr>
          <w:rFonts w:ascii="仿宋" w:hAnsi="仿宋" w:eastAsia="仿宋" w:cs="Times New Roman"/>
          <w:color w:val="0D0D0D" w:themeColor="text1" w:themeTint="F2"/>
          <w:sz w:val="28"/>
          <w:szCs w:val="28"/>
          <w14:textFill>
            <w14:solidFill>
              <w14:schemeClr w14:val="tx1">
                <w14:lumMod w14:val="95000"/>
                <w14:lumOff w14:val="5000"/>
              </w14:schemeClr>
            </w14:solidFill>
          </w14:textFill>
        </w:rPr>
        <w:t>所，对户用厕所实施“改厕”工</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程，保护区内户用卫生厕所普及率达</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100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%，按村民投工投劳，政府补助形式开展。各自然村公共卫生厕所，投资按5万元/个计，</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迤佐河水库二级保护区内郭家槽子设置1</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个</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公共卫生厕所，</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总投资约</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0.50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万元；户用卫生厕所投资按0.3万元/户计，</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82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户用卫生厕所投资约</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24.60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万元。合计总投资约</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29.60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万元。</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4）畜禽养殖</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面源治理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迤佐河水库保护内主要涉及4个自然村，畜禽养殖约为肉猪81头、肉牛14头、肉羊161只。</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结合“提升城乡人居环境五年行动计划”，对保护区内农户畜禽养殖实施“改圈”，规范农村畜禽养殖，加强相关宣传教育工作，提高农户污染防范意识，畜禽养殖粪便禁止排入区内地表水体。农户“改圈”按村民投工投劳，政府补助方式实施，投资按0.5万元/户计，迤佐河水库保护区内265户全面实施“改圈”，投资约132.50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51" w:name="_Toc524596460"/>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（3）准保护区面源污染控制工程</w:t>
      </w:r>
    </w:p>
    <w:p>
      <w:pPr>
        <w:widowControl/>
        <w:adjustRightInd w:val="0"/>
        <w:snapToGrid w:val="0"/>
        <w:spacing w:before="156" w:beforeLines="50"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测土配方施肥</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针对目前农田化肥施用过量，化肥氮、磷、钾配比不协调，农作物品质下降、农田氮、磷流失严重等问题，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实施测土配方施肥技术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农田的实际情况，当地测土配方施肥技术推广和示范费用补助1500元/hm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元/亩）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迤佐河水库准保护区内的旱地进行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测土</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配方推广，实施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面积约为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211.78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，总投资约为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31.77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迤佐河水库二级保护区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测土配方施肥</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面积及</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测算</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415"/>
        <w:gridCol w:w="2759"/>
        <w:gridCol w:w="1413"/>
        <w:gridCol w:w="1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704" w:type="dxa"/>
            <w:vMerge w:val="restart"/>
            <w:shd w:val="clear" w:color="auto" w:fill="D8D8D8" w:themeFill="background1" w:themeFillShade="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农用地类型</w:t>
            </w:r>
          </w:p>
        </w:tc>
        <w:tc>
          <w:tcPr>
            <w:tcW w:w="1415"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现状面积</w:t>
            </w:r>
          </w:p>
        </w:tc>
        <w:tc>
          <w:tcPr>
            <w:tcW w:w="2759"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测土配方施肥</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面积</w:t>
            </w:r>
          </w:p>
        </w:tc>
        <w:tc>
          <w:tcPr>
            <w:tcW w:w="1413"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单价</w:t>
            </w:r>
          </w:p>
        </w:tc>
        <w:tc>
          <w:tcPr>
            <w:tcW w:w="1231"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704" w:type="dxa"/>
            <w:vMerge w:val="continue"/>
            <w:shd w:val="clear" w:color="auto" w:fill="D8D8D8" w:themeFill="background1" w:themeFillShade="D9"/>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p>
        </w:tc>
        <w:tc>
          <w:tcPr>
            <w:tcW w:w="1415"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2759"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1413" w:type="dxa"/>
            <w:shd w:val="clear" w:color="auto" w:fill="D9D9D9"/>
            <w:noWrap/>
            <w:vAlign w:val="center"/>
          </w:tcPr>
          <w:p>
            <w:pPr>
              <w:widowControl/>
              <w:jc w:val="cente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万元/hm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1231"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704"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旱地</w:t>
            </w:r>
          </w:p>
        </w:tc>
        <w:tc>
          <w:tcPr>
            <w:tcW w:w="1415"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211.78</w:t>
            </w:r>
          </w:p>
        </w:tc>
        <w:tc>
          <w:tcPr>
            <w:tcW w:w="2759"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211.79</w:t>
            </w:r>
          </w:p>
        </w:tc>
        <w:tc>
          <w:tcPr>
            <w:tcW w:w="1413"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231"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31.77</w:t>
            </w:r>
          </w:p>
        </w:tc>
      </w:tr>
    </w:tbl>
    <w:p>
      <w:pPr>
        <w:widowControl/>
        <w:adjustRightInd w:val="0"/>
        <w:snapToGrid w:val="0"/>
        <w:spacing w:before="156" w:beforeLines="50"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2）农村生活</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面源治理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迤佐河水库准保护区内主要涉及德胜村的石家寨、陈家寨、小铺子、水井上、大石头、炸玉麦6个自然村，准保护区内有565户2389人。</w:t>
      </w:r>
    </w:p>
    <w:p>
      <w:pPr>
        <w:adjustRightInd w:val="0"/>
        <w:snapToGrid w:val="0"/>
        <w:spacing w:line="360" w:lineRule="auto"/>
        <w:ind w:firstLine="56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农村生活垃圾处置工程：</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迤佐河水库准保护区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涉及</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1个村委会6个自然村，根据村庄分布情况共</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配备垃圾清运车</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辆，</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投资4.00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万元</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；6个自然村各建设1个</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垃圾收集基础设施</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，投资3.00万元；565</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户垃圾清运年运维费约</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6.78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万元/年。</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共投资13.78万元。</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农村生活污水处置工程：准保护区内村庄污水应收集后进行集中处置，开展生活污水收集处理的村庄数达到100%，农村生活污水收集处置率需达到50%。居住较为集中的自然村采用集中生活污水处理方式，并将生活污水收集处理后引出流域外；分散居住的普及卫生厕所用于生活污水处理。准保护区涉及的6个自然村居民居住较为集中，均采用污水集中收集处理设施，每个自然村建设1套污水集中处理设施及完善配套截污管网，根据各自然村生活污水产生量设计污水集中处理设施规模分别为8t/d、4t/d、9t/d、7t/d、8t/d、25t/d，截污沟渠、截污管道及处理设施投资以1万元/t计，估算投资61.00万元。</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3）畜禽养殖</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面源治理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佐河水库准保护内主要涉及6个自然村，存在分散畜禽养殖。结合“提升城乡人居环境五年行动计划”，对保护区内农户畜禽养殖实施“改圈”，规范农村畜禽养殖，加强相关宣传教育工作，提高农户污染防范意识，畜禽养殖粪便禁止排入区内地表水体。农户“改圈”按村民投工投劳，政府补助方式实施，投资按0.5万元/户计，迤佐河水库准保护区内565户居民实施“改圈”，“改圈”率达60%以上，投资约169.50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（4）交通污染和风险控制</w:t>
      </w:r>
      <w:bookmarkEnd w:id="151"/>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迤佐河水库保护区范围内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省道、县道、乡道及连接各自然村道路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穿过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，一级保护区、二级保护区、准保护区内均有分布。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为防止和杜绝保护区沿岸道路运输带来的污染和运输事故带来的污染隐患，</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在一级保护区、二级保护区、准保护区主要道路需设置饮用水源保护区交通安全标志，主要道路设置截排水沟，</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具体内容及</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投资估算详见表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5，规划</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60.70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迤佐河水库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交通污染控制工程投资估算表</w:t>
      </w:r>
    </w:p>
    <w:tbl>
      <w:tblPr>
        <w:tblStyle w:val="4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1280"/>
        <w:gridCol w:w="10"/>
        <w:gridCol w:w="1064"/>
        <w:gridCol w:w="7"/>
        <w:gridCol w:w="1558"/>
        <w:gridCol w:w="1185"/>
        <w:gridCol w:w="1072"/>
        <w:gridCol w:w="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540"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保护区划</w:t>
            </w:r>
          </w:p>
        </w:tc>
        <w:tc>
          <w:tcPr>
            <w:tcW w:w="1290" w:type="dxa"/>
            <w:gridSpan w:val="2"/>
            <w:shd w:val="clear" w:color="000000" w:fill="D9D9D9"/>
            <w:noWrap/>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公路名称</w:t>
            </w:r>
          </w:p>
        </w:tc>
        <w:tc>
          <w:tcPr>
            <w:tcW w:w="1071" w:type="dxa"/>
            <w:gridSpan w:val="2"/>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长度</w:t>
            </w:r>
          </w:p>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km</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w:t>
            </w:r>
          </w:p>
        </w:tc>
        <w:tc>
          <w:tcPr>
            <w:tcW w:w="1558"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拟采取防护措施</w:t>
            </w:r>
          </w:p>
        </w:tc>
        <w:tc>
          <w:tcPr>
            <w:tcW w:w="1185"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工程规模</w:t>
            </w:r>
          </w:p>
        </w:tc>
        <w:tc>
          <w:tcPr>
            <w:tcW w:w="1072"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单价</w:t>
            </w:r>
          </w:p>
        </w:tc>
        <w:tc>
          <w:tcPr>
            <w:tcW w:w="806"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投资</w:t>
            </w:r>
          </w:p>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40" w:type="dxa"/>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w:t>
            </w:r>
          </w:p>
        </w:tc>
        <w:tc>
          <w:tcPr>
            <w:tcW w:w="1290" w:type="dxa"/>
            <w:gridSpan w:val="2"/>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省道S213</w:t>
            </w:r>
          </w:p>
        </w:tc>
        <w:tc>
          <w:tcPr>
            <w:tcW w:w="1071" w:type="dxa"/>
            <w:gridSpan w:val="2"/>
            <w:vAlign w:val="bottom"/>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 xml:space="preserve">2.67 </w:t>
            </w:r>
          </w:p>
        </w:tc>
        <w:tc>
          <w:tcPr>
            <w:tcW w:w="1558" w:type="dxa"/>
            <w:vMerge w:val="restart"/>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完善</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公路截排水调节沟</w:t>
            </w:r>
          </w:p>
        </w:tc>
        <w:tc>
          <w:tcPr>
            <w:tcW w:w="1185" w:type="dxa"/>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2.67km</w:t>
            </w:r>
          </w:p>
        </w:tc>
        <w:tc>
          <w:tcPr>
            <w:tcW w:w="1072" w:type="dxa"/>
            <w:vMerge w:val="restart"/>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10万元/km</w:t>
            </w:r>
          </w:p>
        </w:tc>
        <w:tc>
          <w:tcPr>
            <w:tcW w:w="806" w:type="dxa"/>
            <w:vAlign w:val="bottom"/>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40" w:type="dxa"/>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w:t>
            </w:r>
          </w:p>
        </w:tc>
        <w:tc>
          <w:tcPr>
            <w:tcW w:w="1290" w:type="dxa"/>
            <w:gridSpan w:val="2"/>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县道152</w:t>
            </w:r>
          </w:p>
        </w:tc>
        <w:tc>
          <w:tcPr>
            <w:tcW w:w="1071" w:type="dxa"/>
            <w:gridSpan w:val="2"/>
            <w:vAlign w:val="bottom"/>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 xml:space="preserve">0.44 </w:t>
            </w:r>
          </w:p>
        </w:tc>
        <w:tc>
          <w:tcPr>
            <w:tcW w:w="1558" w:type="dxa"/>
            <w:vMerge w:val="continue"/>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85" w:type="dxa"/>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0.44km</w:t>
            </w:r>
          </w:p>
        </w:tc>
        <w:tc>
          <w:tcPr>
            <w:tcW w:w="1072" w:type="dxa"/>
            <w:vMerge w:val="continue"/>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806" w:type="dxa"/>
            <w:vAlign w:val="bottom"/>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40" w:type="dxa"/>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w:t>
            </w:r>
          </w:p>
        </w:tc>
        <w:tc>
          <w:tcPr>
            <w:tcW w:w="1290" w:type="dxa"/>
            <w:gridSpan w:val="2"/>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乡村道路</w:t>
            </w:r>
          </w:p>
        </w:tc>
        <w:tc>
          <w:tcPr>
            <w:tcW w:w="1071" w:type="dxa"/>
            <w:gridSpan w:val="2"/>
            <w:vAlign w:val="bottom"/>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 xml:space="preserve">0.64 </w:t>
            </w:r>
          </w:p>
        </w:tc>
        <w:tc>
          <w:tcPr>
            <w:tcW w:w="1558" w:type="dxa"/>
            <w:vMerge w:val="continue"/>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85" w:type="dxa"/>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0.64km</w:t>
            </w:r>
          </w:p>
        </w:tc>
        <w:tc>
          <w:tcPr>
            <w:tcW w:w="1072" w:type="dxa"/>
            <w:vMerge w:val="continue"/>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806" w:type="dxa"/>
            <w:vAlign w:val="bottom"/>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40" w:type="dxa"/>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二级保护区</w:t>
            </w:r>
          </w:p>
        </w:tc>
        <w:tc>
          <w:tcPr>
            <w:tcW w:w="1290" w:type="dxa"/>
            <w:gridSpan w:val="2"/>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省道S213</w:t>
            </w:r>
          </w:p>
        </w:tc>
        <w:tc>
          <w:tcPr>
            <w:tcW w:w="1071" w:type="dxa"/>
            <w:gridSpan w:val="2"/>
            <w:vAlign w:val="bottom"/>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 xml:space="preserve">0.70 </w:t>
            </w:r>
          </w:p>
        </w:tc>
        <w:tc>
          <w:tcPr>
            <w:tcW w:w="1558" w:type="dxa"/>
            <w:vMerge w:val="continue"/>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85" w:type="dxa"/>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0.70km</w:t>
            </w:r>
          </w:p>
        </w:tc>
        <w:tc>
          <w:tcPr>
            <w:tcW w:w="1072" w:type="dxa"/>
            <w:vMerge w:val="continue"/>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806" w:type="dxa"/>
            <w:vAlign w:val="bottom"/>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40" w:type="dxa"/>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二级保护区</w:t>
            </w:r>
          </w:p>
        </w:tc>
        <w:tc>
          <w:tcPr>
            <w:tcW w:w="1290" w:type="dxa"/>
            <w:gridSpan w:val="2"/>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县道152</w:t>
            </w:r>
          </w:p>
        </w:tc>
        <w:tc>
          <w:tcPr>
            <w:tcW w:w="1071" w:type="dxa"/>
            <w:gridSpan w:val="2"/>
            <w:vAlign w:val="bottom"/>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 xml:space="preserve">0.55 </w:t>
            </w:r>
          </w:p>
        </w:tc>
        <w:tc>
          <w:tcPr>
            <w:tcW w:w="1558" w:type="dxa"/>
            <w:vMerge w:val="continue"/>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85" w:type="dxa"/>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0.55km</w:t>
            </w:r>
          </w:p>
        </w:tc>
        <w:tc>
          <w:tcPr>
            <w:tcW w:w="1072" w:type="dxa"/>
            <w:vMerge w:val="continue"/>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806" w:type="dxa"/>
            <w:vAlign w:val="bottom"/>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40" w:type="dxa"/>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准保护区</w:t>
            </w:r>
          </w:p>
        </w:tc>
        <w:tc>
          <w:tcPr>
            <w:tcW w:w="1290" w:type="dxa"/>
            <w:gridSpan w:val="2"/>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省道S213</w:t>
            </w:r>
          </w:p>
        </w:tc>
        <w:tc>
          <w:tcPr>
            <w:tcW w:w="1071" w:type="dxa"/>
            <w:gridSpan w:val="2"/>
            <w:vAlign w:val="bottom"/>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 xml:space="preserve">1.07 </w:t>
            </w:r>
          </w:p>
        </w:tc>
        <w:tc>
          <w:tcPr>
            <w:tcW w:w="1558" w:type="dxa"/>
            <w:vMerge w:val="continue"/>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85" w:type="dxa"/>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1.07km</w:t>
            </w:r>
          </w:p>
        </w:tc>
        <w:tc>
          <w:tcPr>
            <w:tcW w:w="1072" w:type="dxa"/>
            <w:vMerge w:val="continue"/>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806" w:type="dxa"/>
            <w:vAlign w:val="bottom"/>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20" w:type="dxa"/>
            <w:gridSpan w:val="2"/>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074" w:type="dxa"/>
            <w:gridSpan w:val="2"/>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6.07</w:t>
            </w:r>
          </w:p>
        </w:tc>
        <w:tc>
          <w:tcPr>
            <w:tcW w:w="1565" w:type="dxa"/>
            <w:gridSpan w:val="2"/>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8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07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80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60.70</w:t>
            </w:r>
          </w:p>
        </w:tc>
      </w:tr>
    </w:tbl>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52" w:name="_Toc27520691"/>
      <w:bookmarkStart w:id="153" w:name="_Toc25162375"/>
      <w:bookmarkStart w:id="154" w:name="_Toc524596461"/>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5</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煤矿采矿权风险防控工程</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迤佐河水库保护区范围与南冲煤矿采矿区重叠，且重叠区域占水库保护区面积比例较大，南冲煤矿也不具备开采条件，为避免煤矿开采对水库造成的环境污染风险，南冲煤矿采矿权范围应退出重叠区。</w:t>
      </w:r>
    </w:p>
    <w:p>
      <w:pPr>
        <w:keepNext/>
        <w:keepLines/>
        <w:spacing w:before="120" w:after="120" w:line="415" w:lineRule="auto"/>
        <w:outlineLvl w:val="2"/>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 xml:space="preserve">4.1.3 </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生态恢复与建设工程</w:t>
      </w:r>
      <w:bookmarkEnd w:id="152"/>
      <w:bookmarkEnd w:id="153"/>
      <w:bookmarkEnd w:id="154"/>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针对饮用水水源地保护区内的生态现状，进行生态修复、生态建设工程，加强生态保护，提高保护区内自然净化能力，促进生态良性循环，改善和保护饮用水源水质。</w:t>
      </w:r>
    </w:p>
    <w:p>
      <w:pPr>
        <w:adjustRightInd w:val="0"/>
        <w:snapToGrid w:val="0"/>
        <w:spacing w:line="360" w:lineRule="auto"/>
        <w:ind w:firstLine="56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（1）退耕地人工造林工程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对迤佐河水库一级保护区内全部退耕地2.33亩、二级保护区25°以上坡耕地95.29亩退耕地实施人工造林，投资以0.15万元/亩计。</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现状及</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退耕地人工造林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估算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见下表。</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迤佐河水库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保护区退耕还林工程投资估算表</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1312"/>
        <w:gridCol w:w="1478"/>
        <w:gridCol w:w="1416"/>
        <w:gridCol w:w="1277"/>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blHeader/>
        </w:trPr>
        <w:tc>
          <w:tcPr>
            <w:tcW w:w="1572" w:type="dxa"/>
            <w:vMerge w:val="restart"/>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保护区</w:t>
            </w:r>
          </w:p>
        </w:tc>
        <w:tc>
          <w:tcPr>
            <w:tcW w:w="1312"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现状面积</w:t>
            </w:r>
          </w:p>
        </w:tc>
        <w:tc>
          <w:tcPr>
            <w:tcW w:w="2894" w:type="dxa"/>
            <w:gridSpan w:val="2"/>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退耕地造林</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面积</w:t>
            </w:r>
          </w:p>
        </w:tc>
        <w:tc>
          <w:tcPr>
            <w:tcW w:w="1277" w:type="dxa"/>
            <w:shd w:val="clear" w:color="000000" w:fill="D9D9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单价</w:t>
            </w:r>
          </w:p>
        </w:tc>
        <w:tc>
          <w:tcPr>
            <w:tcW w:w="1467"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blHeader/>
        </w:trPr>
        <w:tc>
          <w:tcPr>
            <w:tcW w:w="1572" w:type="dxa"/>
            <w:vMerge w:val="continue"/>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p>
        </w:tc>
        <w:tc>
          <w:tcPr>
            <w:tcW w:w="1312"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478"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416" w:type="dxa"/>
            <w:shd w:val="clear" w:color="000000" w:fill="D9D9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亩</w:t>
            </w:r>
          </w:p>
        </w:tc>
        <w:tc>
          <w:tcPr>
            <w:tcW w:w="1277" w:type="dxa"/>
            <w:shd w:val="clear" w:color="000000" w:fill="D9D9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万元/亩</w:t>
            </w:r>
          </w:p>
        </w:tc>
        <w:tc>
          <w:tcPr>
            <w:tcW w:w="1467"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572"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w:t>
            </w:r>
          </w:p>
        </w:tc>
        <w:tc>
          <w:tcPr>
            <w:tcW w:w="1312"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0.16</w:t>
            </w:r>
          </w:p>
        </w:tc>
        <w:tc>
          <w:tcPr>
            <w:tcW w:w="147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0.16</w:t>
            </w:r>
          </w:p>
        </w:tc>
        <w:tc>
          <w:tcPr>
            <w:tcW w:w="1416" w:type="dxa"/>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2.33</w:t>
            </w:r>
          </w:p>
        </w:tc>
        <w:tc>
          <w:tcPr>
            <w:tcW w:w="1277"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467"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572"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二级保护区</w:t>
            </w:r>
          </w:p>
        </w:tc>
        <w:tc>
          <w:tcPr>
            <w:tcW w:w="1312"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221.89</w:t>
            </w:r>
          </w:p>
        </w:tc>
        <w:tc>
          <w:tcPr>
            <w:tcW w:w="147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6.35</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95.29</w:t>
            </w:r>
          </w:p>
        </w:tc>
        <w:tc>
          <w:tcPr>
            <w:tcW w:w="1277"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467"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572"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312"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222.05</w:t>
            </w:r>
          </w:p>
        </w:tc>
        <w:tc>
          <w:tcPr>
            <w:tcW w:w="147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6.51</w:t>
            </w:r>
          </w:p>
        </w:tc>
        <w:tc>
          <w:tcPr>
            <w:tcW w:w="1416"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97.62</w:t>
            </w:r>
          </w:p>
        </w:tc>
        <w:tc>
          <w:tcPr>
            <w:tcW w:w="1277"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67" w:type="dxa"/>
            <w:shd w:val="clear" w:color="auto" w:fill="auto"/>
            <w:noWrap/>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14.64</w:t>
            </w:r>
          </w:p>
        </w:tc>
      </w:tr>
    </w:tbl>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（2）水土流失治理工程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保护区内的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土地利用现状、水土流失现状、水土保持工作方向和水源保护的相关要求，水源地保护区的一级保护区全部作为生态用地，本</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区划</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二级保护区、准保护区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作为水土流失综合治理区进行措施布局。</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采取农业用地措施（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坡改梯</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经济果木林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种植、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植物护埂</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保土耕作</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植物篱</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坡面水系措施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、作业便道措施、挖沙采石场迹地恢复措施）、生态用地措施（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水土保持林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种草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封禁治理措施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）、小型水利水保工程措施（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溪沟整治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拦砂坝</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）及其他辅助措施，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力争保护区内平均土壤侵蚀模数降至轻度（500 t/km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·a）以下，流域水土流失总量降低50%以上。水土流失综合治理工程投资按0.5万元/公顷估算，最终投资以具体实施项目可研设计为准。</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迤佐河水库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规划</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对一级保护区内的流失面积40.31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、二级保护区内的流失面积343.64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、准保护区内的流失面积206.15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实施治理，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295.05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迤佐河水库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水土流失治理工程规划及投资估算</w:t>
      </w:r>
    </w:p>
    <w:tbl>
      <w:tblPr>
        <w:tblStyle w:val="4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526"/>
        <w:gridCol w:w="1749"/>
        <w:gridCol w:w="1749"/>
        <w:gridCol w:w="1749"/>
        <w:gridCol w:w="174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526" w:type="dxa"/>
            <w:vMerge w:val="restart"/>
            <w:shd w:val="clear" w:color="auto" w:fill="D8D8D8" w:themeFill="background1" w:themeFillShade="D9"/>
            <w:vAlign w:val="center"/>
          </w:tcPr>
          <w:p>
            <w:pPr>
              <w:widowControl/>
              <w:snapToGrid w:val="0"/>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保护区</w:t>
            </w:r>
          </w:p>
        </w:tc>
        <w:tc>
          <w:tcPr>
            <w:tcW w:w="1749" w:type="dxa"/>
            <w:shd w:val="clear" w:color="auto" w:fill="D8D8D8" w:themeFill="background1" w:themeFillShade="D9"/>
            <w:vAlign w:val="center"/>
          </w:tcPr>
          <w:p>
            <w:pPr>
              <w:widowControl/>
              <w:snapToGrid w:val="0"/>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现状流失面积</w:t>
            </w:r>
          </w:p>
        </w:tc>
        <w:tc>
          <w:tcPr>
            <w:tcW w:w="1749" w:type="dxa"/>
            <w:shd w:val="clear" w:color="auto" w:fill="D8D8D8" w:themeFill="background1" w:themeFillShade="D9"/>
            <w:vAlign w:val="center"/>
          </w:tcPr>
          <w:p>
            <w:pPr>
              <w:widowControl/>
              <w:snapToGrid w:val="0"/>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治理面积</w:t>
            </w:r>
          </w:p>
        </w:tc>
        <w:tc>
          <w:tcPr>
            <w:tcW w:w="1749" w:type="dxa"/>
            <w:shd w:val="clear" w:color="auto" w:fill="D8D8D8" w:themeFill="background1" w:themeFillShade="D9"/>
            <w:vAlign w:val="center"/>
          </w:tcPr>
          <w:p>
            <w:pPr>
              <w:widowControl/>
              <w:snapToGrid w:val="0"/>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投资</w:t>
            </w:r>
          </w:p>
        </w:tc>
        <w:tc>
          <w:tcPr>
            <w:tcW w:w="1749" w:type="dxa"/>
            <w:shd w:val="clear" w:color="auto" w:fill="D8D8D8" w:themeFill="background1" w:themeFillShade="D9"/>
            <w:vAlign w:val="center"/>
          </w:tcPr>
          <w:p>
            <w:pPr>
              <w:widowControl/>
              <w:snapToGrid w:val="0"/>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规划土壤侵蚀模数目标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526" w:type="dxa"/>
            <w:vMerge w:val="continue"/>
            <w:shd w:val="clear" w:color="auto" w:fill="D8D8D8" w:themeFill="background1" w:themeFillShade="D9"/>
            <w:vAlign w:val="center"/>
          </w:tcPr>
          <w:p>
            <w:pPr>
              <w:widowControl/>
              <w:snapToGrid w:val="0"/>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749" w:type="dxa"/>
            <w:shd w:val="clear" w:color="auto" w:fill="D8D8D8" w:themeFill="background1" w:themeFillShade="D9"/>
            <w:vAlign w:val="center"/>
          </w:tcPr>
          <w:p>
            <w:pPr>
              <w:widowControl/>
              <w:snapToGrid w:val="0"/>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cs="Times New Roman"/>
                <w:b/>
                <w:bCs/>
                <w:color w:val="0D0D0D" w:themeColor="text1" w:themeTint="F2"/>
                <w:sz w:val="24"/>
                <w:szCs w:val="24"/>
                <w:vertAlign w:val="superscript"/>
                <w14:textFill>
                  <w14:solidFill>
                    <w14:schemeClr w14:val="tx1">
                      <w14:lumMod w14:val="95000"/>
                      <w14:lumOff w14:val="5000"/>
                    </w14:schemeClr>
                  </w14:solidFill>
                </w14:textFill>
              </w:rPr>
              <w:t>2</w:t>
            </w:r>
          </w:p>
        </w:tc>
        <w:tc>
          <w:tcPr>
            <w:tcW w:w="1749" w:type="dxa"/>
            <w:shd w:val="clear" w:color="auto" w:fill="D8D8D8" w:themeFill="background1" w:themeFillShade="D9"/>
            <w:vAlign w:val="center"/>
          </w:tcPr>
          <w:p>
            <w:pPr>
              <w:widowControl/>
              <w:snapToGrid w:val="0"/>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cs="Times New Roman"/>
                <w:b/>
                <w:bCs/>
                <w:color w:val="0D0D0D" w:themeColor="text1" w:themeTint="F2"/>
                <w:sz w:val="24"/>
                <w:szCs w:val="24"/>
                <w:vertAlign w:val="superscript"/>
                <w14:textFill>
                  <w14:solidFill>
                    <w14:schemeClr w14:val="tx1">
                      <w14:lumMod w14:val="95000"/>
                      <w14:lumOff w14:val="5000"/>
                    </w14:schemeClr>
                  </w14:solidFill>
                </w14:textFill>
              </w:rPr>
              <w:t>2</w:t>
            </w:r>
          </w:p>
        </w:tc>
        <w:tc>
          <w:tcPr>
            <w:tcW w:w="1749" w:type="dxa"/>
            <w:shd w:val="clear" w:color="auto" w:fill="D8D8D8" w:themeFill="background1" w:themeFillShade="D9"/>
            <w:vAlign w:val="center"/>
          </w:tcPr>
          <w:p>
            <w:pPr>
              <w:widowControl/>
              <w:snapToGrid w:val="0"/>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万元</w:t>
            </w:r>
          </w:p>
        </w:tc>
        <w:tc>
          <w:tcPr>
            <w:tcW w:w="1749" w:type="dxa"/>
            <w:shd w:val="clear" w:color="auto" w:fill="D8D8D8" w:themeFill="background1" w:themeFillShade="D9"/>
            <w:vAlign w:val="center"/>
          </w:tcPr>
          <w:p>
            <w:pPr>
              <w:widowControl/>
              <w:snapToGrid w:val="0"/>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t/km</w:t>
            </w:r>
            <w:r>
              <w:rPr>
                <w:rFonts w:ascii="Times New Roman" w:hAnsi="Times New Roman" w:eastAsia="仿宋" w:cs="Times New Roman"/>
                <w:b/>
                <w:bCs/>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526"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一级保护区</w:t>
            </w:r>
          </w:p>
        </w:tc>
        <w:tc>
          <w:tcPr>
            <w:tcW w:w="1749" w:type="dxa"/>
            <w:vAlign w:val="center"/>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46.69</w:t>
            </w:r>
          </w:p>
        </w:tc>
        <w:tc>
          <w:tcPr>
            <w:tcW w:w="1749" w:type="dxa"/>
            <w:vAlign w:val="bottom"/>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40.31</w:t>
            </w:r>
          </w:p>
        </w:tc>
        <w:tc>
          <w:tcPr>
            <w:tcW w:w="1749" w:type="dxa"/>
            <w:vAlign w:val="bottom"/>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20.15</w:t>
            </w:r>
          </w:p>
        </w:tc>
        <w:tc>
          <w:tcPr>
            <w:tcW w:w="1749" w:type="dxa"/>
            <w:vMerge w:val="restart"/>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526"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二级保护区</w:t>
            </w:r>
          </w:p>
        </w:tc>
        <w:tc>
          <w:tcPr>
            <w:tcW w:w="1749" w:type="dxa"/>
            <w:vAlign w:val="center"/>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513.55</w:t>
            </w:r>
          </w:p>
        </w:tc>
        <w:tc>
          <w:tcPr>
            <w:tcW w:w="1749" w:type="dxa"/>
            <w:vAlign w:val="bottom"/>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343.64</w:t>
            </w:r>
          </w:p>
        </w:tc>
        <w:tc>
          <w:tcPr>
            <w:tcW w:w="1749" w:type="dxa"/>
            <w:vAlign w:val="bottom"/>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171.82</w:t>
            </w:r>
          </w:p>
        </w:tc>
        <w:tc>
          <w:tcPr>
            <w:tcW w:w="1749" w:type="dxa"/>
            <w:vMerge w:val="continue"/>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526"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准保护区</w:t>
            </w:r>
          </w:p>
        </w:tc>
        <w:tc>
          <w:tcPr>
            <w:tcW w:w="1749" w:type="dxa"/>
            <w:vAlign w:val="center"/>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334.48</w:t>
            </w:r>
          </w:p>
        </w:tc>
        <w:tc>
          <w:tcPr>
            <w:tcW w:w="1749" w:type="dxa"/>
            <w:vAlign w:val="bottom"/>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206.15</w:t>
            </w:r>
          </w:p>
        </w:tc>
        <w:tc>
          <w:tcPr>
            <w:tcW w:w="1749" w:type="dxa"/>
            <w:vAlign w:val="bottom"/>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103.08</w:t>
            </w:r>
          </w:p>
        </w:tc>
        <w:tc>
          <w:tcPr>
            <w:tcW w:w="1749" w:type="dxa"/>
            <w:vMerge w:val="continue"/>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526"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合计</w:t>
            </w:r>
          </w:p>
        </w:tc>
        <w:tc>
          <w:tcPr>
            <w:tcW w:w="1749"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894.72</w:t>
            </w:r>
          </w:p>
        </w:tc>
        <w:tc>
          <w:tcPr>
            <w:tcW w:w="1749" w:type="dxa"/>
            <w:vAlign w:val="bottom"/>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590.10</w:t>
            </w:r>
          </w:p>
        </w:tc>
        <w:tc>
          <w:tcPr>
            <w:tcW w:w="1749"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295.05</w:t>
            </w:r>
          </w:p>
        </w:tc>
        <w:tc>
          <w:tcPr>
            <w:tcW w:w="1749" w:type="dxa"/>
            <w:vMerge w:val="continue"/>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r>
    </w:tbl>
    <w:p>
      <w:pPr>
        <w:keepNext/>
        <w:keepLines/>
        <w:spacing w:before="120" w:after="120" w:line="415" w:lineRule="auto"/>
        <w:outlineLvl w:val="2"/>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bookmarkStart w:id="155" w:name="_Toc27520692"/>
      <w:bookmarkStart w:id="156" w:name="_Toc25162376"/>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4.1.4 管理能力建设工程</w:t>
      </w:r>
      <w:bookmarkEnd w:id="155"/>
      <w:bookmarkEnd w:id="156"/>
    </w:p>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（1）水质监测能力建设工程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环境监测是水源地水环境质量监管的最有效方式，也是保护工作成效的重要考核依据。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迤佐河水库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需要加强水源监测工作，合理布置监测点位，建立常规监测机制，增加监测频次，水质监测结果向社会公布，及时反映水源水质状况，确保饮用水安全。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迤佐河水库环境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点位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、频次及监测项目要求详见下表。</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表4.1-8</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迤佐河水库水源环境</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监测网络建设内容</w:t>
      </w:r>
    </w:p>
    <w:tbl>
      <w:tblPr>
        <w:tblStyle w:val="4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6"/>
        <w:gridCol w:w="2211"/>
        <w:gridCol w:w="1917"/>
        <w:gridCol w:w="2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97" w:type="dxa"/>
            <w:gridSpan w:val="2"/>
            <w:shd w:val="clear" w:color="auto" w:fill="D8D8D8" w:themeFill="background1" w:themeFillShade="D9"/>
            <w:vAlign w:val="center"/>
          </w:tcPr>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监测项目</w:t>
            </w:r>
          </w:p>
        </w:tc>
        <w:tc>
          <w:tcPr>
            <w:tcW w:w="1917" w:type="dxa"/>
            <w:shd w:val="clear" w:color="auto" w:fill="D8D8D8" w:themeFill="background1" w:themeFillShade="D9"/>
            <w:vAlign w:val="center"/>
          </w:tcPr>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监测</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点位</w:t>
            </w:r>
          </w:p>
        </w:tc>
        <w:tc>
          <w:tcPr>
            <w:tcW w:w="2108" w:type="dxa"/>
            <w:shd w:val="clear" w:color="auto" w:fill="D8D8D8" w:themeFill="background1" w:themeFillShade="D9"/>
          </w:tcPr>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286" w:type="dxa"/>
            <w:vMerge w:val="restart"/>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《地表水环境质量标准》（GB3838-2002）</w:t>
            </w:r>
          </w:p>
        </w:tc>
        <w:tc>
          <w:tcPr>
            <w:tcW w:w="2211"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24项基本项目和5项补充项目</w:t>
            </w:r>
          </w:p>
        </w:tc>
        <w:tc>
          <w:tcPr>
            <w:tcW w:w="1917"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取水口</w:t>
            </w:r>
          </w:p>
        </w:tc>
        <w:tc>
          <w:tcPr>
            <w:tcW w:w="2108" w:type="dxa"/>
            <w:vMerge w:val="restart"/>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监测频次按上级考核要求进行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286" w:type="dxa"/>
            <w:vMerge w:val="continue"/>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11"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80项</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特定项目</w:t>
            </w:r>
          </w:p>
        </w:tc>
        <w:tc>
          <w:tcPr>
            <w:tcW w:w="1917"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取水口</w:t>
            </w:r>
          </w:p>
        </w:tc>
        <w:tc>
          <w:tcPr>
            <w:tcW w:w="2108" w:type="dxa"/>
            <w:vMerge w:val="continue"/>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bl>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（2）预警及应急能力建设工程</w:t>
      </w:r>
    </w:p>
    <w:p>
      <w:pPr>
        <w:widowControl/>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应急能力建设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应</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以防为主，充分考虑潜在的突发性事故风险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强化应对饮用水源突发环境事件应急处置能力，对水污染事件做到早预见、速报告、快处理，将水环境污染事件控制在突发期，将可能造成的污染损失和后果降低到最小，最大限度地保障人民群众的用水安全。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迤佐河水库环境应急能力建设主要包括确定应急类型及应急级别、建立监测与预警平台、制定应急预案、组建应急管理机构、配备应急物资。</w:t>
      </w:r>
    </w:p>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3）管理能力建设</w:t>
      </w:r>
    </w:p>
    <w:p>
      <w:pPr>
        <w:widowControl/>
        <w:adjustRightInd w:val="0"/>
        <w:snapToGrid w:val="0"/>
        <w:spacing w:line="360" w:lineRule="auto"/>
        <w:ind w:firstLine="561"/>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加强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迤佐河水库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饮用水水源地管理能力建设，做到</w:t>
      </w:r>
      <w:r>
        <w:rPr>
          <w:rFonts w:ascii="仿宋" w:hAnsi="仿宋" w:eastAsia="仿宋" w:cs="Times New Roman"/>
          <w:color w:val="0D0D0D" w:themeColor="text1" w:themeTint="F2"/>
          <w:sz w:val="28"/>
          <w:szCs w:val="28"/>
          <w14:textFill>
            <w14:solidFill>
              <w14:schemeClr w14:val="tx1">
                <w14:lumMod w14:val="95000"/>
                <w14:lumOff w14:val="5000"/>
              </w14:schemeClr>
            </w14:solidFill>
          </w14:textFill>
        </w:rPr>
        <w:t>“一源一档”</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；严格按《中华人民共和国环境保护法》、《中华人民共和国水法》、《中华人民共和国水污染防治法》、《饮用水水源保护区污染防治管理规定》等相关法律法规要求</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开展水源保护区环境监管，定期巡查</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水源地</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严禁畜禽放牧等可能污染水源的活动，并</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定期开展饮用水水源地环境状况评估。</w:t>
      </w:r>
    </w:p>
    <w:p>
      <w:pPr>
        <w:autoSpaceDE w:val="0"/>
        <w:autoSpaceDN w:val="0"/>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迤佐河水库饮用水水源保护区规范化建设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项目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包括保护区范围划定工程、保护区整治工程、生态恢复与建设工程、管理能力建设工程等四大类，共</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项具体工程内容。</w:t>
      </w:r>
    </w:p>
    <w:p>
      <w:pPr>
        <w:autoSpaceDE w:val="0"/>
        <w:autoSpaceDN w:val="0"/>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迤佐河水库饮用水水源保护区规范化</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1089.77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rPr>
          <w:color w:val="0D0D0D" w:themeColor="text1" w:themeTint="F2"/>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迤佐河水库饮用水水源保护区规范化建设</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项目投资估算汇总表</w:t>
      </w:r>
    </w:p>
    <w:tbl>
      <w:tblPr>
        <w:tblStyle w:val="44"/>
        <w:tblW w:w="1460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286"/>
        <w:gridCol w:w="1418"/>
        <w:gridCol w:w="8221"/>
        <w:gridCol w:w="1559"/>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tblHeader/>
        </w:trPr>
        <w:tc>
          <w:tcPr>
            <w:tcW w:w="710"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序号</w:t>
            </w:r>
          </w:p>
        </w:tc>
        <w:tc>
          <w:tcPr>
            <w:tcW w:w="1286"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类别</w:t>
            </w:r>
          </w:p>
        </w:tc>
        <w:tc>
          <w:tcPr>
            <w:tcW w:w="1418"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项目名称</w:t>
            </w:r>
          </w:p>
        </w:tc>
        <w:tc>
          <w:tcPr>
            <w:tcW w:w="8221"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项目内容</w:t>
            </w:r>
          </w:p>
        </w:tc>
        <w:tc>
          <w:tcPr>
            <w:tcW w:w="1559"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投资估算</w:t>
            </w:r>
          </w:p>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（万元）</w:t>
            </w:r>
          </w:p>
        </w:tc>
        <w:tc>
          <w:tcPr>
            <w:tcW w:w="1407"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28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保护区范围划定工程</w:t>
            </w: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保护区范围划定</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迤佐河水库一级保护区沿道路及人为活动区域边界设立围网</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3992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m</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，一级保护区按拐点设置界桩17个、二级保护区设置界桩18个、准保护区设置界桩20个，保护区</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道路</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进出路口设置交通警示牌</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13</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块，保护区内</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11个自然村</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设置水源保护区宣传牌</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11</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块，取水口告示牌1块。</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96.59</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县水务局、县交通运输局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3"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p>
        </w:tc>
        <w:tc>
          <w:tcPr>
            <w:tcW w:w="1286" w:type="dxa"/>
            <w:vMerge w:val="restart"/>
            <w:shd w:val="clear" w:color="auto" w:fill="auto"/>
            <w:noWrap/>
            <w:vAlign w:val="center"/>
          </w:tcPr>
          <w:p>
            <w:pP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保护区整治工程</w:t>
            </w: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保护区退耕还林</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一级保护区内全部耕地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2.33</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亩、二级保护区内</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以上坡耕地95.29亩实施退耕还林。</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15.62</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县林业林草局、县农业农村局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6"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p>
        </w:tc>
        <w:tc>
          <w:tcPr>
            <w:tcW w:w="1286" w:type="dxa"/>
            <w:vMerge w:val="continue"/>
            <w:shd w:val="clear" w:color="auto" w:fill="auto"/>
            <w:noWrap/>
            <w:vAlign w:val="center"/>
          </w:tcPr>
          <w:p>
            <w:pP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农村生活污水处理工程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保护区内10个居民居住集中的自然村建设生活污水集中处理设施，完善截污沟渠及管网，共设计污水处理规模90t/d，以处理一吨污水投资1万元计。</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90.00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农村卫生厕所普及工程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对保护区内居民分散的1个自然村实施农村卫生厕所普及工程，户用卫生厕所普及率达</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100</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，设置1个公共卫生厕所</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29.60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农村生活垃圾污染控制工程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建</w:t>
            </w:r>
            <w:r>
              <w:rPr>
                <w:rFonts w:ascii="仿宋" w:hAnsi="仿宋" w:eastAsia="仿宋" w:cs="宋体"/>
                <w:color w:val="0D0D0D" w:themeColor="text1" w:themeTint="F2"/>
                <w:kern w:val="0"/>
                <w:sz w:val="24"/>
                <w:szCs w:val="24"/>
                <w14:textFill>
                  <w14:solidFill>
                    <w14:schemeClr w14:val="tx1">
                      <w14:lumMod w14:val="95000"/>
                      <w14:lumOff w14:val="5000"/>
                    </w14:schemeClr>
                  </w14:solidFill>
                </w14:textFill>
              </w:rPr>
              <w:t>成“组保洁、村收集、乡（镇）转运、县（市）区处置”的城乡</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生活垃圾无害化收运处置四级管理体制。</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迤佐河水库</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涉及</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个行政村</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11</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个自然村约</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914</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户，</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11</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个自然村垃圾收集基础设施投资约</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5.50</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万元，</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个村委会配备垃圾清运车</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4</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辆，共计</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8.00</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万元，</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914</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户垃圾清运年运维费约</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10.97</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万元/年。</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24.47</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农业面源污染控制工程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对二级保护区、准保护区内旱地进行测土配方施肥技术，有效降低保护区耕地化肥施用量，二级保护区实施面积为215.54hm</w:t>
            </w:r>
            <w:r>
              <w:rPr>
                <w:rFonts w:hint="eastAsia"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、准保护区实施面积为211.78hm</w:t>
            </w:r>
            <w:r>
              <w:rPr>
                <w:rFonts w:hint="eastAsia"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64.10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农村畜禽养殖面源控制工程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一级保护区、二级保护区内农户全面实施“改圈”、准保护区内“改圈”率达60%以上，规范农村畜禽养殖，投资按0.5万元/户计。</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344.00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交通污染控制工程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迤佐河水库完善一级保护区内3.75km道路、二级保护区内1.25km道路、准保护区内1.07km道路的截排水沟。</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60.70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煤矿采矿权风险防控工程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南冲煤矿采矿权范围退出迤佐河水库饮用水水源保护区范围，严禁煤矿工矿场地设置在水库保护区范围内。</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县自然资源局、县煤炭局、县水务局、县生态环境局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w:t>
            </w:r>
          </w:p>
        </w:tc>
        <w:tc>
          <w:tcPr>
            <w:tcW w:w="1286" w:type="dxa"/>
            <w:vMerge w:val="restart"/>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生态恢复与建设工程</w:t>
            </w: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退耕地人工造林</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对迤佐河水库一级保护区内全部耕地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2.33亩、二级保护区内退耕地95.29亩</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实施人工造林。</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14.64</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县农业农村局、县林业林草局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11</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水土流失治理工程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对水源地保护区内水土流失面积进行综合治理，同时开展水土流失监测。迤佐河水库一级保护区水土流失治理面积</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40.31</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hm</w:t>
            </w:r>
            <w:r>
              <w:rPr>
                <w:rFonts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，二级保护区水土流失治理面积343.64hm</w:t>
            </w:r>
            <w:r>
              <w:rPr>
                <w:rFonts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，准保护区水土流失治理面积206.15hm</w:t>
            </w:r>
            <w:r>
              <w:rPr>
                <w:rFonts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295.05</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12</w:t>
            </w:r>
          </w:p>
        </w:tc>
        <w:tc>
          <w:tcPr>
            <w:tcW w:w="1286" w:type="dxa"/>
            <w:vMerge w:val="restart"/>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管理能力建设工程</w:t>
            </w: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水源保护区环境监测网</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建立水环境质量监测、生物监测和水土流失监测等共同组成的保护区环境监测网络，构建管理信息系统，提高保护区管理效率。</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15.00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县生态环境局、县林业林草局、县水务局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13</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预警及应急能力建设工程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建设饮用水水源地保护区内环境保护应急工程，制定应急方案，加强饮用水源突发环境事件应急处置能力，保障饮用水安全</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20.00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县生态环境局、县水务局、县交通运输局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管理能力建设</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迤佐河水库</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做到</w:t>
            </w:r>
            <w:r>
              <w:rPr>
                <w:rFonts w:ascii="仿宋" w:hAnsi="仿宋" w:eastAsia="仿宋" w:cs="Times New Roman"/>
                <w:color w:val="0D0D0D" w:themeColor="text1" w:themeTint="F2"/>
                <w:kern w:val="0"/>
                <w:sz w:val="24"/>
                <w:szCs w:val="24"/>
                <w14:textFill>
                  <w14:solidFill>
                    <w14:schemeClr w14:val="tx1">
                      <w14:lumMod w14:val="95000"/>
                      <w14:lumOff w14:val="5000"/>
                    </w14:schemeClr>
                  </w14:solidFill>
                </w14:textFill>
              </w:rPr>
              <w:t>“一源一档”；</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严格按相关法律法规要求开展水源保护区环境监管，定期巡查</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保护区，定期开展饮用水水源地环境状况评估。</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20.00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县水利局、县生态环境分局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1635" w:type="dxa"/>
            <w:gridSpan w:val="4"/>
            <w:shd w:val="clear" w:color="auto" w:fill="auto"/>
            <w:noWrap/>
            <w:vAlign w:val="center"/>
          </w:tcPr>
          <w:p>
            <w:pPr>
              <w:widowControl/>
              <w:jc w:val="cente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合计</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1089.77</w:t>
            </w:r>
          </w:p>
        </w:tc>
        <w:tc>
          <w:tcPr>
            <w:tcW w:w="1407" w:type="dxa"/>
            <w:shd w:val="clear" w:color="auto" w:fill="auto"/>
            <w:noWrap/>
            <w:vAlign w:val="center"/>
          </w:tcPr>
          <w:p>
            <w:pPr>
              <w:widowControl/>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p>
        </w:tc>
      </w:tr>
    </w:tbl>
    <w:p>
      <w:pPr>
        <w:autoSpaceDE w:val="0"/>
        <w:autoSpaceDN w:val="0"/>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sectPr>
          <w:pgSz w:w="16838" w:h="11906" w:orient="landscape"/>
          <w:pgMar w:top="1800" w:right="1440" w:bottom="1800" w:left="1440" w:header="851" w:footer="992" w:gutter="0"/>
          <w:pgNumType w:fmt="numberInDash"/>
          <w:cols w:space="425" w:num="1"/>
          <w:docGrid w:type="lines" w:linePitch="312" w:charSpace="0"/>
        </w:sectPr>
      </w:pPr>
    </w:p>
    <w:bookmarkEnd w:id="140"/>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57" w:name="_Toc27520693"/>
      <w:bookmarkStart w:id="158" w:name="_Toc25162377"/>
      <w:bookmarkStart w:id="159" w:name="_Toc12536222"/>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4</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2 规范化建设目标达标的可行性分析</w:t>
      </w:r>
      <w:bookmarkEnd w:id="157"/>
      <w:bookmarkEnd w:id="158"/>
      <w:bookmarkEnd w:id="159"/>
    </w:p>
    <w:p>
      <w:pPr>
        <w:keepNext/>
        <w:keepLines/>
        <w:spacing w:before="120" w:after="120" w:line="415" w:lineRule="auto"/>
        <w:outlineLvl w:val="2"/>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bookmarkStart w:id="160" w:name="_Toc169504813"/>
      <w:bookmarkStart w:id="161" w:name="_Toc169506163"/>
      <w:bookmarkStart w:id="162" w:name="_Toc169526926"/>
      <w:bookmarkStart w:id="163" w:name="_Toc200905568"/>
      <w:bookmarkStart w:id="164" w:name="_Toc299451597"/>
      <w:bookmarkStart w:id="165" w:name="_Toc452322643"/>
      <w:bookmarkStart w:id="166" w:name="_Toc478742873"/>
      <w:bookmarkStart w:id="167" w:name="_Toc524596485"/>
      <w:bookmarkStart w:id="168" w:name="_Toc531261192"/>
      <w:bookmarkStart w:id="169" w:name="_Toc25162378"/>
      <w:bookmarkStart w:id="170" w:name="_Toc27520694"/>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 xml:space="preserve">4.2.1 </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项目投资及预期效果</w:t>
      </w:r>
      <w:bookmarkEnd w:id="160"/>
      <w:bookmarkEnd w:id="161"/>
      <w:bookmarkEnd w:id="162"/>
      <w:bookmarkEnd w:id="163"/>
      <w:bookmarkEnd w:id="164"/>
      <w:bookmarkEnd w:id="165"/>
      <w:bookmarkEnd w:id="166"/>
      <w:bookmarkEnd w:id="167"/>
      <w:bookmarkEnd w:id="168"/>
      <w:bookmarkEnd w:id="169"/>
      <w:bookmarkEnd w:id="170"/>
    </w:p>
    <w:p>
      <w:pPr>
        <w:autoSpaceDE w:val="0"/>
        <w:autoSpaceDN w:val="0"/>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迤佐河水库饮用水水源保护区规范化建设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1089.77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万元，实现饮用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稳定达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w:t>
      </w:r>
    </w:p>
    <w:p>
      <w:pPr>
        <w:keepNext/>
        <w:keepLines/>
        <w:spacing w:before="120" w:after="120" w:line="415" w:lineRule="auto"/>
        <w:outlineLvl w:val="2"/>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bookmarkStart w:id="171" w:name="_Toc169504814"/>
      <w:bookmarkStart w:id="172" w:name="_Toc169506164"/>
      <w:bookmarkStart w:id="173" w:name="_Toc169526927"/>
      <w:bookmarkStart w:id="174" w:name="_Toc200905569"/>
      <w:bookmarkStart w:id="175" w:name="_Toc299451598"/>
      <w:bookmarkStart w:id="176" w:name="_Toc452322644"/>
      <w:bookmarkStart w:id="177" w:name="_Toc478742874"/>
      <w:bookmarkStart w:id="178" w:name="_Toc524596486"/>
      <w:bookmarkStart w:id="179" w:name="_Toc531261193"/>
      <w:bookmarkStart w:id="180" w:name="_Toc25162379"/>
      <w:bookmarkStart w:id="181" w:name="_Toc27520695"/>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 xml:space="preserve">4.2.2 </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保护区整治方案可行性</w:t>
      </w:r>
      <w:bookmarkEnd w:id="171"/>
      <w:bookmarkEnd w:id="172"/>
      <w:bookmarkEnd w:id="173"/>
      <w:bookmarkEnd w:id="174"/>
      <w:bookmarkEnd w:id="175"/>
      <w:bookmarkEnd w:id="176"/>
      <w:bookmarkEnd w:id="177"/>
      <w:bookmarkEnd w:id="178"/>
      <w:bookmarkEnd w:id="179"/>
      <w:bookmarkEnd w:id="180"/>
      <w:bookmarkEnd w:id="181"/>
    </w:p>
    <w:p>
      <w:pPr>
        <w:spacing w:line="360" w:lineRule="auto"/>
        <w:ind w:firstLine="56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82" w:name="_Toc200905570"/>
      <w:bookmarkStart w:id="183" w:name="_Toc299451599"/>
      <w:bookmarkStart w:id="184" w:name="_Toc452322645"/>
      <w:bookmarkStart w:id="185" w:name="_Toc478742875"/>
      <w:bookmarkStart w:id="186" w:name="_Toc524596487"/>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一级保护区污染控制工程</w:t>
      </w:r>
      <w:bookmarkEnd w:id="182"/>
      <w:bookmarkEnd w:id="183"/>
      <w:bookmarkEnd w:id="184"/>
      <w:bookmarkEnd w:id="185"/>
      <w:bookmarkEnd w:id="186"/>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为保障</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目标的实现，在一级保护区边界设置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围网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、标志、警示牌等，所有耕地实施退耕还林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，实施生活污水及生活垃圾、畜禽养殖污染控制工程，加强交通污染防控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一级保护区内规划的污染控制工程均针对区内现状污染源提出，所规划工程均符合国家相关政策及技术规范，具有较强的可操作性和可行性。这些方案实施后，可以最大限度降低一级保护区内的人为活动干扰对水源水质的影响，也将降低风险事故的发生概率和降低风险事故影响程度，对饮用水水质稳定达标具有积极作用。</w:t>
      </w:r>
    </w:p>
    <w:p>
      <w:pPr>
        <w:spacing w:line="360" w:lineRule="auto"/>
        <w:ind w:firstLine="56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87" w:name="_Toc299451600"/>
      <w:bookmarkStart w:id="188" w:name="_Toc452322646"/>
      <w:bookmarkStart w:id="189" w:name="_Toc478742876"/>
      <w:bookmarkStart w:id="190" w:name="_Toc524596488"/>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（2）二级保护区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污染控制工程</w:t>
      </w:r>
      <w:bookmarkEnd w:id="187"/>
      <w:bookmarkEnd w:id="188"/>
      <w:bookmarkEnd w:id="189"/>
      <w:bookmarkEnd w:id="190"/>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通过埋设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，在进入</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道路设置标牌，明确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范围；通过实施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农村生活污水和生活垃圾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污染控制工程；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实施畜禽粪便综合利用工程；</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推广</w:t>
      </w:r>
      <w:r>
        <w:rPr>
          <w:rFonts w:ascii="仿宋" w:hAnsi="仿宋" w:eastAsia="仿宋"/>
          <w:color w:val="0D0D0D" w:themeColor="text1" w:themeTint="F2"/>
          <w:sz w:val="28"/>
          <w:szCs w:val="28"/>
          <w14:textFill>
            <w14:solidFill>
              <w14:schemeClr w14:val="tx1">
                <w14:lumMod w14:val="95000"/>
                <w14:lumOff w14:val="5000"/>
              </w14:schemeClr>
            </w14:solidFill>
          </w14:textFill>
        </w:rPr>
        <w:t>测土配方施肥技术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，降低化肥施用量、退耕还林、减少耕地面积等措施对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农村</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、农业</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面源污染进行控制；设置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截排水沟</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，降低保护区内交通事故污染风险及危害。上述工程或措施均符合国家相关政策及技术规范，具有较强的可操作性和可行性。完成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规范化建设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工程，能有效控制</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对水质的影响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，降低保护区污染负荷，使水质稳定达标。</w:t>
      </w:r>
    </w:p>
    <w:p>
      <w:pPr>
        <w:spacing w:line="360" w:lineRule="auto"/>
        <w:ind w:firstLine="56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（3）准保护区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污染控制工程</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通过埋设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准保护区界桩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，在进入</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道路设置标牌，明确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范围；通过实施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农村生活污水和生活垃圾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污染控制工程；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实施畜禽粪便综合利用工程；</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推广</w:t>
      </w:r>
      <w:r>
        <w:rPr>
          <w:rFonts w:ascii="仿宋" w:hAnsi="仿宋" w:eastAsia="仿宋"/>
          <w:color w:val="0D0D0D" w:themeColor="text1" w:themeTint="F2"/>
          <w:sz w:val="28"/>
          <w:szCs w:val="28"/>
          <w14:textFill>
            <w14:solidFill>
              <w14:schemeClr w14:val="tx1">
                <w14:lumMod w14:val="95000"/>
                <w14:lumOff w14:val="5000"/>
              </w14:schemeClr>
            </w14:solidFill>
          </w14:textFill>
        </w:rPr>
        <w:t>测土配方施肥技术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，降低化肥施用量对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农村</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、农业</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面源污染进行控制。上述工程或措施均符合国家相关政策及技术规范，具有较强的可操作性和可行性。完成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规范化建设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工程，能有效控制</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对水质的影响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，降低保护区污染负荷，使水质稳定达标。</w:t>
      </w:r>
    </w:p>
    <w:p>
      <w:pPr>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91" w:name="_Toc200905571"/>
      <w:bookmarkStart w:id="192" w:name="_Toc299451601"/>
      <w:bookmarkStart w:id="193" w:name="_Toc524596489"/>
      <w:bookmarkStart w:id="194" w:name="_Toc452322647"/>
      <w:bookmarkStart w:id="195" w:name="_Toc478742877"/>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生态恢复与建设工程</w:t>
      </w:r>
      <w:bookmarkEnd w:id="191"/>
      <w:bookmarkEnd w:id="192"/>
      <w:bookmarkEnd w:id="193"/>
      <w:bookmarkEnd w:id="194"/>
      <w:bookmarkEnd w:id="195"/>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通过退耕还林（草）工程、林地保护工程和水土流失治理工程等生态恢复和建设工程，建设保护水源涵养林和水土保持林，将进一步提高保护区林草覆盖率，降低流域土壤侵蚀强度，从而提高流域水源涵养能力，降低</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污染物对水质的影响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。工程实施将形成水源保护区以水源涵养为主的森林生态系统，确保水源地的陆生生态系统水源涵养功能的正常发挥，确保水源区水源充足，水质优良。</w:t>
      </w:r>
    </w:p>
    <w:p>
      <w:pPr>
        <w:spacing w:line="360" w:lineRule="auto"/>
        <w:ind w:firstLine="56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96" w:name="_Toc299451602"/>
      <w:bookmarkStart w:id="197" w:name="_Toc452322648"/>
      <w:bookmarkStart w:id="198" w:name="_Toc478742878"/>
      <w:bookmarkStart w:id="199" w:name="_Toc524596490"/>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管理能力和环境应急能力建设</w:t>
      </w:r>
      <w:bookmarkEnd w:id="196"/>
      <w:bookmarkEnd w:id="197"/>
      <w:bookmarkEnd w:id="198"/>
      <w:bookmarkEnd w:id="199"/>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建设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县级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饮用水源地统一和联合管理机构，建立水源地执法队伍；建设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区级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水源地管理数据共享平台，为系统管理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集中式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饮用水源地，合理调配水资源，实现统一管理提供数据和技术支撑；建设预警监控体系和应急处理体系，防范污染事件，提高处理效率，保障</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隆阳区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饮用水安全。</w:t>
      </w:r>
    </w:p>
    <w:p>
      <w:pPr>
        <w:keepNext/>
        <w:keepLines/>
        <w:spacing w:before="120" w:after="120" w:line="415" w:lineRule="auto"/>
        <w:outlineLvl w:val="2"/>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bookmarkStart w:id="200" w:name="_Toc169504815"/>
      <w:bookmarkStart w:id="201" w:name="_Toc169506165"/>
      <w:bookmarkStart w:id="202" w:name="_Toc169526928"/>
      <w:bookmarkStart w:id="203" w:name="_Toc200905575"/>
      <w:bookmarkStart w:id="204" w:name="_Toc299451603"/>
      <w:bookmarkStart w:id="205" w:name="_Toc452322649"/>
      <w:bookmarkStart w:id="206" w:name="_Toc478742879"/>
      <w:bookmarkStart w:id="207" w:name="_Toc524596491"/>
      <w:bookmarkStart w:id="208" w:name="_Toc531261194"/>
      <w:bookmarkStart w:id="209" w:name="_Toc25162380"/>
      <w:bookmarkStart w:id="210" w:name="_Toc27520696"/>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 xml:space="preserve">4.2.3 </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饮用水水源地水质目标可达性分析</w:t>
      </w:r>
      <w:bookmarkEnd w:id="200"/>
      <w:bookmarkEnd w:id="201"/>
      <w:bookmarkEnd w:id="202"/>
      <w:bookmarkEnd w:id="203"/>
      <w:bookmarkEnd w:id="204"/>
      <w:bookmarkEnd w:id="205"/>
      <w:bookmarkEnd w:id="206"/>
      <w:bookmarkEnd w:id="207"/>
      <w:bookmarkEnd w:id="208"/>
      <w:bookmarkEnd w:id="209"/>
      <w:bookmarkEnd w:id="210"/>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211" w:name="_Toc299451606"/>
      <w:bookmarkStart w:id="212" w:name="_Toc452322651"/>
      <w:bookmarkStart w:id="213" w:name="_Toc478742880"/>
      <w:bookmarkStart w:id="214" w:name="_Toc524596492"/>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农村面源整治</w:t>
      </w:r>
      <w:bookmarkEnd w:id="211"/>
      <w:bookmarkEnd w:id="212"/>
      <w:bookmarkEnd w:id="213"/>
      <w:bookmarkEnd w:id="214"/>
    </w:p>
    <w:p>
      <w:pPr>
        <w:adjustRightInd w:val="0"/>
        <w:snapToGrid w:val="0"/>
        <w:spacing w:line="360" w:lineRule="auto"/>
        <w:ind w:firstLine="584" w:firstLineChars="200"/>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对</w:t>
      </w: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一级保护区、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二级保护区及准保护区</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实施农村生活污水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收集</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处理</w:t>
      </w: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工程，加强农村生活</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垃圾收集</w:t>
      </w: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清运管理</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，预计农村生活污水收集处理后污染物去除率将可达到50%，农村生活垃圾收集处理率将达到80%以上。</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215" w:name="_Toc299451607"/>
      <w:bookmarkStart w:id="216" w:name="_Toc452322652"/>
      <w:bookmarkStart w:id="217" w:name="_Toc478742881"/>
      <w:bookmarkStart w:id="218" w:name="_Toc524596493"/>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农业面源治理</w:t>
      </w:r>
      <w:bookmarkEnd w:id="215"/>
      <w:bookmarkEnd w:id="216"/>
      <w:bookmarkEnd w:id="217"/>
      <w:bookmarkEnd w:id="218"/>
    </w:p>
    <w:p>
      <w:pPr>
        <w:adjustRightInd w:val="0"/>
        <w:snapToGrid w:val="0"/>
        <w:spacing w:line="360" w:lineRule="auto"/>
        <w:ind w:firstLine="560" w:firstLineChars="200"/>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一级保护区内的全部耕地进行退耕还林，实施生态防护工程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；二级保护区、准保护区内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的农地进行测土配方施肥技术，降低保护区耕地化肥施用量</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。工程实施后，可减少化肥施用量</w:t>
      </w: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约</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20%。</w:t>
      </w:r>
    </w:p>
    <w:p>
      <w:pPr>
        <w:widowControl/>
        <w:jc w:val="lef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p>
      <w:pPr>
        <w:keepNext/>
        <w:keepLines/>
        <w:spacing w:before="340" w:after="330" w:line="578" w:lineRule="auto"/>
        <w:jc w:val="center"/>
        <w:outlineLvl w:val="0"/>
        <w:rPr>
          <w:rFonts w:ascii="Times New Roman" w:hAnsi="Times New Roman" w:eastAsia="仿宋" w:cs="Times New Roman"/>
          <w:bCs/>
          <w:color w:val="0D0D0D" w:themeColor="text1" w:themeTint="F2"/>
          <w:kern w:val="44"/>
          <w:sz w:val="36"/>
          <w:szCs w:val="36"/>
          <w14:textFill>
            <w14:solidFill>
              <w14:schemeClr w14:val="tx1">
                <w14:lumMod w14:val="95000"/>
                <w14:lumOff w14:val="5000"/>
              </w14:schemeClr>
            </w14:solidFill>
          </w14:textFill>
        </w:rPr>
      </w:pPr>
      <w:bookmarkStart w:id="219" w:name="_Toc27520697"/>
      <w:r>
        <w:rPr>
          <w:rFonts w:hint="eastAsia"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第五章饮用水水源保护区划分方案、图件及有关说明</w:t>
      </w:r>
      <w:bookmarkEnd w:id="219"/>
      <w:r>
        <w:rPr>
          <w:rFonts w:hint="eastAsia" w:ascii="Times New Roman" w:hAnsi="Times New Roman" w:eastAsia="仿宋" w:cs="Times New Roman"/>
          <w:bCs/>
          <w:color w:val="0D0D0D" w:themeColor="text1" w:themeTint="F2"/>
          <w:kern w:val="44"/>
          <w:sz w:val="36"/>
          <w:szCs w:val="36"/>
          <w14:textFill>
            <w14:solidFill>
              <w14:schemeClr w14:val="tx1">
                <w14:lumMod w14:val="95000"/>
                <w14:lumOff w14:val="5000"/>
              </w14:schemeClr>
            </w14:solidFill>
          </w14:textFill>
        </w:rPr>
        <w:t xml:space="preserve"> </w:t>
      </w: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220" w:name="_Toc12621608"/>
      <w:bookmarkStart w:id="221" w:name="_Toc20409173"/>
      <w:bookmarkStart w:id="222" w:name="_Toc27520698"/>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5</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.1</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饮用水水源保护区划分方案</w:t>
      </w:r>
      <w:bookmarkEnd w:id="220"/>
      <w:bookmarkEnd w:id="221"/>
      <w:bookmarkEnd w:id="222"/>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一级保护区</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bookmarkStart w:id="223" w:name="_Hlk520442120"/>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水域：水库正常蓄水位</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1915m</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以下水域，面积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0.2433</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陆域：水库正常蓄水位</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外延200m</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陆域，</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同时以水库周边道路为界，</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0.5523</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一级保护区</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为0.7956</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二级保护区</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水域：</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迤佐河</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级保护区边界外无大中型河流，面积并入陆域范围统计。</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陆域：水库</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流域</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分水岭</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范围</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内一级保护区外的其他区域，面积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5.8746</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bookmarkEnd w:id="223"/>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准保护区</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北、北东出露于库区地表水分水岭内的地下水补给区位于出露点北东至南东德胜——乍玉麦山间溶蚀凹地地区，基于地下水分水岭与地表水分水岭一致判据，将该溶蚀凹地区域地表水分水岭化作准保护区边界，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4.5178</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 xml:space="preserve"> 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饮用水水源保护区由一级保护区</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二级保护区</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和准保护区</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组成，总面积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11.1880</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224" w:name="_Toc12621609"/>
      <w:bookmarkStart w:id="225" w:name="_Toc20409174"/>
      <w:bookmarkStart w:id="226" w:name="_Toc27520699"/>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5.2 饮用水水源保护区划分图件</w:t>
      </w:r>
      <w:bookmarkEnd w:id="224"/>
      <w:bookmarkEnd w:id="225"/>
      <w:bookmarkEnd w:id="226"/>
    </w:p>
    <w:p>
      <w:pPr>
        <w:adjustRightInd w:val="0"/>
        <w:snapToGrid w:val="0"/>
        <w:spacing w:line="360" w:lineRule="auto"/>
        <w:ind w:firstLine="584" w:firstLineChars="200"/>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迤佐河水库饮用水水源地边界主要拐点的经纬度坐标见表5-1、5-2、5-3。</w:t>
      </w:r>
    </w:p>
    <w:p>
      <w:pPr>
        <w:adjustRightInd w:val="0"/>
        <w:snapToGrid w:val="0"/>
        <w:spacing w:line="360" w:lineRule="auto"/>
        <w:ind w:firstLine="562" w:firstLineChars="200"/>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bookmarkStart w:id="227" w:name="_Hlk529785264"/>
    </w:p>
    <w:p>
      <w:pPr>
        <w:adjustRightInd w:val="0"/>
        <w:snapToGrid w:val="0"/>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富源县迤佐河</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水库</w:t>
      </w:r>
      <w:bookmarkEnd w:id="227"/>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饮用水水源一级保护区拐点坐标表</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3885"/>
        <w:gridCol w:w="3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序号</w:t>
            </w:r>
          </w:p>
        </w:tc>
        <w:tc>
          <w:tcPr>
            <w:tcW w:w="3885"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经度</w:t>
            </w:r>
          </w:p>
        </w:tc>
        <w:tc>
          <w:tcPr>
            <w:tcW w:w="3673"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25' 35.093"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46.045"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A2</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25' 33.180"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52.431"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A3</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25' 28.177"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56.184"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A4</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25' 36.277"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57.632"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A5</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25' 38.108"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4.462"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A6</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25' 44.133"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3.688"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A7</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25' 49.500"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10.614"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A8</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25' 51.094"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20.360"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A9</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25' 58.543"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14.266"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A10</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10.533"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14.020"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A11</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7.818"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6.644"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A12</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6.692"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57.384"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A13</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8.777"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49.203"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A14</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3.270"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45.540"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A15</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25' 58.502"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42.092"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A16</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25' 51.438"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39.560"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A17</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25' 42.418"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42.517" N</w:t>
            </w:r>
          </w:p>
        </w:tc>
      </w:tr>
    </w:tbl>
    <w:p>
      <w:pPr>
        <w:adjustRightInd w:val="0"/>
        <w:snapToGrid w:val="0"/>
        <w:spacing w:line="360" w:lineRule="auto"/>
        <w:ind w:firstLine="562" w:firstLineChars="200"/>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p>
    <w:p>
      <w:pPr>
        <w:adjustRightInd w:val="0"/>
        <w:snapToGrid w:val="0"/>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  富源县迤佐河</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水库饮用水水源</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二</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级保护区拐点坐标表</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3885"/>
        <w:gridCol w:w="3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序号</w:t>
            </w:r>
          </w:p>
        </w:tc>
        <w:tc>
          <w:tcPr>
            <w:tcW w:w="3885"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经度</w:t>
            </w:r>
          </w:p>
        </w:tc>
        <w:tc>
          <w:tcPr>
            <w:tcW w:w="3673"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25' 20.944"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16.835"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B2</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25' 26.765"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37.874"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B3</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25' 29.250"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26' 2.090"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B4</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25' 43.131"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26' 19.161"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B5</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25' 55.644"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26' 9.918"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B6</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9.429"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26' 1.977"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B7</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27.022"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26' 20.967"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B8</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42.089"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26' 9.553"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B9</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44.461"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56.338"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B10</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41.618"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37.926"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B11</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53.394"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26.771"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B12</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47.504"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58.598"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B13</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45.408"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43.361"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B14</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16.772"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27.288"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B15</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12.277"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16.609"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B16</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6.091"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6.313"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B17</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2.211"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18.775"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B18</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5.943"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34.650" N</w:t>
            </w:r>
          </w:p>
        </w:tc>
      </w:tr>
    </w:tbl>
    <w:p>
      <w:pPr>
        <w:adjustRightInd w:val="0"/>
        <w:snapToGrid w:val="0"/>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p>
    <w:p>
      <w:pPr>
        <w:adjustRightInd w:val="0"/>
        <w:snapToGrid w:val="0"/>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  富源县迤佐河</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水库饮用水水源</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准</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保护区拐点坐标表</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3885"/>
        <w:gridCol w:w="3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序号</w:t>
            </w:r>
          </w:p>
        </w:tc>
        <w:tc>
          <w:tcPr>
            <w:tcW w:w="3885"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经度</w:t>
            </w:r>
          </w:p>
        </w:tc>
        <w:tc>
          <w:tcPr>
            <w:tcW w:w="3673"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55.745"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53.643"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C2</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59.619"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42.695"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C3</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15.800"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31.584"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C4</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14.174"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19.660"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C5</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14.794"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2.017"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C6</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16.802"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49.066"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C7</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7.667"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38.639"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C8</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18.547"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11.231"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C9</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4.168"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7.623"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C10</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9.629"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23' 53.718"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C11</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1.544"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23' 50.188"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C12</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9.417"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23' 38.153"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C13</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2.491"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23' 30.389"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C14</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7.346"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23' 23.464"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C15</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58.791"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23' 12.362"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C16</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51.985"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23' 22.219"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C17</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40.885"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23' 37.047"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C18</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34.035"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23' 47.816"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C19</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17.611"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23' 47.024"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C20</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12.311"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23' 51.538" N</w:t>
            </w:r>
          </w:p>
        </w:tc>
      </w:tr>
    </w:tbl>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widowControl/>
        <w:snapToGrid w:val="0"/>
        <w:spacing w:line="360" w:lineRule="auto"/>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p>
    <w:bookmarkEnd w:id="107"/>
    <w:bookmarkEnd w:id="108"/>
    <w:bookmarkEnd w:id="109"/>
    <w:p>
      <w:pPr>
        <w:pStyle w:val="3"/>
        <w:ind w:left="141"/>
        <w:rPr>
          <w:rFonts w:cs="Times New Roman"/>
          <w:color w:val="0D0D0D" w:themeColor="text1" w:themeTint="F2"/>
          <w:sz w:val="28"/>
          <w:szCs w:val="28"/>
          <w14:textFill>
            <w14:solidFill>
              <w14:schemeClr w14:val="tx1">
                <w14:lumMod w14:val="95000"/>
                <w14:lumOff w14:val="5000"/>
              </w14:schemeClr>
            </w14:solidFill>
          </w14:textFill>
        </w:rPr>
      </w:pPr>
      <w:bookmarkStart w:id="228" w:name="_Toc12621932"/>
      <w:bookmarkStart w:id="229" w:name="_Toc27520700"/>
      <w:bookmarkStart w:id="230" w:name="_Toc531261196"/>
      <w:r>
        <w:rPr>
          <w:rFonts w:cs="Times New Roman"/>
          <w:color w:val="0D0D0D" w:themeColor="text1" w:themeTint="F2"/>
          <w:sz w:val="28"/>
          <w:szCs w:val="28"/>
          <w14:textFill>
            <w14:solidFill>
              <w14:schemeClr w14:val="tx1">
                <w14:lumMod w14:val="95000"/>
                <w14:lumOff w14:val="5000"/>
              </w14:schemeClr>
            </w14:solidFill>
          </w14:textFill>
        </w:rPr>
        <w:t>附表1 富源县（2018年）基础信息调查表</w:t>
      </w:r>
      <w:bookmarkEnd w:id="228"/>
      <w:bookmarkEnd w:id="229"/>
      <w:bookmarkEnd w:id="230"/>
    </w:p>
    <w:tbl>
      <w:tblPr>
        <w:tblStyle w:val="45"/>
        <w:tblW w:w="1417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73"/>
        <w:gridCol w:w="1613"/>
        <w:gridCol w:w="1613"/>
        <w:gridCol w:w="1613"/>
        <w:gridCol w:w="1613"/>
        <w:gridCol w:w="1613"/>
        <w:gridCol w:w="1613"/>
        <w:gridCol w:w="1613"/>
        <w:gridCol w:w="161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127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区县名称</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人口</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（万人）</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面积</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（平方公里）</w:t>
            </w:r>
          </w:p>
        </w:tc>
        <w:tc>
          <w:tcPr>
            <w:tcW w:w="1613" w:type="dxa"/>
            <w:vAlign w:val="center"/>
          </w:tcPr>
          <w:p>
            <w:pPr>
              <w:widowControl/>
              <w:jc w:val="cente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t>GDP</w:t>
            </w:r>
          </w:p>
          <w:p>
            <w:pPr>
              <w:widowControl/>
              <w:jc w:val="cente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第一产业</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第二产业</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第三产业</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年降雨量（</w:t>
            </w:r>
            <w: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t>mm）</w:t>
            </w:r>
          </w:p>
        </w:tc>
        <w:tc>
          <w:tcPr>
            <w:tcW w:w="1610"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耕地面积</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（万亩）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1273" w:type="dxa"/>
            <w:vAlign w:val="center"/>
          </w:tcPr>
          <w:p>
            <w:pPr>
              <w:widowControl/>
              <w:jc w:val="center"/>
              <w:rPr>
                <w:rFonts w:ascii="仿宋" w:hAnsi="仿宋" w:eastAsia="仿宋" w:cstheme="majorBidi"/>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Cs/>
                <w:color w:val="0D0D0D" w:themeColor="text1" w:themeTint="F2"/>
                <w:sz w:val="24"/>
                <w:szCs w:val="32"/>
                <w14:textFill>
                  <w14:solidFill>
                    <w14:schemeClr w14:val="tx1">
                      <w14:lumMod w14:val="95000"/>
                      <w14:lumOff w14:val="5000"/>
                    </w14:schemeClr>
                  </w14:solidFill>
                </w14:textFill>
              </w:rPr>
              <w:t>富源县</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83.44</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3251</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155.3458</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37.3832</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50.2285</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42.8381</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1093.7</w:t>
            </w:r>
          </w:p>
        </w:tc>
        <w:tc>
          <w:tcPr>
            <w:tcW w:w="1610"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167.51</w:t>
            </w:r>
          </w:p>
        </w:tc>
      </w:tr>
    </w:tbl>
    <w:p>
      <w:pPr>
        <w:pStyle w:val="3"/>
        <w:adjustRightInd w:val="0"/>
        <w:snapToGrid w:val="0"/>
        <w:spacing w:before="120" w:after="120" w:line="360" w:lineRule="auto"/>
        <w:ind w:left="142"/>
        <w:rPr>
          <w:rFonts w:ascii="仿宋" w:hAnsi="仿宋"/>
          <w:color w:val="0D0D0D" w:themeColor="text1" w:themeTint="F2"/>
          <w:sz w:val="28"/>
          <w:szCs w:val="28"/>
          <w14:textFill>
            <w14:solidFill>
              <w14:schemeClr w14:val="tx1">
                <w14:lumMod w14:val="95000"/>
                <w14:lumOff w14:val="5000"/>
              </w14:schemeClr>
            </w14:solidFill>
          </w14:textFill>
        </w:rPr>
      </w:pPr>
      <w:bookmarkStart w:id="231" w:name="_Toc27520701"/>
      <w:bookmarkStart w:id="232" w:name="_Toc18506561"/>
      <w:r>
        <w:rPr>
          <w:rFonts w:ascii="仿宋" w:hAnsi="仿宋"/>
          <w:color w:val="0D0D0D" w:themeColor="text1" w:themeTint="F2"/>
          <w:sz w:val="28"/>
          <w:szCs w:val="28"/>
          <w14:textFill>
            <w14:solidFill>
              <w14:schemeClr w14:val="tx1">
                <w14:lumMod w14:val="95000"/>
                <w14:lumOff w14:val="5000"/>
              </w14:schemeClr>
            </w14:solidFill>
          </w14:textFill>
        </w:rPr>
        <w:t>附表</w:t>
      </w:r>
      <w:r>
        <w:rPr>
          <w:rFonts w:hint="eastAsia" w:ascii="仿宋" w:hAnsi="仿宋"/>
          <w:color w:val="0D0D0D" w:themeColor="text1" w:themeTint="F2"/>
          <w:sz w:val="28"/>
          <w:szCs w:val="28"/>
          <w14:textFill>
            <w14:solidFill>
              <w14:schemeClr w14:val="tx1">
                <w14:lumMod w14:val="95000"/>
                <w14:lumOff w14:val="5000"/>
              </w14:schemeClr>
            </w14:solidFill>
          </w14:textFill>
        </w:rPr>
        <w:t>2 富源县迤佐河水库饮用水水源地基础信息表</w:t>
      </w:r>
      <w:bookmarkEnd w:id="231"/>
      <w:bookmarkEnd w:id="232"/>
    </w:p>
    <w:p>
      <w:pPr>
        <w:jc w:val="center"/>
        <w:rPr>
          <w:rFonts w:ascii="仿宋" w:hAnsi="仿宋" w:eastAsia="仿宋"/>
          <w:b/>
          <w:color w:val="0D0D0D" w:themeColor="text1" w:themeTint="F2"/>
          <w:kern w:val="0"/>
          <w:sz w:val="28"/>
          <w:szCs w:val="28"/>
          <w14:textFill>
            <w14:solidFill>
              <w14:schemeClr w14:val="tx1">
                <w14:lumMod w14:val="95000"/>
                <w14:lumOff w14:val="5000"/>
              </w14:schemeClr>
            </w14:solidFill>
          </w14:textFill>
        </w:rPr>
      </w:pPr>
      <w:r>
        <w:rPr>
          <w:rFonts w:hint="eastAsia"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迤佐河水库</w:t>
      </w:r>
      <w:r>
        <w:rPr>
          <w:rFonts w:ascii="仿宋" w:hAnsi="仿宋" w:eastAsia="仿宋"/>
          <w:b/>
          <w:color w:val="0D0D0D" w:themeColor="text1" w:themeTint="F2"/>
          <w:kern w:val="0"/>
          <w:sz w:val="28"/>
          <w:szCs w:val="28"/>
          <w14:textFill>
            <w14:solidFill>
              <w14:schemeClr w14:val="tx1">
                <w14:lumMod w14:val="95000"/>
                <w14:lumOff w14:val="5000"/>
              </w14:schemeClr>
            </w14:solidFill>
          </w14:textFill>
        </w:rPr>
        <w:t>饮用水水源地基础信息表</w:t>
      </w:r>
    </w:p>
    <w:tbl>
      <w:tblPr>
        <w:tblStyle w:val="44"/>
        <w:tblW w:w="1386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1480"/>
        <w:gridCol w:w="1479"/>
        <w:gridCol w:w="1480"/>
        <w:gridCol w:w="1479"/>
        <w:gridCol w:w="1722"/>
        <w:gridCol w:w="1237"/>
        <w:gridCol w:w="1479"/>
        <w:gridCol w:w="1479"/>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restart"/>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序号</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州、市</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县（市、区）</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水源地名称</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水源地所在地</w:t>
            </w:r>
          </w:p>
        </w:tc>
        <w:tc>
          <w:tcPr>
            <w:tcW w:w="17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水源地编码</w:t>
            </w:r>
          </w:p>
        </w:tc>
        <w:tc>
          <w:tcPr>
            <w:tcW w:w="123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水源地类型</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使用状态</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所在水系</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水质状况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continue"/>
            <w:vAlign w:val="center"/>
          </w:tcPr>
          <w:p>
            <w:pPr>
              <w:widowControl/>
              <w:adjustRightInd w:val="0"/>
              <w:snapToGrid w:val="0"/>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p>
        </w:tc>
        <w:tc>
          <w:tcPr>
            <w:tcW w:w="17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3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曲靖市</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富源县</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迤佐河水库</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富村镇</w:t>
            </w:r>
          </w:p>
        </w:tc>
        <w:tc>
          <w:tcPr>
            <w:tcW w:w="17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HA0114530325107R0002</w:t>
            </w:r>
          </w:p>
        </w:tc>
        <w:tc>
          <w:tcPr>
            <w:tcW w:w="123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地表水</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型</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正常供水</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南盘江（西江）</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地表水</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instrText xml:space="preserve">= 4 \* ROMAN</w:instrTex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fldChar w:fldCharType="separate"/>
            </w:r>
            <w:r>
              <w:rPr>
                <w:rFonts w:hint="eastAsia" w:ascii="宋体" w:hAnsi="宋体" w:eastAsia="宋体" w:cs="宋体"/>
                <w:color w:val="0D0D0D" w:themeColor="text1" w:themeTint="F2"/>
                <w:kern w:val="0"/>
                <w:sz w:val="24"/>
                <w:szCs w:val="24"/>
                <w:lang w:eastAsia="ja-JP"/>
                <w14:textFill>
                  <w14:solidFill>
                    <w14:schemeClr w14:val="tx1">
                      <w14:lumMod w14:val="95000"/>
                      <w14:lumOff w14:val="5000"/>
                    </w14:schemeClr>
                  </w14:solidFill>
                </w14:textFill>
              </w:rPr>
              <w:t>Ⅲ</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restart"/>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序号</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超标因子（注明超标倍数）</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取水口位置</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（经纬度）</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多年平均</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水位线（m）</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供水范围</w:t>
            </w:r>
          </w:p>
        </w:tc>
        <w:tc>
          <w:tcPr>
            <w:tcW w:w="17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供水人口</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（万人）</w:t>
            </w:r>
          </w:p>
        </w:tc>
        <w:tc>
          <w:tcPr>
            <w:tcW w:w="123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供水量</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（万吨/日）</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对应供水工程</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是否设立隔离栏</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是否设立</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标识标志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continue"/>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［11］</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［12］</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［13］</w:t>
            </w:r>
          </w:p>
        </w:tc>
        <w:tc>
          <w:tcPr>
            <w:tcW w:w="17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［14］</w:t>
            </w:r>
          </w:p>
        </w:tc>
        <w:tc>
          <w:tcPr>
            <w:tcW w:w="123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［16］</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［17］</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E</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104°25′37"</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N</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25°24′46"</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1915</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富村镇</w:t>
            </w:r>
          </w:p>
        </w:tc>
        <w:tc>
          <w:tcPr>
            <w:tcW w:w="17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4.1</w:t>
            </w:r>
          </w:p>
        </w:tc>
        <w:tc>
          <w:tcPr>
            <w:tcW w:w="123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0.3</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富源县富村镇自来水厂</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否</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否</w:t>
            </w:r>
          </w:p>
        </w:tc>
      </w:tr>
    </w:tbl>
    <w:p>
      <w:pPr>
        <w:rPr>
          <w:color w:val="0D0D0D" w:themeColor="text1" w:themeTint="F2"/>
          <w14:textFill>
            <w14:solidFill>
              <w14:schemeClr w14:val="tx1">
                <w14:lumMod w14:val="95000"/>
                <w14:lumOff w14:val="5000"/>
              </w14:schemeClr>
            </w14:solidFill>
          </w14:textFill>
        </w:rPr>
        <w:sectPr>
          <w:pgSz w:w="16838" w:h="11906" w:orient="landscape"/>
          <w:pgMar w:top="1236" w:right="1440" w:bottom="1236" w:left="1440" w:header="851" w:footer="992" w:gutter="0"/>
          <w:pgNumType w:fmt="numberInDash"/>
          <w:cols w:space="0" w:num="1"/>
          <w:docGrid w:type="lines" w:linePitch="312" w:charSpace="0"/>
        </w:sectPr>
      </w:pPr>
      <w:bookmarkStart w:id="233" w:name="_Toc12621934"/>
      <w:bookmarkStart w:id="234" w:name="_Toc10723935"/>
    </w:p>
    <w:p>
      <w:pPr>
        <w:pStyle w:val="3"/>
        <w:ind w:left="141"/>
        <w:rPr>
          <w:rFonts w:ascii="仿宋" w:hAnsi="仿宋"/>
          <w:color w:val="0D0D0D" w:themeColor="text1" w:themeTint="F2"/>
          <w:sz w:val="28"/>
          <w:szCs w:val="28"/>
          <w14:textFill>
            <w14:solidFill>
              <w14:schemeClr w14:val="tx1">
                <w14:lumMod w14:val="95000"/>
                <w14:lumOff w14:val="5000"/>
              </w14:schemeClr>
            </w14:solidFill>
          </w14:textFill>
        </w:rPr>
      </w:pPr>
      <w:bookmarkStart w:id="235" w:name="_Toc27520702"/>
      <w:r>
        <w:rPr>
          <w:rFonts w:cs="Times New Roman"/>
          <w:color w:val="0D0D0D" w:themeColor="text1" w:themeTint="F2"/>
          <w:sz w:val="28"/>
          <w:szCs w:val="28"/>
          <w14:textFill>
            <w14:solidFill>
              <w14:schemeClr w14:val="tx1">
                <w14:lumMod w14:val="95000"/>
                <w14:lumOff w14:val="5000"/>
              </w14:schemeClr>
            </w14:solidFill>
          </w14:textFill>
        </w:rPr>
        <w:t>附表</w:t>
      </w:r>
      <w:r>
        <w:rPr>
          <w:rFonts w:hint="eastAsia" w:cs="Times New Roman"/>
          <w:color w:val="0D0D0D" w:themeColor="text1" w:themeTint="F2"/>
          <w:sz w:val="28"/>
          <w:szCs w:val="28"/>
          <w14:textFill>
            <w14:solidFill>
              <w14:schemeClr w14:val="tx1">
                <w14:lumMod w14:val="95000"/>
                <w14:lumOff w14:val="5000"/>
              </w14:schemeClr>
            </w14:solidFill>
          </w14:textFill>
        </w:rPr>
        <w:t>3</w:t>
      </w:r>
      <w:bookmarkEnd w:id="233"/>
      <w:bookmarkEnd w:id="234"/>
      <w:r>
        <w:rPr>
          <w:rFonts w:hint="eastAsia" w:cs="Times New Roman"/>
          <w:color w:val="0D0D0D" w:themeColor="text1" w:themeTint="F2"/>
          <w:sz w:val="28"/>
          <w:szCs w:val="28"/>
          <w14:textFill>
            <w14:solidFill>
              <w14:schemeClr w14:val="tx1">
                <w14:lumMod w14:val="95000"/>
                <w14:lumOff w14:val="5000"/>
              </w14:schemeClr>
            </w14:solidFill>
          </w14:textFill>
        </w:rPr>
        <w:t xml:space="preserve"> </w:t>
      </w:r>
      <w:r>
        <w:rPr>
          <w:rFonts w:hint="eastAsia" w:ascii="仿宋" w:hAnsi="仿宋"/>
          <w:color w:val="0D0D0D" w:themeColor="text1" w:themeTint="F2"/>
          <w:sz w:val="28"/>
          <w:szCs w:val="28"/>
          <w14:textFill>
            <w14:solidFill>
              <w14:schemeClr w14:val="tx1">
                <w14:lumMod w14:val="95000"/>
                <w14:lumOff w14:val="5000"/>
              </w14:schemeClr>
            </w14:solidFill>
          </w14:textFill>
        </w:rPr>
        <w:t>富源县迤佐河水库集中式饮用水水源保护区划分结果表</w:t>
      </w:r>
      <w:bookmarkEnd w:id="235"/>
    </w:p>
    <w:p>
      <w:pPr>
        <w:jc w:val="center"/>
        <w:rPr>
          <w:rFonts w:ascii="仿宋" w:hAnsi="仿宋" w:eastAsia="仿宋"/>
          <w:b/>
          <w:color w:val="0D0D0D" w:themeColor="text1" w:themeTint="F2"/>
          <w:kern w:val="0"/>
          <w:sz w:val="28"/>
          <w:szCs w:val="28"/>
          <w14:textFill>
            <w14:solidFill>
              <w14:schemeClr w14:val="tx1">
                <w14:lumMod w14:val="95000"/>
                <w14:lumOff w14:val="5000"/>
              </w14:schemeClr>
            </w14:solidFill>
          </w14:textFill>
        </w:rPr>
      </w:pPr>
      <w:r>
        <w:rPr>
          <w:rFonts w:hint="eastAsia"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迤佐河</w:t>
      </w:r>
      <w:r>
        <w:rPr>
          <w:rFonts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水库</w:t>
      </w:r>
      <w:r>
        <w:rPr>
          <w:rFonts w:ascii="仿宋" w:hAnsi="仿宋" w:eastAsia="仿宋"/>
          <w:b/>
          <w:color w:val="0D0D0D" w:themeColor="text1" w:themeTint="F2"/>
          <w:kern w:val="0"/>
          <w:sz w:val="28"/>
          <w:szCs w:val="28"/>
          <w14:textFill>
            <w14:solidFill>
              <w14:schemeClr w14:val="tx1">
                <w14:lumMod w14:val="95000"/>
                <w14:lumOff w14:val="5000"/>
              </w14:schemeClr>
            </w14:solidFill>
          </w14:textFill>
        </w:rPr>
        <w:t>饮用水水源地保护区划分结果表</w:t>
      </w:r>
    </w:p>
    <w:tbl>
      <w:tblPr>
        <w:tblStyle w:val="44"/>
        <w:tblW w:w="13948" w:type="dxa"/>
        <w:tblInd w:w="0" w:type="dxa"/>
        <w:tblLayout w:type="fixed"/>
        <w:tblCellMar>
          <w:top w:w="0" w:type="dxa"/>
          <w:left w:w="108" w:type="dxa"/>
          <w:bottom w:w="0" w:type="dxa"/>
          <w:right w:w="108" w:type="dxa"/>
        </w:tblCellMar>
      </w:tblPr>
      <w:tblGrid>
        <w:gridCol w:w="838"/>
        <w:gridCol w:w="1284"/>
        <w:gridCol w:w="993"/>
        <w:gridCol w:w="1275"/>
        <w:gridCol w:w="1559"/>
        <w:gridCol w:w="1133"/>
        <w:gridCol w:w="1398"/>
        <w:gridCol w:w="1398"/>
        <w:gridCol w:w="1537"/>
        <w:gridCol w:w="1253"/>
        <w:gridCol w:w="1280"/>
      </w:tblGrid>
      <w:tr>
        <w:tblPrEx>
          <w:tblLayout w:type="fixed"/>
          <w:tblCellMar>
            <w:top w:w="0" w:type="dxa"/>
            <w:left w:w="108" w:type="dxa"/>
            <w:bottom w:w="0" w:type="dxa"/>
            <w:right w:w="108" w:type="dxa"/>
          </w:tblCellMar>
        </w:tblPrEx>
        <w:trPr>
          <w:trHeight w:val="315" w:hRule="atLeast"/>
        </w:trPr>
        <w:tc>
          <w:tcPr>
            <w:tcW w:w="83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城市名称</w:t>
            </w:r>
          </w:p>
        </w:tc>
        <w:tc>
          <w:tcPr>
            <w:tcW w:w="12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饮用水水源地名称</w:t>
            </w:r>
          </w:p>
        </w:tc>
        <w:tc>
          <w:tcPr>
            <w:tcW w:w="9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水源地类型</w:t>
            </w:r>
          </w:p>
        </w:tc>
        <w:tc>
          <w:tcPr>
            <w:tcW w:w="12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水环境功能类别</w:t>
            </w:r>
          </w:p>
        </w:tc>
        <w:tc>
          <w:tcPr>
            <w:tcW w:w="1559"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指标名称</w:t>
            </w:r>
          </w:p>
        </w:tc>
        <w:tc>
          <w:tcPr>
            <w:tcW w:w="2531"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一级保护区</w:t>
            </w:r>
          </w:p>
        </w:tc>
        <w:tc>
          <w:tcPr>
            <w:tcW w:w="2935"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二级保护区</w:t>
            </w:r>
          </w:p>
        </w:tc>
        <w:tc>
          <w:tcPr>
            <w:tcW w:w="253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准保护区</w:t>
            </w:r>
          </w:p>
        </w:tc>
      </w:tr>
      <w:tr>
        <w:tblPrEx>
          <w:tblLayout w:type="fixed"/>
          <w:tblCellMar>
            <w:top w:w="0" w:type="dxa"/>
            <w:left w:w="108" w:type="dxa"/>
            <w:bottom w:w="0" w:type="dxa"/>
            <w:right w:w="108" w:type="dxa"/>
          </w:tblCellMar>
        </w:tblPrEx>
        <w:trPr>
          <w:trHeight w:val="285" w:hRule="atLeast"/>
        </w:trPr>
        <w:tc>
          <w:tcPr>
            <w:tcW w:w="83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28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559" w:type="dxa"/>
            <w:vMerge w:val="continue"/>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13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水域</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陆域</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水域</w:t>
            </w:r>
          </w:p>
        </w:tc>
        <w:tc>
          <w:tcPr>
            <w:tcW w:w="1537"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陆域</w:t>
            </w:r>
          </w:p>
        </w:tc>
        <w:tc>
          <w:tcPr>
            <w:tcW w:w="125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水域</w:t>
            </w:r>
          </w:p>
        </w:tc>
        <w:tc>
          <w:tcPr>
            <w:tcW w:w="128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陆域</w:t>
            </w:r>
          </w:p>
        </w:tc>
      </w:tr>
      <w:tr>
        <w:tblPrEx>
          <w:tblLayout w:type="fixed"/>
          <w:tblCellMar>
            <w:top w:w="0" w:type="dxa"/>
            <w:left w:w="108" w:type="dxa"/>
            <w:bottom w:w="0" w:type="dxa"/>
            <w:right w:w="108" w:type="dxa"/>
          </w:tblCellMar>
        </w:tblPrEx>
        <w:trPr>
          <w:trHeight w:val="315" w:hRule="atLeast"/>
        </w:trPr>
        <w:tc>
          <w:tcPr>
            <w:tcW w:w="838" w:type="dxa"/>
            <w:vMerge w:val="restart"/>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富源县</w:t>
            </w:r>
          </w:p>
        </w:tc>
        <w:tc>
          <w:tcPr>
            <w:tcW w:w="128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迤佐河水库</w:t>
            </w:r>
          </w:p>
        </w:tc>
        <w:tc>
          <w:tcPr>
            <w:tcW w:w="993"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地表水型</w:t>
            </w:r>
          </w:p>
        </w:tc>
        <w:tc>
          <w:tcPr>
            <w:tcW w:w="1275"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类</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（地表水）</w:t>
            </w:r>
          </w:p>
        </w:tc>
        <w:tc>
          <w:tcPr>
            <w:tcW w:w="1559"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km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2531"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0.7956</w:t>
            </w:r>
          </w:p>
        </w:tc>
        <w:tc>
          <w:tcPr>
            <w:tcW w:w="2935"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5.8746</w:t>
            </w:r>
          </w:p>
        </w:tc>
        <w:tc>
          <w:tcPr>
            <w:tcW w:w="2533"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4.5178</w:t>
            </w:r>
          </w:p>
        </w:tc>
      </w:tr>
      <w:tr>
        <w:tblPrEx>
          <w:tblLayout w:type="fixed"/>
          <w:tblCellMar>
            <w:top w:w="0" w:type="dxa"/>
            <w:left w:w="108" w:type="dxa"/>
            <w:bottom w:w="0" w:type="dxa"/>
            <w:right w:w="108" w:type="dxa"/>
          </w:tblCellMar>
        </w:tblPrEx>
        <w:trPr>
          <w:trHeight w:val="315" w:hRule="atLeast"/>
        </w:trPr>
        <w:tc>
          <w:tcPr>
            <w:tcW w:w="838"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8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993"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5"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559"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13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0.2433</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0.5523</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37"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5.8746</w:t>
            </w:r>
          </w:p>
        </w:tc>
        <w:tc>
          <w:tcPr>
            <w:tcW w:w="125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28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4.5178</w:t>
            </w:r>
          </w:p>
        </w:tc>
      </w:tr>
      <w:tr>
        <w:tblPrEx>
          <w:tblLayout w:type="fixed"/>
          <w:tblCellMar>
            <w:top w:w="0" w:type="dxa"/>
            <w:left w:w="108" w:type="dxa"/>
            <w:bottom w:w="0" w:type="dxa"/>
            <w:right w:w="108" w:type="dxa"/>
          </w:tblCellMar>
        </w:tblPrEx>
        <w:trPr>
          <w:trHeight w:val="570" w:hRule="atLeast"/>
        </w:trPr>
        <w:tc>
          <w:tcPr>
            <w:tcW w:w="838"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8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993"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5"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55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保护区范围</w:t>
            </w:r>
          </w:p>
        </w:tc>
        <w:tc>
          <w:tcPr>
            <w:tcW w:w="2531" w:type="dxa"/>
            <w:gridSpan w:val="2"/>
            <w:tcBorders>
              <w:top w:val="single" w:color="auto" w:sz="4" w:space="0"/>
              <w:left w:val="nil"/>
              <w:bottom w:val="single" w:color="auto" w:sz="4" w:space="0"/>
              <w:right w:val="single" w:color="auto" w:sz="4" w:space="0"/>
            </w:tcBorders>
            <w:shd w:val="clear" w:color="auto" w:fill="auto"/>
            <w:vAlign w:val="center"/>
          </w:tcPr>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水域：迤佐河水库正常蓄水位1915m以下的全部水域。</w:t>
            </w:r>
          </w:p>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陆域：迤佐河水库正常蓄水位外延200m范围为</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陆域</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2935" w:type="dxa"/>
            <w:gridSpan w:val="2"/>
            <w:tcBorders>
              <w:top w:val="single" w:color="auto" w:sz="4" w:space="0"/>
              <w:left w:val="nil"/>
              <w:bottom w:val="single" w:color="auto" w:sz="4" w:space="0"/>
              <w:right w:val="single" w:color="auto" w:sz="4" w:space="0"/>
            </w:tcBorders>
            <w:shd w:val="clear" w:color="auto" w:fill="auto"/>
            <w:vAlign w:val="center"/>
          </w:tcPr>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陆域：流域分水岭范围内一级保护区外的其他区域。</w:t>
            </w:r>
          </w:p>
        </w:tc>
        <w:tc>
          <w:tcPr>
            <w:tcW w:w="2533" w:type="dxa"/>
            <w:gridSpan w:val="2"/>
            <w:tcBorders>
              <w:top w:val="single" w:color="auto" w:sz="4" w:space="0"/>
              <w:left w:val="nil"/>
              <w:bottom w:val="single" w:color="auto" w:sz="4" w:space="0"/>
              <w:right w:val="single" w:color="auto" w:sz="4" w:space="0"/>
            </w:tcBorders>
            <w:shd w:val="clear" w:color="auto" w:fill="auto"/>
            <w:vAlign w:val="center"/>
          </w:tcPr>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陆域：以德胜-乍玉麦山间溶蚀凹地区域地表水分水岭为准保护区边界。</w:t>
            </w:r>
          </w:p>
        </w:tc>
      </w:tr>
    </w:tbl>
    <w:p>
      <w:pPr>
        <w:rPr>
          <w:color w:val="0D0D0D" w:themeColor="text1" w:themeTint="F2"/>
          <w14:textFill>
            <w14:solidFill>
              <w14:schemeClr w14:val="tx1">
                <w14:lumMod w14:val="95000"/>
                <w14:lumOff w14:val="5000"/>
              </w14:schemeClr>
            </w14:solidFill>
          </w14:textFill>
        </w:rPr>
        <w:sectPr>
          <w:pgSz w:w="16838" w:h="11906" w:orient="landscape"/>
          <w:pgMar w:top="1236" w:right="1440" w:bottom="1236" w:left="1440" w:header="851" w:footer="992" w:gutter="0"/>
          <w:pgNumType w:fmt="numberInDash"/>
          <w:cols w:space="0" w:num="1"/>
          <w:docGrid w:type="lines" w:linePitch="312" w:charSpace="0"/>
        </w:sectPr>
      </w:pPr>
    </w:p>
    <w:p>
      <w:pPr>
        <w:pStyle w:val="3"/>
        <w:adjustRightInd w:val="0"/>
        <w:snapToGrid w:val="0"/>
        <w:spacing w:before="0" w:after="0" w:line="360" w:lineRule="auto"/>
        <w:rPr>
          <w:rFonts w:cs="Times New Roman"/>
          <w:color w:val="0D0D0D" w:themeColor="text1" w:themeTint="F2"/>
          <w:sz w:val="28"/>
          <w:szCs w:val="28"/>
          <w14:textFill>
            <w14:solidFill>
              <w14:schemeClr w14:val="tx1">
                <w14:lumMod w14:val="95000"/>
                <w14:lumOff w14:val="5000"/>
              </w14:schemeClr>
            </w14:solidFill>
          </w14:textFill>
        </w:rPr>
      </w:pPr>
      <w:bookmarkStart w:id="236" w:name="_Toc27520703"/>
      <w:r>
        <w:rPr>
          <w:rFonts w:cs="Times New Roman"/>
          <w:color w:val="0D0D0D" w:themeColor="text1" w:themeTint="F2"/>
          <w:sz w:val="28"/>
          <w:szCs w:val="28"/>
          <w14:textFill>
            <w14:solidFill>
              <w14:schemeClr w14:val="tx1">
                <w14:lumMod w14:val="95000"/>
                <w14:lumOff w14:val="5000"/>
              </w14:schemeClr>
            </w14:solidFill>
          </w14:textFill>
        </w:rPr>
        <w:t>附表</w:t>
      </w:r>
      <w:r>
        <w:rPr>
          <w:rFonts w:hint="eastAsia" w:cs="Times New Roman"/>
          <w:color w:val="0D0D0D" w:themeColor="text1" w:themeTint="F2"/>
          <w:sz w:val="28"/>
          <w:szCs w:val="28"/>
          <w14:textFill>
            <w14:solidFill>
              <w14:schemeClr w14:val="tx1">
                <w14:lumMod w14:val="95000"/>
                <w14:lumOff w14:val="5000"/>
              </w14:schemeClr>
            </w14:solidFill>
          </w14:textFill>
        </w:rPr>
        <w:t>4 富源县迤佐河水库饮用水水源地保护区污染源调查表</w:t>
      </w:r>
      <w:bookmarkEnd w:id="236"/>
    </w:p>
    <w:p>
      <w:pPr>
        <w:adjustRightInd w:val="0"/>
        <w:snapToGrid w:val="0"/>
        <w:spacing w:line="240" w:lineRule="atLeast"/>
        <w:jc w:val="center"/>
        <w:rPr>
          <w:rFonts w:ascii="仿宋" w:hAnsi="仿宋" w:eastAsia="仿宋"/>
          <w:b/>
          <w:color w:val="0D0D0D" w:themeColor="text1" w:themeTint="F2"/>
          <w:kern w:val="0"/>
          <w:sz w:val="28"/>
          <w:szCs w:val="28"/>
          <w:u w:val="single"/>
          <w14:textFill>
            <w14:solidFill>
              <w14:schemeClr w14:val="tx1">
                <w14:lumMod w14:val="95000"/>
                <w14:lumOff w14:val="5000"/>
              </w14:schemeClr>
            </w14:solidFill>
          </w14:textFill>
        </w:rPr>
      </w:pPr>
      <w:r>
        <w:rPr>
          <w:rFonts w:hint="eastAsia"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迤佐河水库</w:t>
      </w:r>
      <w:r>
        <w:rPr>
          <w:rFonts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饮用水水源地保护区污染源调查表</w:t>
      </w:r>
    </w:p>
    <w:tbl>
      <w:tblPr>
        <w:tblStyle w:val="44"/>
        <w:tblW w:w="141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134"/>
        <w:gridCol w:w="1134"/>
        <w:gridCol w:w="2297"/>
        <w:gridCol w:w="1086"/>
        <w:gridCol w:w="1847"/>
        <w:gridCol w:w="2550"/>
        <w:gridCol w:w="3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959"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水源地名称</w:t>
            </w:r>
          </w:p>
        </w:tc>
        <w:tc>
          <w:tcPr>
            <w:tcW w:w="1134"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保护区级别</w:t>
            </w:r>
          </w:p>
        </w:tc>
        <w:tc>
          <w:tcPr>
            <w:tcW w:w="4517" w:type="dxa"/>
            <w:gridSpan w:val="3"/>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主要污染源</w:t>
            </w:r>
          </w:p>
        </w:tc>
        <w:tc>
          <w:tcPr>
            <w:tcW w:w="1847"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环境风险</w:t>
            </w:r>
          </w:p>
        </w:tc>
        <w:tc>
          <w:tcPr>
            <w:tcW w:w="2550"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存在的主要环境问题</w:t>
            </w:r>
          </w:p>
        </w:tc>
        <w:tc>
          <w:tcPr>
            <w:tcW w:w="3177"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规范化建设项目及管理措施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959"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34"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34" w:type="dxa"/>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点源</w:t>
            </w:r>
          </w:p>
        </w:tc>
        <w:tc>
          <w:tcPr>
            <w:tcW w:w="2297" w:type="dxa"/>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面源</w:t>
            </w:r>
          </w:p>
        </w:tc>
        <w:tc>
          <w:tcPr>
            <w:tcW w:w="1086" w:type="dxa"/>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流动源</w:t>
            </w:r>
          </w:p>
        </w:tc>
        <w:tc>
          <w:tcPr>
            <w:tcW w:w="184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2550"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317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9"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戈多水库</w:t>
            </w: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一级区</w:t>
            </w: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无</w:t>
            </w:r>
          </w:p>
        </w:tc>
        <w:tc>
          <w:tcPr>
            <w:tcW w:w="2297" w:type="dxa"/>
            <w:shd w:val="clear" w:color="auto" w:fill="auto"/>
            <w:vAlign w:val="center"/>
          </w:tcPr>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1.农村生活面源，涉及</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84</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户</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384</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人；</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2.畜禽养殖污染，涉及畜禽数量</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206</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头（只）</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.农业种植污染，涉及耕地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0.16公顷；</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46.69</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公顷</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086"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省道S213、县道X152及乡道省道</w:t>
            </w:r>
          </w:p>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县道</w:t>
            </w:r>
          </w:p>
        </w:tc>
        <w:tc>
          <w:tcPr>
            <w:tcW w:w="184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农村</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农业面源</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及水土流失非点源</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流动源</w:t>
            </w:r>
          </w:p>
        </w:tc>
        <w:tc>
          <w:tcPr>
            <w:tcW w:w="2550"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农村生活污水及垃圾面源污染；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2.畜禽养殖面源污染；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3.农业种植化肥、农药面源污染；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4.交通污染风险；</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5.水土流失面源污染。</w:t>
            </w:r>
          </w:p>
        </w:tc>
        <w:tc>
          <w:tcPr>
            <w:tcW w:w="317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1.一级保护区防护围网、交通警示牌设置</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、告示牌、界桩</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农村</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生活</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垃圾</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处置工程；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3.农村生活污水处置工程；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4.畜禽污染控制工程；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5.交通污染风险防控工程；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6.退耕还林、人工造林工程；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.水土流失治理工程。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9"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二级区</w:t>
            </w: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无</w:t>
            </w:r>
          </w:p>
        </w:tc>
        <w:tc>
          <w:tcPr>
            <w:tcW w:w="2297" w:type="dxa"/>
            <w:shd w:val="clear" w:color="auto" w:fill="auto"/>
            <w:vAlign w:val="center"/>
          </w:tcPr>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1.农村生活面源，涉及</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265</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户</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1057</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人；</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2.畜禽养殖污染，涉及畜禽数量</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256</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头（只）</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.农业种植污染，涉及耕地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221.89公顷；</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513.55</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公顷</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086"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省道S213、县道X152及乡道</w:t>
            </w:r>
          </w:p>
        </w:tc>
        <w:tc>
          <w:tcPr>
            <w:tcW w:w="184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农村</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农业面源</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及水土流失非点源</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流动源</w:t>
            </w:r>
          </w:p>
        </w:tc>
        <w:tc>
          <w:tcPr>
            <w:tcW w:w="2550"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农村生活污水及垃圾面源污染；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2.畜禽养殖面源污染；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3.农业种植化肥、农药面源污染；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4.交通污染风险；</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5.水土流失面源污染。</w:t>
            </w:r>
          </w:p>
        </w:tc>
        <w:tc>
          <w:tcPr>
            <w:tcW w:w="317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二级</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保护区防护交通警示牌设置</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、界桩、宣传牌</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农村</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生活</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垃圾</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处置工程；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3.农村生活污水处置工程；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4.农村卫生厕所普及工程；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5.畜禽污染控制工程；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6.交通污染风险防控工程；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7.测土配方施肥工程；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8.退耕还林、人工造林工程；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.水土流失治理工程。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9"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准保护区</w:t>
            </w: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无</w:t>
            </w:r>
          </w:p>
        </w:tc>
        <w:tc>
          <w:tcPr>
            <w:tcW w:w="2297" w:type="dxa"/>
            <w:shd w:val="clear" w:color="auto" w:fill="auto"/>
            <w:vAlign w:val="center"/>
          </w:tcPr>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1.农村生活面源，涉及</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565</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户</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2389</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人；</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2.畜禽养殖污染，涉及畜禽数量</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398</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头（只）</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.农业种植污染，涉及耕地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211.78公顷；</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334.48</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公顷</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086"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省道S213、县道X152及乡道</w:t>
            </w:r>
          </w:p>
        </w:tc>
        <w:tc>
          <w:tcPr>
            <w:tcW w:w="184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农村</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农业农村面源</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及水土流失非点源</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流动源</w:t>
            </w:r>
          </w:p>
        </w:tc>
        <w:tc>
          <w:tcPr>
            <w:tcW w:w="2550"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农村生活污水及垃圾面源污染；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2.畜禽养殖面源污染；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3.农业种植化肥、农药面源污染；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4.交通污染风险；</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5.水土流失面源污染。</w:t>
            </w:r>
          </w:p>
        </w:tc>
        <w:tc>
          <w:tcPr>
            <w:tcW w:w="317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准</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保护区防护、交通警示牌设置</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、界桩</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农村</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生活</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垃圾</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处置工程；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3.农村生活污水处置工程；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4.畜禽污染控制工程；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5.交通污染风险防控工程；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6.测土配方施肥工程；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.水土流失治理工程。</w:t>
            </w:r>
          </w:p>
        </w:tc>
      </w:tr>
    </w:tbl>
    <w:p>
      <w:pPr>
        <w:rPr>
          <w:color w:val="0D0D0D" w:themeColor="text1" w:themeTint="F2"/>
          <w14:textFill>
            <w14:solidFill>
              <w14:schemeClr w14:val="tx1">
                <w14:lumMod w14:val="95000"/>
                <w14:lumOff w14:val="5000"/>
              </w14:schemeClr>
            </w14:solidFill>
          </w14:textFill>
        </w:rPr>
      </w:pPr>
    </w:p>
    <w:sectPr>
      <w:pgSz w:w="16838" w:h="11906" w:orient="landscape"/>
      <w:pgMar w:top="1236" w:right="1440" w:bottom="1236" w:left="1440"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A00002EF" w:usb1="4000207B" w:usb2="00000000" w:usb3="00000000" w:csb0="2000019F" w:csb1="00000000"/>
  </w:font>
  <w:font w:name="Arial">
    <w:panose1 w:val="020B0604020202020204"/>
    <w:charset w:val="00"/>
    <w:family w:val="swiss"/>
    <w:pitch w:val="default"/>
    <w:sig w:usb0="E0002AFF" w:usb1="C0007843" w:usb2="00000009" w:usb3="00000000" w:csb0="400001FF" w:csb1="FFFF0000"/>
  </w:font>
  <w:font w:name="Microsoft YaHei UI">
    <w:altName w:val="宋体"/>
    <w:panose1 w:val="020B0503020204020204"/>
    <w:charset w:val="86"/>
    <w:family w:val="swiss"/>
    <w:pitch w:val="default"/>
    <w:sig w:usb0="00000000" w:usb1="00000000" w:usb2="00000016" w:usb3="00000000" w:csb0="0004001F" w:csb1="00000000"/>
  </w:font>
  <w:font w:name="华文中宋">
    <w:altName w:val="宋体"/>
    <w:panose1 w:val="02010600040101010101"/>
    <w:charset w:val="86"/>
    <w:family w:val="auto"/>
    <w:pitch w:val="default"/>
    <w:sig w:usb0="00000000" w:usb1="00000000" w:usb2="00000010" w:usb3="00000000" w:csb0="0004009F" w:csb1="00000000"/>
  </w:font>
  <w:font w:name="Courier New">
    <w:panose1 w:val="02070309020205020404"/>
    <w:charset w:val="00"/>
    <w:family w:val="modern"/>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40468632"/>
      <w:docPartObj>
        <w:docPartGallery w:val="AutoText"/>
      </w:docPartObj>
    </w:sdtPr>
    <w:sdtContent>
      <w:p>
        <w:pPr>
          <w:pStyle w:val="28"/>
          <w:jc w:val="center"/>
        </w:pPr>
      </w:p>
    </w:sdtContent>
  </w:sdt>
  <w:p>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p>
  <w:p>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15807744"/>
      <w:docPartObj>
        <w:docPartGallery w:val="AutoText"/>
      </w:docPartObj>
    </w:sdtPr>
    <w:sdtContent>
      <w:p>
        <w:pPr>
          <w:pStyle w:val="28"/>
          <w:jc w:val="center"/>
        </w:pPr>
        <w:r>
          <w:fldChar w:fldCharType="begin"/>
        </w:r>
        <w:r>
          <w:instrText xml:space="preserve">PAGE   \* MERGEFORMAT</w:instrText>
        </w:r>
        <w:r>
          <w:fldChar w:fldCharType="separate"/>
        </w:r>
        <w:r>
          <w:rPr>
            <w:lang w:val="zh-CN"/>
          </w:rPr>
          <w:t>iii</w:t>
        </w:r>
        <w:r>
          <w:fldChar w:fldCharType="end"/>
        </w:r>
      </w:p>
    </w:sdtContent>
  </w:sdt>
  <w:p>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2242485"/>
      <w:docPartObj>
        <w:docPartGallery w:val="AutoText"/>
      </w:docPartObj>
    </w:sdtPr>
    <w:sdtContent>
      <w:p>
        <w:pPr>
          <w:pStyle w:val="28"/>
          <w:jc w:val="center"/>
        </w:pPr>
        <w:r>
          <w:fldChar w:fldCharType="begin"/>
        </w:r>
        <w:r>
          <w:instrText xml:space="preserve">PAGE   \* MERGEFORMAT</w:instrText>
        </w:r>
        <w:r>
          <w:fldChar w:fldCharType="separate"/>
        </w:r>
        <w:r>
          <w:rPr>
            <w:lang w:val="zh-CN"/>
          </w:rPr>
          <w:t>-</w:t>
        </w:r>
        <w:r>
          <w:t xml:space="preserve"> 5 -</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8861279"/>
      <w:docPartObj>
        <w:docPartGallery w:val="AutoText"/>
      </w:docPartObj>
    </w:sdtPr>
    <w:sdtContent>
      <w:p>
        <w:pPr>
          <w:pStyle w:val="28"/>
          <w:jc w:val="center"/>
        </w:pPr>
        <w:r>
          <w:fldChar w:fldCharType="begin"/>
        </w:r>
        <w:r>
          <w:instrText xml:space="preserve">PAGE   \* MERGEFORMAT</w:instrText>
        </w:r>
        <w:r>
          <w:fldChar w:fldCharType="separate"/>
        </w:r>
        <w:r>
          <w:rPr>
            <w:lang w:val="zh-CN"/>
          </w:rPr>
          <w:t>-</w:t>
        </w:r>
        <w:r>
          <w:t xml:space="preserve"> 71 -</w:t>
        </w:r>
        <w:r>
          <w:fldChar w:fldCharType="end"/>
        </w:r>
      </w:p>
    </w:sdtContent>
  </w:sdt>
  <w:p>
    <w:pPr>
      <w:pStyle w:val="28"/>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tentative="0">
      <w:start w:val="1"/>
      <w:numFmt w:val="bullet"/>
      <w:pStyle w:val="15"/>
      <w:lvlText w:val=""/>
      <w:lvlJc w:val="left"/>
      <w:pPr>
        <w:tabs>
          <w:tab w:val="left" w:pos="360"/>
        </w:tabs>
        <w:ind w:left="360" w:hanging="360" w:hangingChars="20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092"/>
    <w:rsid w:val="00000BAA"/>
    <w:rsid w:val="00002B1D"/>
    <w:rsid w:val="000051A7"/>
    <w:rsid w:val="000057B4"/>
    <w:rsid w:val="000057E5"/>
    <w:rsid w:val="00006389"/>
    <w:rsid w:val="00012715"/>
    <w:rsid w:val="0002043B"/>
    <w:rsid w:val="00020830"/>
    <w:rsid w:val="000214DD"/>
    <w:rsid w:val="00023B70"/>
    <w:rsid w:val="000245F6"/>
    <w:rsid w:val="00024D03"/>
    <w:rsid w:val="000315A7"/>
    <w:rsid w:val="0003527E"/>
    <w:rsid w:val="0003553B"/>
    <w:rsid w:val="000362D7"/>
    <w:rsid w:val="00036A97"/>
    <w:rsid w:val="00037199"/>
    <w:rsid w:val="00041333"/>
    <w:rsid w:val="00042407"/>
    <w:rsid w:val="000439BE"/>
    <w:rsid w:val="00044BEE"/>
    <w:rsid w:val="000453C1"/>
    <w:rsid w:val="0004636E"/>
    <w:rsid w:val="00047106"/>
    <w:rsid w:val="00053EA4"/>
    <w:rsid w:val="00055B7B"/>
    <w:rsid w:val="00055BA1"/>
    <w:rsid w:val="0005728E"/>
    <w:rsid w:val="00057724"/>
    <w:rsid w:val="0006100B"/>
    <w:rsid w:val="00071E63"/>
    <w:rsid w:val="00073188"/>
    <w:rsid w:val="00073243"/>
    <w:rsid w:val="0008082C"/>
    <w:rsid w:val="000809AA"/>
    <w:rsid w:val="000857FC"/>
    <w:rsid w:val="00087EE8"/>
    <w:rsid w:val="000924F1"/>
    <w:rsid w:val="00092F78"/>
    <w:rsid w:val="000946A3"/>
    <w:rsid w:val="000951D8"/>
    <w:rsid w:val="000A0EB9"/>
    <w:rsid w:val="000A30C6"/>
    <w:rsid w:val="000A42F3"/>
    <w:rsid w:val="000A79A8"/>
    <w:rsid w:val="000B2196"/>
    <w:rsid w:val="000B32DF"/>
    <w:rsid w:val="000B3AFE"/>
    <w:rsid w:val="000B75C5"/>
    <w:rsid w:val="000C3F96"/>
    <w:rsid w:val="000C4766"/>
    <w:rsid w:val="000D6FD0"/>
    <w:rsid w:val="000E0259"/>
    <w:rsid w:val="000E1D72"/>
    <w:rsid w:val="000E3763"/>
    <w:rsid w:val="000E5B0E"/>
    <w:rsid w:val="000F0431"/>
    <w:rsid w:val="000F2DDA"/>
    <w:rsid w:val="000F3D90"/>
    <w:rsid w:val="000F51D5"/>
    <w:rsid w:val="000F724C"/>
    <w:rsid w:val="000F7402"/>
    <w:rsid w:val="00103D7C"/>
    <w:rsid w:val="00104C08"/>
    <w:rsid w:val="00105055"/>
    <w:rsid w:val="00110EEA"/>
    <w:rsid w:val="00117795"/>
    <w:rsid w:val="00120915"/>
    <w:rsid w:val="00120A22"/>
    <w:rsid w:val="00130C7D"/>
    <w:rsid w:val="00130E81"/>
    <w:rsid w:val="00132BB7"/>
    <w:rsid w:val="00133EF1"/>
    <w:rsid w:val="00134E5A"/>
    <w:rsid w:val="0014035B"/>
    <w:rsid w:val="00142C7C"/>
    <w:rsid w:val="00143B51"/>
    <w:rsid w:val="001450A5"/>
    <w:rsid w:val="001515D1"/>
    <w:rsid w:val="00154210"/>
    <w:rsid w:val="00154E81"/>
    <w:rsid w:val="00160938"/>
    <w:rsid w:val="0016142D"/>
    <w:rsid w:val="0016272A"/>
    <w:rsid w:val="00163FD7"/>
    <w:rsid w:val="001650DD"/>
    <w:rsid w:val="0017193D"/>
    <w:rsid w:val="0017196E"/>
    <w:rsid w:val="00173D56"/>
    <w:rsid w:val="00173E5C"/>
    <w:rsid w:val="00174CAB"/>
    <w:rsid w:val="001752E9"/>
    <w:rsid w:val="0017618B"/>
    <w:rsid w:val="00176EA7"/>
    <w:rsid w:val="0017771E"/>
    <w:rsid w:val="00183092"/>
    <w:rsid w:val="00186949"/>
    <w:rsid w:val="00194212"/>
    <w:rsid w:val="001A0ADE"/>
    <w:rsid w:val="001A2E28"/>
    <w:rsid w:val="001A4329"/>
    <w:rsid w:val="001B0953"/>
    <w:rsid w:val="001B3522"/>
    <w:rsid w:val="001B399F"/>
    <w:rsid w:val="001B4EB6"/>
    <w:rsid w:val="001B6646"/>
    <w:rsid w:val="001C066C"/>
    <w:rsid w:val="001C0FDC"/>
    <w:rsid w:val="001C3F90"/>
    <w:rsid w:val="001C5CC1"/>
    <w:rsid w:val="001C79D2"/>
    <w:rsid w:val="001C7F24"/>
    <w:rsid w:val="001D007F"/>
    <w:rsid w:val="001D2B32"/>
    <w:rsid w:val="001D4DCB"/>
    <w:rsid w:val="001E28B4"/>
    <w:rsid w:val="001E2CBB"/>
    <w:rsid w:val="001E3BB6"/>
    <w:rsid w:val="001E7E56"/>
    <w:rsid w:val="001F09BA"/>
    <w:rsid w:val="001F1CA1"/>
    <w:rsid w:val="001F2ED2"/>
    <w:rsid w:val="001F39C9"/>
    <w:rsid w:val="001F4959"/>
    <w:rsid w:val="001F52BD"/>
    <w:rsid w:val="001F63D6"/>
    <w:rsid w:val="00200B72"/>
    <w:rsid w:val="002048A9"/>
    <w:rsid w:val="00204F32"/>
    <w:rsid w:val="0021314E"/>
    <w:rsid w:val="002131F3"/>
    <w:rsid w:val="00213781"/>
    <w:rsid w:val="00213C3E"/>
    <w:rsid w:val="00214F7F"/>
    <w:rsid w:val="00217CB5"/>
    <w:rsid w:val="00220ABF"/>
    <w:rsid w:val="002232B1"/>
    <w:rsid w:val="00224286"/>
    <w:rsid w:val="002242F4"/>
    <w:rsid w:val="00224325"/>
    <w:rsid w:val="00225115"/>
    <w:rsid w:val="00225CD6"/>
    <w:rsid w:val="00225CE4"/>
    <w:rsid w:val="00226D3D"/>
    <w:rsid w:val="00234AD7"/>
    <w:rsid w:val="00234D47"/>
    <w:rsid w:val="00235ADC"/>
    <w:rsid w:val="00236BEF"/>
    <w:rsid w:val="00240A23"/>
    <w:rsid w:val="002428DE"/>
    <w:rsid w:val="00242E6F"/>
    <w:rsid w:val="00242F0A"/>
    <w:rsid w:val="00245EF1"/>
    <w:rsid w:val="00247B7A"/>
    <w:rsid w:val="00254575"/>
    <w:rsid w:val="002567B7"/>
    <w:rsid w:val="0026158C"/>
    <w:rsid w:val="00262FEF"/>
    <w:rsid w:val="0027167D"/>
    <w:rsid w:val="00274605"/>
    <w:rsid w:val="002802DD"/>
    <w:rsid w:val="002802F5"/>
    <w:rsid w:val="0028794B"/>
    <w:rsid w:val="00287ED2"/>
    <w:rsid w:val="002920BF"/>
    <w:rsid w:val="0029326D"/>
    <w:rsid w:val="0029330D"/>
    <w:rsid w:val="00293CBE"/>
    <w:rsid w:val="002952CC"/>
    <w:rsid w:val="002A0A80"/>
    <w:rsid w:val="002A1BF4"/>
    <w:rsid w:val="002B782D"/>
    <w:rsid w:val="002C011A"/>
    <w:rsid w:val="002C03F5"/>
    <w:rsid w:val="002C1896"/>
    <w:rsid w:val="002C2F2C"/>
    <w:rsid w:val="002C7C4F"/>
    <w:rsid w:val="002D0832"/>
    <w:rsid w:val="002D0CA3"/>
    <w:rsid w:val="002D311E"/>
    <w:rsid w:val="002D34B3"/>
    <w:rsid w:val="002D34CB"/>
    <w:rsid w:val="002D5179"/>
    <w:rsid w:val="002D7662"/>
    <w:rsid w:val="002D792B"/>
    <w:rsid w:val="002E2790"/>
    <w:rsid w:val="002E392F"/>
    <w:rsid w:val="002E3B7F"/>
    <w:rsid w:val="002F3241"/>
    <w:rsid w:val="002F66F4"/>
    <w:rsid w:val="002F6799"/>
    <w:rsid w:val="002F7A4D"/>
    <w:rsid w:val="002F7BDA"/>
    <w:rsid w:val="0030118C"/>
    <w:rsid w:val="00303208"/>
    <w:rsid w:val="00310CB9"/>
    <w:rsid w:val="00321A93"/>
    <w:rsid w:val="00323D7E"/>
    <w:rsid w:val="003246BF"/>
    <w:rsid w:val="0032502D"/>
    <w:rsid w:val="00326FEE"/>
    <w:rsid w:val="003273E4"/>
    <w:rsid w:val="00331309"/>
    <w:rsid w:val="00334C17"/>
    <w:rsid w:val="00336B93"/>
    <w:rsid w:val="00340DA4"/>
    <w:rsid w:val="0034299F"/>
    <w:rsid w:val="003477F8"/>
    <w:rsid w:val="00352FAA"/>
    <w:rsid w:val="00355FE5"/>
    <w:rsid w:val="00356AAB"/>
    <w:rsid w:val="00357883"/>
    <w:rsid w:val="003607FE"/>
    <w:rsid w:val="0036175A"/>
    <w:rsid w:val="00363792"/>
    <w:rsid w:val="0036488D"/>
    <w:rsid w:val="00364FC4"/>
    <w:rsid w:val="00366654"/>
    <w:rsid w:val="003700F0"/>
    <w:rsid w:val="00370EE0"/>
    <w:rsid w:val="00371709"/>
    <w:rsid w:val="0037229F"/>
    <w:rsid w:val="00377B96"/>
    <w:rsid w:val="00377CBD"/>
    <w:rsid w:val="00377F77"/>
    <w:rsid w:val="00382B27"/>
    <w:rsid w:val="00385DD3"/>
    <w:rsid w:val="00386464"/>
    <w:rsid w:val="00392320"/>
    <w:rsid w:val="00394A47"/>
    <w:rsid w:val="003A0A97"/>
    <w:rsid w:val="003A25C1"/>
    <w:rsid w:val="003A72D2"/>
    <w:rsid w:val="003B0CA0"/>
    <w:rsid w:val="003B14E9"/>
    <w:rsid w:val="003B28C4"/>
    <w:rsid w:val="003B437D"/>
    <w:rsid w:val="003C0DB4"/>
    <w:rsid w:val="003C522D"/>
    <w:rsid w:val="003C5268"/>
    <w:rsid w:val="003C6F4A"/>
    <w:rsid w:val="003C749D"/>
    <w:rsid w:val="003D161A"/>
    <w:rsid w:val="003D18FF"/>
    <w:rsid w:val="003D255A"/>
    <w:rsid w:val="003D33EA"/>
    <w:rsid w:val="003D5C8D"/>
    <w:rsid w:val="003D6A90"/>
    <w:rsid w:val="003E538F"/>
    <w:rsid w:val="003E6141"/>
    <w:rsid w:val="003F5C1B"/>
    <w:rsid w:val="00400090"/>
    <w:rsid w:val="00400A21"/>
    <w:rsid w:val="0040266F"/>
    <w:rsid w:val="004031BA"/>
    <w:rsid w:val="004106CF"/>
    <w:rsid w:val="00412929"/>
    <w:rsid w:val="00414205"/>
    <w:rsid w:val="0041546F"/>
    <w:rsid w:val="00416620"/>
    <w:rsid w:val="004228AD"/>
    <w:rsid w:val="00423A27"/>
    <w:rsid w:val="00425590"/>
    <w:rsid w:val="004255AC"/>
    <w:rsid w:val="004272C3"/>
    <w:rsid w:val="00427307"/>
    <w:rsid w:val="00432439"/>
    <w:rsid w:val="00434F19"/>
    <w:rsid w:val="004367C6"/>
    <w:rsid w:val="00441F44"/>
    <w:rsid w:val="00445E0F"/>
    <w:rsid w:val="0045221E"/>
    <w:rsid w:val="004547D2"/>
    <w:rsid w:val="00454914"/>
    <w:rsid w:val="00455EB4"/>
    <w:rsid w:val="00462443"/>
    <w:rsid w:val="004628EA"/>
    <w:rsid w:val="004635E7"/>
    <w:rsid w:val="00467E49"/>
    <w:rsid w:val="00470C5A"/>
    <w:rsid w:val="0047226A"/>
    <w:rsid w:val="00472908"/>
    <w:rsid w:val="004736C1"/>
    <w:rsid w:val="004812C3"/>
    <w:rsid w:val="004834DC"/>
    <w:rsid w:val="00484D91"/>
    <w:rsid w:val="004855FD"/>
    <w:rsid w:val="00486D39"/>
    <w:rsid w:val="0049184D"/>
    <w:rsid w:val="004937DB"/>
    <w:rsid w:val="00494395"/>
    <w:rsid w:val="004950FB"/>
    <w:rsid w:val="004979B2"/>
    <w:rsid w:val="004A1047"/>
    <w:rsid w:val="004A1E4D"/>
    <w:rsid w:val="004B0BD5"/>
    <w:rsid w:val="004B1778"/>
    <w:rsid w:val="004B4154"/>
    <w:rsid w:val="004B6FC4"/>
    <w:rsid w:val="004B7587"/>
    <w:rsid w:val="004B76E0"/>
    <w:rsid w:val="004C3EA4"/>
    <w:rsid w:val="004D15CB"/>
    <w:rsid w:val="004D36C5"/>
    <w:rsid w:val="004D5043"/>
    <w:rsid w:val="004D5DA4"/>
    <w:rsid w:val="004E0B8A"/>
    <w:rsid w:val="004E1181"/>
    <w:rsid w:val="004E268D"/>
    <w:rsid w:val="004E31D3"/>
    <w:rsid w:val="004E3B02"/>
    <w:rsid w:val="004F1096"/>
    <w:rsid w:val="004F2555"/>
    <w:rsid w:val="004F305F"/>
    <w:rsid w:val="004F4AFA"/>
    <w:rsid w:val="004F6BC6"/>
    <w:rsid w:val="004F6DBF"/>
    <w:rsid w:val="004F6F33"/>
    <w:rsid w:val="004F7688"/>
    <w:rsid w:val="00510733"/>
    <w:rsid w:val="00511B03"/>
    <w:rsid w:val="005128A7"/>
    <w:rsid w:val="00514A0D"/>
    <w:rsid w:val="0051699F"/>
    <w:rsid w:val="00516DD9"/>
    <w:rsid w:val="00521B3D"/>
    <w:rsid w:val="0053357C"/>
    <w:rsid w:val="00534D33"/>
    <w:rsid w:val="00537DB7"/>
    <w:rsid w:val="0054428F"/>
    <w:rsid w:val="0054698B"/>
    <w:rsid w:val="00547D72"/>
    <w:rsid w:val="005531EA"/>
    <w:rsid w:val="00555F14"/>
    <w:rsid w:val="005633C1"/>
    <w:rsid w:val="00563DBF"/>
    <w:rsid w:val="00565CF6"/>
    <w:rsid w:val="00567D90"/>
    <w:rsid w:val="00567ED6"/>
    <w:rsid w:val="0057052D"/>
    <w:rsid w:val="00572A40"/>
    <w:rsid w:val="00575518"/>
    <w:rsid w:val="00576547"/>
    <w:rsid w:val="00580DD0"/>
    <w:rsid w:val="00582F51"/>
    <w:rsid w:val="00585A3E"/>
    <w:rsid w:val="0059048D"/>
    <w:rsid w:val="00593D51"/>
    <w:rsid w:val="00595351"/>
    <w:rsid w:val="00596FA7"/>
    <w:rsid w:val="005A1DE4"/>
    <w:rsid w:val="005A3006"/>
    <w:rsid w:val="005A4C50"/>
    <w:rsid w:val="005A5A35"/>
    <w:rsid w:val="005B10E7"/>
    <w:rsid w:val="005B277E"/>
    <w:rsid w:val="005B28A0"/>
    <w:rsid w:val="005B2D29"/>
    <w:rsid w:val="005B2EE2"/>
    <w:rsid w:val="005B6C87"/>
    <w:rsid w:val="005C1F31"/>
    <w:rsid w:val="005C5598"/>
    <w:rsid w:val="005C58D8"/>
    <w:rsid w:val="005D05C5"/>
    <w:rsid w:val="005D0A91"/>
    <w:rsid w:val="005D1DF5"/>
    <w:rsid w:val="005D423A"/>
    <w:rsid w:val="005D4BBD"/>
    <w:rsid w:val="005E074F"/>
    <w:rsid w:val="005E1777"/>
    <w:rsid w:val="005E2D96"/>
    <w:rsid w:val="005F04D2"/>
    <w:rsid w:val="005F123E"/>
    <w:rsid w:val="005F2B58"/>
    <w:rsid w:val="005F2DD4"/>
    <w:rsid w:val="00601654"/>
    <w:rsid w:val="00601FB1"/>
    <w:rsid w:val="006022B8"/>
    <w:rsid w:val="00602BC7"/>
    <w:rsid w:val="00604C86"/>
    <w:rsid w:val="006104AA"/>
    <w:rsid w:val="0061223E"/>
    <w:rsid w:val="0061288E"/>
    <w:rsid w:val="006129B1"/>
    <w:rsid w:val="006148E7"/>
    <w:rsid w:val="00614957"/>
    <w:rsid w:val="006153FE"/>
    <w:rsid w:val="00617DF6"/>
    <w:rsid w:val="006210E7"/>
    <w:rsid w:val="00623420"/>
    <w:rsid w:val="00625A14"/>
    <w:rsid w:val="00631FC0"/>
    <w:rsid w:val="00637330"/>
    <w:rsid w:val="006402C6"/>
    <w:rsid w:val="00640911"/>
    <w:rsid w:val="006427C0"/>
    <w:rsid w:val="0064313D"/>
    <w:rsid w:val="0064789A"/>
    <w:rsid w:val="00652246"/>
    <w:rsid w:val="006538FA"/>
    <w:rsid w:val="00655FE6"/>
    <w:rsid w:val="00662FC1"/>
    <w:rsid w:val="00663B8F"/>
    <w:rsid w:val="006659B8"/>
    <w:rsid w:val="006717CF"/>
    <w:rsid w:val="006751E8"/>
    <w:rsid w:val="00676EAC"/>
    <w:rsid w:val="00680723"/>
    <w:rsid w:val="00680815"/>
    <w:rsid w:val="00681908"/>
    <w:rsid w:val="00681D64"/>
    <w:rsid w:val="00683CEB"/>
    <w:rsid w:val="0068449E"/>
    <w:rsid w:val="00686452"/>
    <w:rsid w:val="0068715B"/>
    <w:rsid w:val="00690182"/>
    <w:rsid w:val="0069443F"/>
    <w:rsid w:val="00694D4E"/>
    <w:rsid w:val="00695202"/>
    <w:rsid w:val="0069529D"/>
    <w:rsid w:val="006A11EE"/>
    <w:rsid w:val="006A2C50"/>
    <w:rsid w:val="006A4D30"/>
    <w:rsid w:val="006A4F95"/>
    <w:rsid w:val="006A546F"/>
    <w:rsid w:val="006B0565"/>
    <w:rsid w:val="006B16F0"/>
    <w:rsid w:val="006B1EA8"/>
    <w:rsid w:val="006B2091"/>
    <w:rsid w:val="006B337B"/>
    <w:rsid w:val="006C13F3"/>
    <w:rsid w:val="006C170A"/>
    <w:rsid w:val="006C224B"/>
    <w:rsid w:val="006D05B1"/>
    <w:rsid w:val="006D0F75"/>
    <w:rsid w:val="006D3B5C"/>
    <w:rsid w:val="006D5639"/>
    <w:rsid w:val="006D6030"/>
    <w:rsid w:val="006E0D67"/>
    <w:rsid w:val="006E18EA"/>
    <w:rsid w:val="006E2A62"/>
    <w:rsid w:val="006E357C"/>
    <w:rsid w:val="006F640B"/>
    <w:rsid w:val="006F7475"/>
    <w:rsid w:val="007106E4"/>
    <w:rsid w:val="007145E5"/>
    <w:rsid w:val="00717CC5"/>
    <w:rsid w:val="0072026D"/>
    <w:rsid w:val="00720E1F"/>
    <w:rsid w:val="0072335D"/>
    <w:rsid w:val="00725180"/>
    <w:rsid w:val="00727A98"/>
    <w:rsid w:val="00727B4B"/>
    <w:rsid w:val="00730FB8"/>
    <w:rsid w:val="00731DE8"/>
    <w:rsid w:val="00734873"/>
    <w:rsid w:val="00735ADA"/>
    <w:rsid w:val="00736108"/>
    <w:rsid w:val="00740ED7"/>
    <w:rsid w:val="0074155F"/>
    <w:rsid w:val="00741ACC"/>
    <w:rsid w:val="00741BA0"/>
    <w:rsid w:val="00741CB4"/>
    <w:rsid w:val="00742036"/>
    <w:rsid w:val="00742055"/>
    <w:rsid w:val="007436D7"/>
    <w:rsid w:val="00743BFF"/>
    <w:rsid w:val="00753267"/>
    <w:rsid w:val="0075607B"/>
    <w:rsid w:val="007614F8"/>
    <w:rsid w:val="00761D23"/>
    <w:rsid w:val="00762B55"/>
    <w:rsid w:val="00763645"/>
    <w:rsid w:val="007641B6"/>
    <w:rsid w:val="00764B2F"/>
    <w:rsid w:val="0076611B"/>
    <w:rsid w:val="00767447"/>
    <w:rsid w:val="007711DE"/>
    <w:rsid w:val="00771671"/>
    <w:rsid w:val="00774566"/>
    <w:rsid w:val="00774AAF"/>
    <w:rsid w:val="00775329"/>
    <w:rsid w:val="00775C7F"/>
    <w:rsid w:val="007806D9"/>
    <w:rsid w:val="00780EB1"/>
    <w:rsid w:val="0078133D"/>
    <w:rsid w:val="007830F0"/>
    <w:rsid w:val="00783D7A"/>
    <w:rsid w:val="00784D61"/>
    <w:rsid w:val="00784EEC"/>
    <w:rsid w:val="00790B54"/>
    <w:rsid w:val="007929C4"/>
    <w:rsid w:val="007A33C1"/>
    <w:rsid w:val="007A3642"/>
    <w:rsid w:val="007A4AC9"/>
    <w:rsid w:val="007A590D"/>
    <w:rsid w:val="007A65FC"/>
    <w:rsid w:val="007A67B2"/>
    <w:rsid w:val="007A79B8"/>
    <w:rsid w:val="007B0AA1"/>
    <w:rsid w:val="007B0CE6"/>
    <w:rsid w:val="007B32E7"/>
    <w:rsid w:val="007B4755"/>
    <w:rsid w:val="007B5260"/>
    <w:rsid w:val="007C3B7D"/>
    <w:rsid w:val="007C435F"/>
    <w:rsid w:val="007C47F3"/>
    <w:rsid w:val="007C5750"/>
    <w:rsid w:val="007C6646"/>
    <w:rsid w:val="007C69E7"/>
    <w:rsid w:val="007C7B3A"/>
    <w:rsid w:val="007C7EE3"/>
    <w:rsid w:val="007D0BBD"/>
    <w:rsid w:val="007D13F3"/>
    <w:rsid w:val="007D65E3"/>
    <w:rsid w:val="007E0966"/>
    <w:rsid w:val="007E5CCE"/>
    <w:rsid w:val="007F04EA"/>
    <w:rsid w:val="007F493E"/>
    <w:rsid w:val="007F4C0A"/>
    <w:rsid w:val="007F56F7"/>
    <w:rsid w:val="007F5E23"/>
    <w:rsid w:val="008001DF"/>
    <w:rsid w:val="00806C65"/>
    <w:rsid w:val="008071DA"/>
    <w:rsid w:val="0080747F"/>
    <w:rsid w:val="00807A38"/>
    <w:rsid w:val="00811BBF"/>
    <w:rsid w:val="00812CBA"/>
    <w:rsid w:val="0081736B"/>
    <w:rsid w:val="00820606"/>
    <w:rsid w:val="00824544"/>
    <w:rsid w:val="008252D8"/>
    <w:rsid w:val="00832112"/>
    <w:rsid w:val="00832472"/>
    <w:rsid w:val="00832C3E"/>
    <w:rsid w:val="00833AEE"/>
    <w:rsid w:val="00835636"/>
    <w:rsid w:val="0084428E"/>
    <w:rsid w:val="00846C7B"/>
    <w:rsid w:val="00850F99"/>
    <w:rsid w:val="008526A3"/>
    <w:rsid w:val="00853B99"/>
    <w:rsid w:val="00853C1D"/>
    <w:rsid w:val="00854DD7"/>
    <w:rsid w:val="00854FCB"/>
    <w:rsid w:val="008567CC"/>
    <w:rsid w:val="00860C8B"/>
    <w:rsid w:val="00860CA7"/>
    <w:rsid w:val="00867D4D"/>
    <w:rsid w:val="00870B10"/>
    <w:rsid w:val="00872263"/>
    <w:rsid w:val="00880D75"/>
    <w:rsid w:val="0088359E"/>
    <w:rsid w:val="00884367"/>
    <w:rsid w:val="00887E27"/>
    <w:rsid w:val="00893F55"/>
    <w:rsid w:val="008968C5"/>
    <w:rsid w:val="00897381"/>
    <w:rsid w:val="008A2074"/>
    <w:rsid w:val="008A3990"/>
    <w:rsid w:val="008A4333"/>
    <w:rsid w:val="008A528B"/>
    <w:rsid w:val="008A6B6E"/>
    <w:rsid w:val="008A742C"/>
    <w:rsid w:val="008A7792"/>
    <w:rsid w:val="008B170A"/>
    <w:rsid w:val="008B2450"/>
    <w:rsid w:val="008B69D0"/>
    <w:rsid w:val="008C1E7A"/>
    <w:rsid w:val="008C256E"/>
    <w:rsid w:val="008D3212"/>
    <w:rsid w:val="008D4BA4"/>
    <w:rsid w:val="008D7256"/>
    <w:rsid w:val="008E08B8"/>
    <w:rsid w:val="008E0D02"/>
    <w:rsid w:val="008F582E"/>
    <w:rsid w:val="008F5C40"/>
    <w:rsid w:val="009022BF"/>
    <w:rsid w:val="00903920"/>
    <w:rsid w:val="0090420A"/>
    <w:rsid w:val="00904DD5"/>
    <w:rsid w:val="00913E6E"/>
    <w:rsid w:val="00921713"/>
    <w:rsid w:val="00924266"/>
    <w:rsid w:val="0092507B"/>
    <w:rsid w:val="00925799"/>
    <w:rsid w:val="009308D2"/>
    <w:rsid w:val="00935524"/>
    <w:rsid w:val="009431F5"/>
    <w:rsid w:val="00943383"/>
    <w:rsid w:val="0094425D"/>
    <w:rsid w:val="00945519"/>
    <w:rsid w:val="00945BEA"/>
    <w:rsid w:val="009461F6"/>
    <w:rsid w:val="00947534"/>
    <w:rsid w:val="009477A5"/>
    <w:rsid w:val="00952441"/>
    <w:rsid w:val="00952CA9"/>
    <w:rsid w:val="0095602F"/>
    <w:rsid w:val="00956F20"/>
    <w:rsid w:val="00960D6D"/>
    <w:rsid w:val="009616D8"/>
    <w:rsid w:val="00970864"/>
    <w:rsid w:val="00970A9D"/>
    <w:rsid w:val="0097140D"/>
    <w:rsid w:val="00972238"/>
    <w:rsid w:val="00974E91"/>
    <w:rsid w:val="00975C9D"/>
    <w:rsid w:val="00976ACF"/>
    <w:rsid w:val="0097772A"/>
    <w:rsid w:val="00977BFB"/>
    <w:rsid w:val="009805DC"/>
    <w:rsid w:val="00981160"/>
    <w:rsid w:val="00981568"/>
    <w:rsid w:val="0098418B"/>
    <w:rsid w:val="00985F15"/>
    <w:rsid w:val="00990BF3"/>
    <w:rsid w:val="00990E03"/>
    <w:rsid w:val="00993B69"/>
    <w:rsid w:val="009947F8"/>
    <w:rsid w:val="00995A84"/>
    <w:rsid w:val="009966D7"/>
    <w:rsid w:val="009976CB"/>
    <w:rsid w:val="00997C30"/>
    <w:rsid w:val="009A13AB"/>
    <w:rsid w:val="009A1604"/>
    <w:rsid w:val="009A4A36"/>
    <w:rsid w:val="009A50C2"/>
    <w:rsid w:val="009A5975"/>
    <w:rsid w:val="009A6EAA"/>
    <w:rsid w:val="009A73AD"/>
    <w:rsid w:val="009B32C2"/>
    <w:rsid w:val="009B6416"/>
    <w:rsid w:val="009B65A1"/>
    <w:rsid w:val="009B734F"/>
    <w:rsid w:val="009B7709"/>
    <w:rsid w:val="009C0133"/>
    <w:rsid w:val="009C2FB2"/>
    <w:rsid w:val="009C624A"/>
    <w:rsid w:val="009D03B9"/>
    <w:rsid w:val="009D11E8"/>
    <w:rsid w:val="009D25CC"/>
    <w:rsid w:val="009D2EE4"/>
    <w:rsid w:val="009D4FCE"/>
    <w:rsid w:val="009E147C"/>
    <w:rsid w:val="009E20A5"/>
    <w:rsid w:val="009E3084"/>
    <w:rsid w:val="009E36CF"/>
    <w:rsid w:val="009E38C6"/>
    <w:rsid w:val="009E4358"/>
    <w:rsid w:val="009E513E"/>
    <w:rsid w:val="009F039A"/>
    <w:rsid w:val="009F0C6B"/>
    <w:rsid w:val="009F5F24"/>
    <w:rsid w:val="00A02C05"/>
    <w:rsid w:val="00A05395"/>
    <w:rsid w:val="00A06BED"/>
    <w:rsid w:val="00A07136"/>
    <w:rsid w:val="00A11282"/>
    <w:rsid w:val="00A14E86"/>
    <w:rsid w:val="00A15D1C"/>
    <w:rsid w:val="00A21269"/>
    <w:rsid w:val="00A2291B"/>
    <w:rsid w:val="00A23014"/>
    <w:rsid w:val="00A2335D"/>
    <w:rsid w:val="00A24853"/>
    <w:rsid w:val="00A24ACA"/>
    <w:rsid w:val="00A24C15"/>
    <w:rsid w:val="00A26414"/>
    <w:rsid w:val="00A2679E"/>
    <w:rsid w:val="00A2759D"/>
    <w:rsid w:val="00A277FC"/>
    <w:rsid w:val="00A27A1B"/>
    <w:rsid w:val="00A30C5F"/>
    <w:rsid w:val="00A31CE1"/>
    <w:rsid w:val="00A333B1"/>
    <w:rsid w:val="00A341A6"/>
    <w:rsid w:val="00A35854"/>
    <w:rsid w:val="00A37A36"/>
    <w:rsid w:val="00A37E34"/>
    <w:rsid w:val="00A4301A"/>
    <w:rsid w:val="00A432FC"/>
    <w:rsid w:val="00A437A2"/>
    <w:rsid w:val="00A45964"/>
    <w:rsid w:val="00A5247D"/>
    <w:rsid w:val="00A52561"/>
    <w:rsid w:val="00A55E77"/>
    <w:rsid w:val="00A56C73"/>
    <w:rsid w:val="00A65960"/>
    <w:rsid w:val="00A70B0F"/>
    <w:rsid w:val="00A74CEF"/>
    <w:rsid w:val="00A75CC6"/>
    <w:rsid w:val="00A80215"/>
    <w:rsid w:val="00A81521"/>
    <w:rsid w:val="00A82BC4"/>
    <w:rsid w:val="00A85DB4"/>
    <w:rsid w:val="00A85E44"/>
    <w:rsid w:val="00A86AD4"/>
    <w:rsid w:val="00A90B13"/>
    <w:rsid w:val="00A918E4"/>
    <w:rsid w:val="00A96FC5"/>
    <w:rsid w:val="00A97FD5"/>
    <w:rsid w:val="00AA2D02"/>
    <w:rsid w:val="00AA4AB9"/>
    <w:rsid w:val="00AA648F"/>
    <w:rsid w:val="00AB11F3"/>
    <w:rsid w:val="00AB197F"/>
    <w:rsid w:val="00AB25F7"/>
    <w:rsid w:val="00AB29E5"/>
    <w:rsid w:val="00AB4EB3"/>
    <w:rsid w:val="00AB5427"/>
    <w:rsid w:val="00AB6F59"/>
    <w:rsid w:val="00AC2043"/>
    <w:rsid w:val="00AC6D09"/>
    <w:rsid w:val="00AC6DC8"/>
    <w:rsid w:val="00AD1B79"/>
    <w:rsid w:val="00AD4395"/>
    <w:rsid w:val="00AD44CD"/>
    <w:rsid w:val="00AD72B6"/>
    <w:rsid w:val="00AD73FE"/>
    <w:rsid w:val="00AE1C33"/>
    <w:rsid w:val="00AE4814"/>
    <w:rsid w:val="00AE5202"/>
    <w:rsid w:val="00AE624F"/>
    <w:rsid w:val="00AE7304"/>
    <w:rsid w:val="00AF1958"/>
    <w:rsid w:val="00AF6EE6"/>
    <w:rsid w:val="00B00F3B"/>
    <w:rsid w:val="00B024E9"/>
    <w:rsid w:val="00B02E29"/>
    <w:rsid w:val="00B04954"/>
    <w:rsid w:val="00B0539E"/>
    <w:rsid w:val="00B05450"/>
    <w:rsid w:val="00B1449C"/>
    <w:rsid w:val="00B14A32"/>
    <w:rsid w:val="00B15EE6"/>
    <w:rsid w:val="00B2110C"/>
    <w:rsid w:val="00B24229"/>
    <w:rsid w:val="00B24FAB"/>
    <w:rsid w:val="00B2620A"/>
    <w:rsid w:val="00B26D42"/>
    <w:rsid w:val="00B277FC"/>
    <w:rsid w:val="00B3029B"/>
    <w:rsid w:val="00B344A4"/>
    <w:rsid w:val="00B34CBF"/>
    <w:rsid w:val="00B37296"/>
    <w:rsid w:val="00B410E3"/>
    <w:rsid w:val="00B43DD2"/>
    <w:rsid w:val="00B44499"/>
    <w:rsid w:val="00B4525C"/>
    <w:rsid w:val="00B4687C"/>
    <w:rsid w:val="00B50B41"/>
    <w:rsid w:val="00B56480"/>
    <w:rsid w:val="00B56EF4"/>
    <w:rsid w:val="00B57C3B"/>
    <w:rsid w:val="00B63579"/>
    <w:rsid w:val="00B66BC3"/>
    <w:rsid w:val="00B66FAA"/>
    <w:rsid w:val="00B67D3A"/>
    <w:rsid w:val="00B72C3F"/>
    <w:rsid w:val="00B72D16"/>
    <w:rsid w:val="00B750CE"/>
    <w:rsid w:val="00B80EF8"/>
    <w:rsid w:val="00B81DF3"/>
    <w:rsid w:val="00B8720F"/>
    <w:rsid w:val="00B90F8C"/>
    <w:rsid w:val="00B94C1C"/>
    <w:rsid w:val="00B95C42"/>
    <w:rsid w:val="00B96E2C"/>
    <w:rsid w:val="00B97F03"/>
    <w:rsid w:val="00BA3623"/>
    <w:rsid w:val="00BB1804"/>
    <w:rsid w:val="00BB1C5E"/>
    <w:rsid w:val="00BB2580"/>
    <w:rsid w:val="00BB25EF"/>
    <w:rsid w:val="00BB37D7"/>
    <w:rsid w:val="00BB4D24"/>
    <w:rsid w:val="00BB7437"/>
    <w:rsid w:val="00BC55CB"/>
    <w:rsid w:val="00BC6127"/>
    <w:rsid w:val="00BD1009"/>
    <w:rsid w:val="00BD294D"/>
    <w:rsid w:val="00BD2DDF"/>
    <w:rsid w:val="00BD48C9"/>
    <w:rsid w:val="00BD66E4"/>
    <w:rsid w:val="00BE2192"/>
    <w:rsid w:val="00BE2BE8"/>
    <w:rsid w:val="00BE364C"/>
    <w:rsid w:val="00BE39E5"/>
    <w:rsid w:val="00BE5049"/>
    <w:rsid w:val="00BE6A4D"/>
    <w:rsid w:val="00BF0BE3"/>
    <w:rsid w:val="00BF0E97"/>
    <w:rsid w:val="00BF1C26"/>
    <w:rsid w:val="00BF3E15"/>
    <w:rsid w:val="00BF4B4F"/>
    <w:rsid w:val="00C037A8"/>
    <w:rsid w:val="00C04BA7"/>
    <w:rsid w:val="00C054D8"/>
    <w:rsid w:val="00C07690"/>
    <w:rsid w:val="00C079F8"/>
    <w:rsid w:val="00C118FF"/>
    <w:rsid w:val="00C12762"/>
    <w:rsid w:val="00C139C0"/>
    <w:rsid w:val="00C20D1C"/>
    <w:rsid w:val="00C21409"/>
    <w:rsid w:val="00C273DF"/>
    <w:rsid w:val="00C27B6A"/>
    <w:rsid w:val="00C3123B"/>
    <w:rsid w:val="00C36310"/>
    <w:rsid w:val="00C36C5E"/>
    <w:rsid w:val="00C36F46"/>
    <w:rsid w:val="00C41E47"/>
    <w:rsid w:val="00C4395B"/>
    <w:rsid w:val="00C45D6A"/>
    <w:rsid w:val="00C46E34"/>
    <w:rsid w:val="00C47205"/>
    <w:rsid w:val="00C503E4"/>
    <w:rsid w:val="00C531B5"/>
    <w:rsid w:val="00C57BC8"/>
    <w:rsid w:val="00C707EB"/>
    <w:rsid w:val="00C75571"/>
    <w:rsid w:val="00C76B4C"/>
    <w:rsid w:val="00C8237E"/>
    <w:rsid w:val="00C8348B"/>
    <w:rsid w:val="00C84291"/>
    <w:rsid w:val="00C875E3"/>
    <w:rsid w:val="00C92DB3"/>
    <w:rsid w:val="00C979F7"/>
    <w:rsid w:val="00C97B30"/>
    <w:rsid w:val="00CA0CF8"/>
    <w:rsid w:val="00CA67F2"/>
    <w:rsid w:val="00CB284C"/>
    <w:rsid w:val="00CB5362"/>
    <w:rsid w:val="00CB7AE0"/>
    <w:rsid w:val="00CC0316"/>
    <w:rsid w:val="00CC34D9"/>
    <w:rsid w:val="00CC434C"/>
    <w:rsid w:val="00CC4D8C"/>
    <w:rsid w:val="00CD48C7"/>
    <w:rsid w:val="00CD6C16"/>
    <w:rsid w:val="00CD7884"/>
    <w:rsid w:val="00CD7A25"/>
    <w:rsid w:val="00CE7246"/>
    <w:rsid w:val="00CF1356"/>
    <w:rsid w:val="00CF247F"/>
    <w:rsid w:val="00CF5B31"/>
    <w:rsid w:val="00CF7D17"/>
    <w:rsid w:val="00CF7F7F"/>
    <w:rsid w:val="00D019B0"/>
    <w:rsid w:val="00D01FBD"/>
    <w:rsid w:val="00D029BC"/>
    <w:rsid w:val="00D030FE"/>
    <w:rsid w:val="00D04631"/>
    <w:rsid w:val="00D1020C"/>
    <w:rsid w:val="00D1060A"/>
    <w:rsid w:val="00D106CF"/>
    <w:rsid w:val="00D10FE8"/>
    <w:rsid w:val="00D143A0"/>
    <w:rsid w:val="00D16F7E"/>
    <w:rsid w:val="00D1799A"/>
    <w:rsid w:val="00D203B5"/>
    <w:rsid w:val="00D2062B"/>
    <w:rsid w:val="00D24229"/>
    <w:rsid w:val="00D26C3D"/>
    <w:rsid w:val="00D27114"/>
    <w:rsid w:val="00D3383E"/>
    <w:rsid w:val="00D41894"/>
    <w:rsid w:val="00D41ED7"/>
    <w:rsid w:val="00D44870"/>
    <w:rsid w:val="00D459F7"/>
    <w:rsid w:val="00D4608D"/>
    <w:rsid w:val="00D527E0"/>
    <w:rsid w:val="00D52CD7"/>
    <w:rsid w:val="00D54CD2"/>
    <w:rsid w:val="00D5648C"/>
    <w:rsid w:val="00D614D5"/>
    <w:rsid w:val="00D61DAE"/>
    <w:rsid w:val="00D65429"/>
    <w:rsid w:val="00D70ED2"/>
    <w:rsid w:val="00D7111C"/>
    <w:rsid w:val="00D71D90"/>
    <w:rsid w:val="00D735DC"/>
    <w:rsid w:val="00D76CD5"/>
    <w:rsid w:val="00D817A9"/>
    <w:rsid w:val="00D817E2"/>
    <w:rsid w:val="00D8546C"/>
    <w:rsid w:val="00D86000"/>
    <w:rsid w:val="00D8669A"/>
    <w:rsid w:val="00D90197"/>
    <w:rsid w:val="00D94B5D"/>
    <w:rsid w:val="00D95116"/>
    <w:rsid w:val="00D95D7A"/>
    <w:rsid w:val="00DA0E5F"/>
    <w:rsid w:val="00DA2789"/>
    <w:rsid w:val="00DA6240"/>
    <w:rsid w:val="00DA68A2"/>
    <w:rsid w:val="00DB1AF5"/>
    <w:rsid w:val="00DB39C1"/>
    <w:rsid w:val="00DB60F2"/>
    <w:rsid w:val="00DB68DE"/>
    <w:rsid w:val="00DB7AF8"/>
    <w:rsid w:val="00DC0681"/>
    <w:rsid w:val="00DC2E6B"/>
    <w:rsid w:val="00DC612E"/>
    <w:rsid w:val="00DC76C6"/>
    <w:rsid w:val="00DD1D80"/>
    <w:rsid w:val="00DD2647"/>
    <w:rsid w:val="00DD785D"/>
    <w:rsid w:val="00DE06AA"/>
    <w:rsid w:val="00DE1CE3"/>
    <w:rsid w:val="00DE55A7"/>
    <w:rsid w:val="00DF07BD"/>
    <w:rsid w:val="00DF2ACF"/>
    <w:rsid w:val="00DF3275"/>
    <w:rsid w:val="00DF5FDE"/>
    <w:rsid w:val="00DF71D2"/>
    <w:rsid w:val="00E0197F"/>
    <w:rsid w:val="00E01D45"/>
    <w:rsid w:val="00E02F95"/>
    <w:rsid w:val="00E034ED"/>
    <w:rsid w:val="00E06398"/>
    <w:rsid w:val="00E1183E"/>
    <w:rsid w:val="00E13022"/>
    <w:rsid w:val="00E15319"/>
    <w:rsid w:val="00E163AF"/>
    <w:rsid w:val="00E23852"/>
    <w:rsid w:val="00E249AF"/>
    <w:rsid w:val="00E25E9E"/>
    <w:rsid w:val="00E26198"/>
    <w:rsid w:val="00E305C8"/>
    <w:rsid w:val="00E32BA2"/>
    <w:rsid w:val="00E35FB8"/>
    <w:rsid w:val="00E36E93"/>
    <w:rsid w:val="00E400BC"/>
    <w:rsid w:val="00E42B07"/>
    <w:rsid w:val="00E445E3"/>
    <w:rsid w:val="00E4493C"/>
    <w:rsid w:val="00E52265"/>
    <w:rsid w:val="00E555D2"/>
    <w:rsid w:val="00E5719D"/>
    <w:rsid w:val="00E628A5"/>
    <w:rsid w:val="00E66747"/>
    <w:rsid w:val="00E67058"/>
    <w:rsid w:val="00E704DC"/>
    <w:rsid w:val="00E708D4"/>
    <w:rsid w:val="00E70E4D"/>
    <w:rsid w:val="00E71516"/>
    <w:rsid w:val="00E740DF"/>
    <w:rsid w:val="00E75251"/>
    <w:rsid w:val="00E85C0A"/>
    <w:rsid w:val="00E8615B"/>
    <w:rsid w:val="00E87336"/>
    <w:rsid w:val="00E9051B"/>
    <w:rsid w:val="00E91059"/>
    <w:rsid w:val="00E91661"/>
    <w:rsid w:val="00E93EF5"/>
    <w:rsid w:val="00E9483B"/>
    <w:rsid w:val="00EA0459"/>
    <w:rsid w:val="00EA17E0"/>
    <w:rsid w:val="00EA2607"/>
    <w:rsid w:val="00EA2C71"/>
    <w:rsid w:val="00EA395F"/>
    <w:rsid w:val="00EA62E8"/>
    <w:rsid w:val="00EA63E3"/>
    <w:rsid w:val="00EB10FC"/>
    <w:rsid w:val="00EB1853"/>
    <w:rsid w:val="00EB24D7"/>
    <w:rsid w:val="00EB31F8"/>
    <w:rsid w:val="00EB62E3"/>
    <w:rsid w:val="00EB6A65"/>
    <w:rsid w:val="00EC27D5"/>
    <w:rsid w:val="00EC6C2C"/>
    <w:rsid w:val="00ED169D"/>
    <w:rsid w:val="00ED1F25"/>
    <w:rsid w:val="00ED3B84"/>
    <w:rsid w:val="00ED499B"/>
    <w:rsid w:val="00ED525A"/>
    <w:rsid w:val="00ED5E01"/>
    <w:rsid w:val="00EE2406"/>
    <w:rsid w:val="00EE2825"/>
    <w:rsid w:val="00EE3459"/>
    <w:rsid w:val="00EE3C96"/>
    <w:rsid w:val="00EF1F22"/>
    <w:rsid w:val="00EF21B3"/>
    <w:rsid w:val="00EF291E"/>
    <w:rsid w:val="00EF428C"/>
    <w:rsid w:val="00EF4ECD"/>
    <w:rsid w:val="00EF5F8E"/>
    <w:rsid w:val="00EF66E0"/>
    <w:rsid w:val="00EF70E2"/>
    <w:rsid w:val="00EF7DFA"/>
    <w:rsid w:val="00F006A8"/>
    <w:rsid w:val="00F00BAF"/>
    <w:rsid w:val="00F01F82"/>
    <w:rsid w:val="00F024BB"/>
    <w:rsid w:val="00F03116"/>
    <w:rsid w:val="00F03986"/>
    <w:rsid w:val="00F044A2"/>
    <w:rsid w:val="00F04C08"/>
    <w:rsid w:val="00F06018"/>
    <w:rsid w:val="00F105DE"/>
    <w:rsid w:val="00F11C8F"/>
    <w:rsid w:val="00F12BD5"/>
    <w:rsid w:val="00F145DE"/>
    <w:rsid w:val="00F15652"/>
    <w:rsid w:val="00F201D8"/>
    <w:rsid w:val="00F22942"/>
    <w:rsid w:val="00F22BAD"/>
    <w:rsid w:val="00F24F6D"/>
    <w:rsid w:val="00F30BA4"/>
    <w:rsid w:val="00F31718"/>
    <w:rsid w:val="00F33DE4"/>
    <w:rsid w:val="00F35384"/>
    <w:rsid w:val="00F36AA0"/>
    <w:rsid w:val="00F449EB"/>
    <w:rsid w:val="00F455D7"/>
    <w:rsid w:val="00F50A53"/>
    <w:rsid w:val="00F51A17"/>
    <w:rsid w:val="00F51E06"/>
    <w:rsid w:val="00F53083"/>
    <w:rsid w:val="00F546AD"/>
    <w:rsid w:val="00F564E8"/>
    <w:rsid w:val="00F572E6"/>
    <w:rsid w:val="00F609D1"/>
    <w:rsid w:val="00F61742"/>
    <w:rsid w:val="00F640E5"/>
    <w:rsid w:val="00F65CC8"/>
    <w:rsid w:val="00F66B8F"/>
    <w:rsid w:val="00F716BB"/>
    <w:rsid w:val="00F731E5"/>
    <w:rsid w:val="00F73DE7"/>
    <w:rsid w:val="00F73F6D"/>
    <w:rsid w:val="00F74719"/>
    <w:rsid w:val="00F76C96"/>
    <w:rsid w:val="00F7783B"/>
    <w:rsid w:val="00F8163F"/>
    <w:rsid w:val="00F82566"/>
    <w:rsid w:val="00F825DE"/>
    <w:rsid w:val="00F844B0"/>
    <w:rsid w:val="00F84C59"/>
    <w:rsid w:val="00F85C38"/>
    <w:rsid w:val="00F93BFF"/>
    <w:rsid w:val="00F93E52"/>
    <w:rsid w:val="00F95758"/>
    <w:rsid w:val="00F95F77"/>
    <w:rsid w:val="00F96078"/>
    <w:rsid w:val="00F97699"/>
    <w:rsid w:val="00FA426E"/>
    <w:rsid w:val="00FA518D"/>
    <w:rsid w:val="00FA7518"/>
    <w:rsid w:val="00FB064D"/>
    <w:rsid w:val="00FB6A24"/>
    <w:rsid w:val="00FB7FB9"/>
    <w:rsid w:val="00FC0DE5"/>
    <w:rsid w:val="00FC12FF"/>
    <w:rsid w:val="00FC3739"/>
    <w:rsid w:val="00FC3B6C"/>
    <w:rsid w:val="00FC47FC"/>
    <w:rsid w:val="00FC6174"/>
    <w:rsid w:val="00FC7CC5"/>
    <w:rsid w:val="00FD15F3"/>
    <w:rsid w:val="00FD1785"/>
    <w:rsid w:val="00FD3CC3"/>
    <w:rsid w:val="00FD4B1F"/>
    <w:rsid w:val="00FD5D2F"/>
    <w:rsid w:val="00FE2186"/>
    <w:rsid w:val="00FF5208"/>
    <w:rsid w:val="00FF5E1F"/>
    <w:rsid w:val="00FF799F"/>
    <w:rsid w:val="045615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0" w:semiHidden="0" w:name="footnote text"/>
    <w:lsdException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qFormat="1" w:uiPriority="99" w:name="Body Text First Indent"/>
    <w:lsdException w:qFormat="1" w:uiPriority="99" w:name="Body Text First Indent 2"/>
    <w:lsdException w:unhideWhenUsed="0" w:uiPriority="0" w:name="Note Heading"/>
    <w:lsdException w:qFormat="1" w:uiPriority="0" w:name="Body Text 2"/>
    <w:lsdException w:uiPriority="0" w:name="Body Text 3"/>
    <w:lsdException w:unhideWhenUsed="0" w:uiPriority="0" w:name="Body Text Indent 2"/>
    <w:lsdException w:uiPriority="0" w:name="Body Text Indent 3"/>
    <w:lsdException w:uiPriority="99" w:name="Block Text"/>
    <w:lsdException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0"/>
    <w:qFormat/>
    <w:uiPriority w:val="9"/>
    <w:pPr>
      <w:keepNext/>
      <w:keepLines/>
      <w:spacing w:before="340" w:after="330" w:line="578" w:lineRule="auto"/>
      <w:outlineLvl w:val="0"/>
    </w:pPr>
    <w:rPr>
      <w:rFonts w:ascii="Times New Roman" w:hAnsi="Times New Roman" w:eastAsia="仿宋"/>
      <w:b/>
      <w:bCs/>
      <w:kern w:val="44"/>
      <w:sz w:val="36"/>
      <w:szCs w:val="44"/>
    </w:rPr>
  </w:style>
  <w:style w:type="paragraph" w:styleId="3">
    <w:name w:val="heading 2"/>
    <w:basedOn w:val="1"/>
    <w:next w:val="1"/>
    <w:link w:val="56"/>
    <w:unhideWhenUsed/>
    <w:qFormat/>
    <w:uiPriority w:val="9"/>
    <w:pPr>
      <w:keepNext/>
      <w:keepLines/>
      <w:spacing w:before="260" w:after="260" w:line="416" w:lineRule="auto"/>
      <w:outlineLvl w:val="1"/>
    </w:pPr>
    <w:rPr>
      <w:rFonts w:ascii="Times New Roman" w:hAnsi="Times New Roman" w:eastAsia="仿宋" w:cstheme="majorBidi"/>
      <w:b/>
      <w:bCs/>
      <w:sz w:val="32"/>
      <w:szCs w:val="32"/>
    </w:rPr>
  </w:style>
  <w:style w:type="paragraph" w:styleId="4">
    <w:name w:val="heading 3"/>
    <w:basedOn w:val="1"/>
    <w:next w:val="1"/>
    <w:link w:val="57"/>
    <w:unhideWhenUsed/>
    <w:qFormat/>
    <w:uiPriority w:val="0"/>
    <w:pPr>
      <w:keepNext/>
      <w:keepLines/>
      <w:spacing w:before="260" w:after="260" w:line="416" w:lineRule="auto"/>
      <w:outlineLvl w:val="2"/>
    </w:pPr>
    <w:rPr>
      <w:rFonts w:ascii="Times New Roman" w:hAnsi="Times New Roman" w:eastAsia="仿宋"/>
      <w:b/>
      <w:bCs/>
      <w:sz w:val="30"/>
      <w:szCs w:val="32"/>
    </w:rPr>
  </w:style>
  <w:style w:type="paragraph" w:styleId="5">
    <w:name w:val="heading 4"/>
    <w:basedOn w:val="1"/>
    <w:next w:val="1"/>
    <w:link w:val="66"/>
    <w:unhideWhenUsed/>
    <w:qFormat/>
    <w:uiPriority w:val="0"/>
    <w:pPr>
      <w:keepNext/>
      <w:keepLines/>
      <w:spacing w:line="360" w:lineRule="auto"/>
      <w:outlineLvl w:val="3"/>
    </w:pPr>
    <w:rPr>
      <w:rFonts w:ascii="Times New Roman" w:hAnsi="Times New Roman" w:eastAsia="仿宋" w:cstheme="majorBidi"/>
      <w:b/>
      <w:bCs/>
      <w:sz w:val="24"/>
      <w:szCs w:val="28"/>
    </w:rPr>
  </w:style>
  <w:style w:type="paragraph" w:styleId="6">
    <w:name w:val="heading 5"/>
    <w:basedOn w:val="1"/>
    <w:next w:val="1"/>
    <w:link w:val="84"/>
    <w:qFormat/>
    <w:uiPriority w:val="0"/>
    <w:pPr>
      <w:widowControl/>
      <w:spacing w:before="240" w:after="60" w:line="360" w:lineRule="auto"/>
      <w:ind w:firstLine="200" w:firstLineChars="200"/>
      <w:jc w:val="left"/>
      <w:outlineLvl w:val="4"/>
    </w:pPr>
    <w:rPr>
      <w:rFonts w:ascii="Calibri" w:hAnsi="Calibri" w:eastAsia="宋体" w:cs="Times New Roman"/>
      <w:b/>
      <w:bCs/>
      <w:i/>
      <w:iCs/>
      <w:kern w:val="0"/>
      <w:sz w:val="26"/>
      <w:szCs w:val="26"/>
      <w:lang w:bidi="en-US"/>
    </w:rPr>
  </w:style>
  <w:style w:type="paragraph" w:styleId="7">
    <w:name w:val="heading 6"/>
    <w:basedOn w:val="1"/>
    <w:next w:val="1"/>
    <w:link w:val="85"/>
    <w:qFormat/>
    <w:uiPriority w:val="0"/>
    <w:pPr>
      <w:widowControl/>
      <w:spacing w:before="240" w:after="60" w:line="360" w:lineRule="auto"/>
      <w:ind w:firstLine="200" w:firstLineChars="200"/>
      <w:jc w:val="left"/>
      <w:outlineLvl w:val="5"/>
    </w:pPr>
    <w:rPr>
      <w:rFonts w:ascii="Calibri" w:hAnsi="Calibri" w:eastAsia="宋体" w:cs="Times New Roman"/>
      <w:b/>
      <w:bCs/>
      <w:kern w:val="0"/>
      <w:sz w:val="22"/>
      <w:szCs w:val="28"/>
      <w:lang w:bidi="en-US"/>
    </w:rPr>
  </w:style>
  <w:style w:type="paragraph" w:styleId="8">
    <w:name w:val="heading 7"/>
    <w:basedOn w:val="1"/>
    <w:next w:val="1"/>
    <w:link w:val="86"/>
    <w:qFormat/>
    <w:uiPriority w:val="0"/>
    <w:pPr>
      <w:widowControl/>
      <w:spacing w:before="240" w:after="60" w:line="360" w:lineRule="auto"/>
      <w:ind w:firstLine="200" w:firstLineChars="200"/>
      <w:jc w:val="left"/>
      <w:outlineLvl w:val="6"/>
    </w:pPr>
    <w:rPr>
      <w:rFonts w:ascii="Calibri" w:hAnsi="Calibri" w:eastAsia="宋体" w:cs="Times New Roman"/>
      <w:kern w:val="0"/>
      <w:sz w:val="24"/>
      <w:szCs w:val="24"/>
      <w:lang w:bidi="en-US"/>
    </w:rPr>
  </w:style>
  <w:style w:type="paragraph" w:styleId="9">
    <w:name w:val="heading 8"/>
    <w:basedOn w:val="1"/>
    <w:next w:val="1"/>
    <w:link w:val="87"/>
    <w:qFormat/>
    <w:uiPriority w:val="0"/>
    <w:pPr>
      <w:widowControl/>
      <w:spacing w:before="240" w:after="60" w:line="360" w:lineRule="auto"/>
      <w:ind w:firstLine="200" w:firstLineChars="200"/>
      <w:jc w:val="left"/>
      <w:outlineLvl w:val="7"/>
    </w:pPr>
    <w:rPr>
      <w:rFonts w:ascii="Calibri" w:hAnsi="Calibri" w:eastAsia="宋体" w:cs="Times New Roman"/>
      <w:i/>
      <w:iCs/>
      <w:kern w:val="0"/>
      <w:sz w:val="24"/>
      <w:szCs w:val="24"/>
      <w:lang w:bidi="en-US"/>
    </w:rPr>
  </w:style>
  <w:style w:type="paragraph" w:styleId="10">
    <w:name w:val="heading 9"/>
    <w:basedOn w:val="1"/>
    <w:next w:val="1"/>
    <w:link w:val="88"/>
    <w:qFormat/>
    <w:uiPriority w:val="0"/>
    <w:pPr>
      <w:widowControl/>
      <w:spacing w:before="240" w:after="60" w:line="360" w:lineRule="auto"/>
      <w:ind w:firstLine="200" w:firstLineChars="200"/>
      <w:jc w:val="left"/>
      <w:outlineLvl w:val="8"/>
    </w:pPr>
    <w:rPr>
      <w:rFonts w:ascii="Cambria" w:hAnsi="Cambria" w:eastAsia="宋体" w:cs="Times New Roman"/>
      <w:kern w:val="0"/>
      <w:sz w:val="22"/>
      <w:szCs w:val="28"/>
      <w:lang w:bidi="en-US"/>
    </w:rPr>
  </w:style>
  <w:style w:type="character" w:default="1" w:styleId="46">
    <w:name w:val="Default Paragraph Font"/>
    <w:semiHidden/>
    <w:unhideWhenUsed/>
    <w:uiPriority w:val="1"/>
  </w:style>
  <w:style w:type="table" w:default="1" w:styleId="44">
    <w:name w:val="Normal Table"/>
    <w:semiHidden/>
    <w:unhideWhenUsed/>
    <w:uiPriority w:val="99"/>
    <w:tblPr>
      <w:tblLayout w:type="fixed"/>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style>
  <w:style w:type="paragraph" w:styleId="12">
    <w:name w:val="Note Heading"/>
    <w:basedOn w:val="1"/>
    <w:next w:val="1"/>
    <w:link w:val="146"/>
    <w:semiHidden/>
    <w:uiPriority w:val="0"/>
    <w:pPr>
      <w:jc w:val="center"/>
    </w:pPr>
    <w:rPr>
      <w:rFonts w:ascii="Times New Roman" w:hAnsi="Times New Roman" w:eastAsia="宋体" w:cs="Times New Roman"/>
      <w:kern w:val="0"/>
      <w:sz w:val="28"/>
      <w:szCs w:val="24"/>
    </w:rPr>
  </w:style>
  <w:style w:type="paragraph" w:styleId="13">
    <w:name w:val="Normal Indent"/>
    <w:basedOn w:val="1"/>
    <w:qFormat/>
    <w:uiPriority w:val="0"/>
    <w:pPr>
      <w:ind w:firstLine="420" w:firstLineChars="200"/>
    </w:pPr>
    <w:rPr>
      <w:rFonts w:ascii="Times New Roman" w:hAnsi="Times New Roman" w:eastAsia="宋体" w:cs="Times New Roman"/>
      <w:kern w:val="0"/>
      <w:sz w:val="28"/>
      <w:szCs w:val="24"/>
    </w:rPr>
  </w:style>
  <w:style w:type="paragraph" w:styleId="14">
    <w:name w:val="caption"/>
    <w:basedOn w:val="1"/>
    <w:next w:val="1"/>
    <w:qFormat/>
    <w:uiPriority w:val="0"/>
    <w:pPr>
      <w:widowControl/>
      <w:ind w:firstLine="200" w:firstLineChars="200"/>
      <w:jc w:val="left"/>
    </w:pPr>
    <w:rPr>
      <w:rFonts w:ascii="Calibri" w:hAnsi="Calibri" w:eastAsia="宋体" w:cs="Times New Roman"/>
      <w:b/>
      <w:bCs/>
      <w:color w:val="4F81BD"/>
      <w:kern w:val="0"/>
      <w:sz w:val="18"/>
      <w:szCs w:val="18"/>
      <w:lang w:bidi="en-US"/>
    </w:rPr>
  </w:style>
  <w:style w:type="paragraph" w:styleId="15">
    <w:name w:val="List Bullet"/>
    <w:basedOn w:val="1"/>
    <w:unhideWhenUsed/>
    <w:qFormat/>
    <w:uiPriority w:val="99"/>
    <w:pPr>
      <w:numPr>
        <w:ilvl w:val="0"/>
        <w:numId w:val="1"/>
      </w:numPr>
      <w:contextualSpacing/>
    </w:pPr>
  </w:style>
  <w:style w:type="paragraph" w:styleId="16">
    <w:name w:val="Document Map"/>
    <w:basedOn w:val="1"/>
    <w:link w:val="92"/>
    <w:semiHidden/>
    <w:qFormat/>
    <w:uiPriority w:val="0"/>
    <w:pPr>
      <w:shd w:val="clear" w:color="auto" w:fill="000080"/>
      <w:spacing w:line="360" w:lineRule="auto"/>
      <w:ind w:firstLine="200" w:firstLineChars="200"/>
    </w:pPr>
    <w:rPr>
      <w:rFonts w:ascii="仿宋_GB2312" w:hAnsi="Times New Roman" w:eastAsia="仿宋_GB2312" w:cs="Times New Roman"/>
      <w:kern w:val="0"/>
      <w:sz w:val="24"/>
      <w:szCs w:val="24"/>
    </w:rPr>
  </w:style>
  <w:style w:type="paragraph" w:styleId="17">
    <w:name w:val="annotation text"/>
    <w:basedOn w:val="1"/>
    <w:link w:val="67"/>
    <w:unhideWhenUsed/>
    <w:uiPriority w:val="99"/>
    <w:pPr>
      <w:jc w:val="left"/>
    </w:pPr>
  </w:style>
  <w:style w:type="paragraph" w:styleId="18">
    <w:name w:val="Body Text 3"/>
    <w:basedOn w:val="1"/>
    <w:link w:val="132"/>
    <w:semiHidden/>
    <w:unhideWhenUsed/>
    <w:uiPriority w:val="0"/>
    <w:pPr>
      <w:widowControl/>
      <w:spacing w:after="120" w:line="360" w:lineRule="auto"/>
      <w:ind w:firstLine="200" w:firstLineChars="200"/>
      <w:jc w:val="left"/>
    </w:pPr>
    <w:rPr>
      <w:rFonts w:ascii="Calibri" w:hAnsi="Calibri" w:eastAsia="宋体" w:cs="Times New Roman"/>
      <w:kern w:val="0"/>
      <w:sz w:val="16"/>
      <w:szCs w:val="16"/>
      <w:lang w:bidi="en-US"/>
    </w:rPr>
  </w:style>
  <w:style w:type="paragraph" w:styleId="19">
    <w:name w:val="Body Text"/>
    <w:basedOn w:val="1"/>
    <w:link w:val="128"/>
    <w:qFormat/>
    <w:uiPriority w:val="0"/>
    <w:pPr>
      <w:spacing w:after="120"/>
    </w:pPr>
    <w:rPr>
      <w:rFonts w:ascii="Times New Roman" w:hAnsi="Times New Roman" w:eastAsia="宋体" w:cs="Times New Roman"/>
      <w:kern w:val="0"/>
      <w:sz w:val="24"/>
      <w:szCs w:val="24"/>
    </w:rPr>
  </w:style>
  <w:style w:type="paragraph" w:styleId="20">
    <w:name w:val="Body Text Indent"/>
    <w:basedOn w:val="1"/>
    <w:link w:val="100"/>
    <w:uiPriority w:val="0"/>
    <w:pPr>
      <w:spacing w:line="360" w:lineRule="auto"/>
      <w:ind w:firstLine="480" w:firstLineChars="200"/>
    </w:pPr>
    <w:rPr>
      <w:rFonts w:ascii="宋体" w:hAnsi="宋体" w:eastAsia="宋体" w:cs="Times New Roman"/>
      <w:kern w:val="0"/>
      <w:sz w:val="24"/>
      <w:szCs w:val="24"/>
    </w:rPr>
  </w:style>
  <w:style w:type="paragraph" w:styleId="21">
    <w:name w:val="toc 5"/>
    <w:basedOn w:val="1"/>
    <w:next w:val="1"/>
    <w:unhideWhenUsed/>
    <w:qFormat/>
    <w:uiPriority w:val="39"/>
    <w:pPr>
      <w:ind w:left="1680" w:leftChars="800"/>
    </w:pPr>
  </w:style>
  <w:style w:type="paragraph" w:styleId="22">
    <w:name w:val="toc 3"/>
    <w:basedOn w:val="1"/>
    <w:next w:val="1"/>
    <w:unhideWhenUsed/>
    <w:qFormat/>
    <w:uiPriority w:val="39"/>
    <w:pPr>
      <w:widowControl/>
      <w:spacing w:after="100" w:line="276" w:lineRule="auto"/>
      <w:ind w:left="440"/>
      <w:jc w:val="left"/>
    </w:pPr>
    <w:rPr>
      <w:kern w:val="0"/>
      <w:sz w:val="22"/>
    </w:rPr>
  </w:style>
  <w:style w:type="paragraph" w:styleId="23">
    <w:name w:val="Plain Text"/>
    <w:basedOn w:val="1"/>
    <w:link w:val="125"/>
    <w:qFormat/>
    <w:uiPriority w:val="0"/>
    <w:rPr>
      <w:rFonts w:ascii="宋体" w:hAnsi="Courier New" w:eastAsia="宋体" w:cs="Courier New"/>
      <w:kern w:val="0"/>
      <w:sz w:val="28"/>
      <w:szCs w:val="21"/>
    </w:rPr>
  </w:style>
  <w:style w:type="paragraph" w:styleId="24">
    <w:name w:val="toc 8"/>
    <w:basedOn w:val="1"/>
    <w:next w:val="1"/>
    <w:unhideWhenUsed/>
    <w:qFormat/>
    <w:uiPriority w:val="39"/>
    <w:pPr>
      <w:ind w:left="2940" w:leftChars="1400"/>
    </w:pPr>
  </w:style>
  <w:style w:type="paragraph" w:styleId="25">
    <w:name w:val="Date"/>
    <w:basedOn w:val="1"/>
    <w:next w:val="1"/>
    <w:link w:val="64"/>
    <w:unhideWhenUsed/>
    <w:qFormat/>
    <w:uiPriority w:val="0"/>
    <w:pPr>
      <w:ind w:left="100" w:leftChars="2500"/>
    </w:pPr>
  </w:style>
  <w:style w:type="paragraph" w:styleId="26">
    <w:name w:val="Body Text Indent 2"/>
    <w:basedOn w:val="1"/>
    <w:link w:val="138"/>
    <w:semiHidden/>
    <w:uiPriority w:val="0"/>
    <w:pPr>
      <w:spacing w:after="120" w:line="480" w:lineRule="auto"/>
      <w:ind w:left="420" w:leftChars="200"/>
    </w:pPr>
    <w:rPr>
      <w:rFonts w:ascii="Times New Roman" w:hAnsi="Times New Roman" w:eastAsia="宋体" w:cs="Times New Roman"/>
      <w:sz w:val="28"/>
      <w:szCs w:val="24"/>
    </w:rPr>
  </w:style>
  <w:style w:type="paragraph" w:styleId="27">
    <w:name w:val="Balloon Text"/>
    <w:basedOn w:val="1"/>
    <w:link w:val="63"/>
    <w:semiHidden/>
    <w:unhideWhenUsed/>
    <w:qFormat/>
    <w:uiPriority w:val="99"/>
    <w:rPr>
      <w:sz w:val="18"/>
      <w:szCs w:val="18"/>
    </w:rPr>
  </w:style>
  <w:style w:type="paragraph" w:styleId="28">
    <w:name w:val="footer"/>
    <w:basedOn w:val="1"/>
    <w:link w:val="54"/>
    <w:unhideWhenUsed/>
    <w:qFormat/>
    <w:uiPriority w:val="99"/>
    <w:pPr>
      <w:tabs>
        <w:tab w:val="center" w:pos="4153"/>
        <w:tab w:val="right" w:pos="8306"/>
      </w:tabs>
      <w:snapToGrid w:val="0"/>
      <w:jc w:val="left"/>
    </w:pPr>
    <w:rPr>
      <w:sz w:val="18"/>
      <w:szCs w:val="18"/>
    </w:rPr>
  </w:style>
  <w:style w:type="paragraph" w:styleId="29">
    <w:name w:val="header"/>
    <w:basedOn w:val="1"/>
    <w:link w:val="53"/>
    <w:unhideWhenUsed/>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unhideWhenUsed/>
    <w:qFormat/>
    <w:uiPriority w:val="39"/>
    <w:pPr>
      <w:widowControl/>
      <w:spacing w:after="100" w:line="276" w:lineRule="auto"/>
      <w:jc w:val="left"/>
    </w:pPr>
    <w:rPr>
      <w:kern w:val="0"/>
      <w:sz w:val="22"/>
    </w:rPr>
  </w:style>
  <w:style w:type="paragraph" w:styleId="31">
    <w:name w:val="toc 4"/>
    <w:basedOn w:val="1"/>
    <w:next w:val="1"/>
    <w:unhideWhenUsed/>
    <w:qFormat/>
    <w:uiPriority w:val="39"/>
    <w:pPr>
      <w:ind w:left="1260" w:leftChars="600"/>
    </w:pPr>
  </w:style>
  <w:style w:type="paragraph" w:styleId="32">
    <w:name w:val="Subtitle"/>
    <w:basedOn w:val="1"/>
    <w:next w:val="1"/>
    <w:link w:val="109"/>
    <w:qFormat/>
    <w:uiPriority w:val="0"/>
    <w:pPr>
      <w:widowControl/>
      <w:spacing w:after="60" w:line="360" w:lineRule="auto"/>
      <w:ind w:firstLine="200" w:firstLineChars="200"/>
      <w:jc w:val="center"/>
      <w:outlineLvl w:val="1"/>
    </w:pPr>
    <w:rPr>
      <w:rFonts w:ascii="Cambria" w:hAnsi="Cambria" w:eastAsia="宋体" w:cs="Times New Roman"/>
      <w:kern w:val="0"/>
      <w:sz w:val="24"/>
      <w:szCs w:val="24"/>
      <w:lang w:bidi="en-US"/>
    </w:rPr>
  </w:style>
  <w:style w:type="paragraph" w:styleId="33">
    <w:name w:val="footnote text"/>
    <w:basedOn w:val="1"/>
    <w:link w:val="204"/>
    <w:unhideWhenUsed/>
    <w:uiPriority w:val="0"/>
    <w:pPr>
      <w:widowControl/>
      <w:jc w:val="left"/>
    </w:pPr>
    <w:rPr>
      <w:rFonts w:ascii="Calibri" w:hAnsi="Calibri" w:eastAsia="宋体" w:cs="Times New Roman"/>
      <w:kern w:val="0"/>
      <w:sz w:val="20"/>
      <w:szCs w:val="20"/>
    </w:rPr>
  </w:style>
  <w:style w:type="paragraph" w:styleId="34">
    <w:name w:val="toc 6"/>
    <w:basedOn w:val="1"/>
    <w:next w:val="1"/>
    <w:unhideWhenUsed/>
    <w:qFormat/>
    <w:uiPriority w:val="39"/>
    <w:pPr>
      <w:ind w:left="2100" w:leftChars="1000"/>
    </w:pPr>
  </w:style>
  <w:style w:type="paragraph" w:styleId="35">
    <w:name w:val="Body Text Indent 3"/>
    <w:basedOn w:val="1"/>
    <w:link w:val="135"/>
    <w:semiHidden/>
    <w:unhideWhenUsed/>
    <w:uiPriority w:val="0"/>
    <w:pPr>
      <w:widowControl/>
      <w:spacing w:after="120" w:line="360" w:lineRule="auto"/>
      <w:ind w:left="420" w:leftChars="200" w:firstLine="200" w:firstLineChars="200"/>
      <w:jc w:val="left"/>
    </w:pPr>
    <w:rPr>
      <w:rFonts w:ascii="Calibri" w:hAnsi="Calibri" w:eastAsia="宋体" w:cs="Times New Roman"/>
      <w:kern w:val="0"/>
      <w:sz w:val="16"/>
      <w:szCs w:val="16"/>
      <w:lang w:bidi="en-US"/>
    </w:rPr>
  </w:style>
  <w:style w:type="paragraph" w:styleId="36">
    <w:name w:val="toc 2"/>
    <w:basedOn w:val="1"/>
    <w:next w:val="1"/>
    <w:unhideWhenUsed/>
    <w:qFormat/>
    <w:uiPriority w:val="39"/>
    <w:pPr>
      <w:widowControl/>
      <w:spacing w:after="100" w:line="276" w:lineRule="auto"/>
      <w:ind w:left="220"/>
      <w:jc w:val="left"/>
    </w:pPr>
    <w:rPr>
      <w:kern w:val="0"/>
      <w:sz w:val="22"/>
    </w:rPr>
  </w:style>
  <w:style w:type="paragraph" w:styleId="37">
    <w:name w:val="toc 9"/>
    <w:basedOn w:val="1"/>
    <w:next w:val="1"/>
    <w:unhideWhenUsed/>
    <w:qFormat/>
    <w:uiPriority w:val="39"/>
    <w:pPr>
      <w:ind w:left="3360" w:leftChars="1600"/>
    </w:pPr>
  </w:style>
  <w:style w:type="paragraph" w:styleId="38">
    <w:name w:val="Body Text 2"/>
    <w:basedOn w:val="1"/>
    <w:link w:val="141"/>
    <w:semiHidden/>
    <w:unhideWhenUsed/>
    <w:qFormat/>
    <w:uiPriority w:val="0"/>
    <w:pPr>
      <w:widowControl/>
      <w:spacing w:after="120" w:line="480" w:lineRule="auto"/>
      <w:ind w:firstLine="200" w:firstLineChars="200"/>
      <w:jc w:val="left"/>
    </w:pPr>
    <w:rPr>
      <w:rFonts w:ascii="Calibri" w:hAnsi="Calibri" w:eastAsia="宋体" w:cs="Times New Roman"/>
      <w:kern w:val="0"/>
      <w:sz w:val="24"/>
      <w:szCs w:val="24"/>
      <w:lang w:bidi="en-US"/>
    </w:rPr>
  </w:style>
  <w:style w:type="paragraph" w:styleId="39">
    <w:name w:val="Normal (Web)"/>
    <w:basedOn w:val="1"/>
    <w:uiPriority w:val="0"/>
    <w:pPr>
      <w:widowControl/>
      <w:spacing w:before="100" w:beforeAutospacing="1" w:after="100" w:afterAutospacing="1"/>
      <w:jc w:val="left"/>
    </w:pPr>
    <w:rPr>
      <w:rFonts w:ascii="宋体" w:hAnsi="宋体" w:eastAsia="宋体" w:cs="Times New Roman"/>
      <w:color w:val="000000"/>
      <w:kern w:val="0"/>
      <w:sz w:val="24"/>
      <w:szCs w:val="24"/>
    </w:rPr>
  </w:style>
  <w:style w:type="paragraph" w:styleId="40">
    <w:name w:val="Title"/>
    <w:basedOn w:val="1"/>
    <w:next w:val="1"/>
    <w:link w:val="107"/>
    <w:qFormat/>
    <w:uiPriority w:val="10"/>
    <w:pPr>
      <w:widowControl/>
      <w:spacing w:before="240" w:after="60" w:line="360" w:lineRule="auto"/>
      <w:ind w:firstLine="200" w:firstLineChars="200"/>
      <w:jc w:val="center"/>
      <w:outlineLvl w:val="0"/>
    </w:pPr>
    <w:rPr>
      <w:rFonts w:ascii="Cambria" w:hAnsi="Cambria" w:eastAsia="宋体" w:cs="Times New Roman"/>
      <w:b/>
      <w:bCs/>
      <w:kern w:val="28"/>
      <w:sz w:val="32"/>
      <w:szCs w:val="32"/>
      <w:lang w:bidi="en-US"/>
    </w:rPr>
  </w:style>
  <w:style w:type="paragraph" w:styleId="41">
    <w:name w:val="annotation subject"/>
    <w:basedOn w:val="17"/>
    <w:next w:val="17"/>
    <w:link w:val="68"/>
    <w:semiHidden/>
    <w:unhideWhenUsed/>
    <w:uiPriority w:val="99"/>
    <w:rPr>
      <w:b/>
      <w:bCs/>
    </w:rPr>
  </w:style>
  <w:style w:type="paragraph" w:styleId="42">
    <w:name w:val="Body Text First Indent"/>
    <w:basedOn w:val="19"/>
    <w:link w:val="315"/>
    <w:semiHidden/>
    <w:unhideWhenUsed/>
    <w:qFormat/>
    <w:uiPriority w:val="99"/>
    <w:pPr>
      <w:ind w:firstLine="420" w:firstLineChars="100"/>
    </w:pPr>
    <w:rPr>
      <w:rFonts w:asciiTheme="minorHAnsi" w:hAnsiTheme="minorHAnsi" w:eastAsiaTheme="minorEastAsia" w:cstheme="minorBidi"/>
      <w:kern w:val="2"/>
      <w:sz w:val="21"/>
      <w:szCs w:val="22"/>
    </w:rPr>
  </w:style>
  <w:style w:type="paragraph" w:styleId="43">
    <w:name w:val="Body Text First Indent 2"/>
    <w:basedOn w:val="20"/>
    <w:link w:val="316"/>
    <w:semiHidden/>
    <w:unhideWhenUsed/>
    <w:qFormat/>
    <w:uiPriority w:val="99"/>
    <w:pPr>
      <w:spacing w:after="120" w:line="240" w:lineRule="auto"/>
      <w:ind w:left="420" w:leftChars="200" w:firstLine="420"/>
    </w:pPr>
    <w:rPr>
      <w:rFonts w:asciiTheme="minorHAnsi" w:hAnsiTheme="minorHAnsi" w:eastAsiaTheme="minorEastAsia" w:cstheme="minorBidi"/>
      <w:kern w:val="2"/>
      <w:sz w:val="21"/>
      <w:szCs w:val="22"/>
    </w:rPr>
  </w:style>
  <w:style w:type="table" w:styleId="45">
    <w:name w:val="Table Grid"/>
    <w:basedOn w:val="4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styleId="47">
    <w:name w:val="Strong"/>
    <w:qFormat/>
    <w:uiPriority w:val="0"/>
    <w:rPr>
      <w:b/>
      <w:bCs/>
    </w:rPr>
  </w:style>
  <w:style w:type="character" w:styleId="48">
    <w:name w:val="page number"/>
    <w:basedOn w:val="46"/>
    <w:uiPriority w:val="0"/>
  </w:style>
  <w:style w:type="character" w:styleId="49">
    <w:name w:val="FollowedHyperlink"/>
    <w:qFormat/>
    <w:uiPriority w:val="99"/>
    <w:rPr>
      <w:color w:val="800080"/>
      <w:u w:val="single"/>
    </w:rPr>
  </w:style>
  <w:style w:type="character" w:styleId="50">
    <w:name w:val="Emphasis"/>
    <w:qFormat/>
    <w:uiPriority w:val="0"/>
    <w:rPr>
      <w:rFonts w:ascii="Calibri" w:hAnsi="Calibri"/>
      <w:b/>
      <w:i/>
      <w:iCs/>
    </w:rPr>
  </w:style>
  <w:style w:type="character" w:styleId="51">
    <w:name w:val="Hyperlink"/>
    <w:uiPriority w:val="99"/>
    <w:rPr>
      <w:color w:val="0000FF"/>
      <w:u w:val="single"/>
    </w:rPr>
  </w:style>
  <w:style w:type="character" w:styleId="52">
    <w:name w:val="annotation reference"/>
    <w:basedOn w:val="46"/>
    <w:unhideWhenUsed/>
    <w:uiPriority w:val="99"/>
    <w:rPr>
      <w:sz w:val="21"/>
      <w:szCs w:val="21"/>
    </w:rPr>
  </w:style>
  <w:style w:type="character" w:customStyle="1" w:styleId="53">
    <w:name w:val="页眉 Char1"/>
    <w:basedOn w:val="46"/>
    <w:link w:val="29"/>
    <w:qFormat/>
    <w:uiPriority w:val="99"/>
    <w:rPr>
      <w:sz w:val="18"/>
      <w:szCs w:val="18"/>
    </w:rPr>
  </w:style>
  <w:style w:type="character" w:customStyle="1" w:styleId="54">
    <w:name w:val="页脚 Char1"/>
    <w:basedOn w:val="46"/>
    <w:link w:val="28"/>
    <w:qFormat/>
    <w:uiPriority w:val="99"/>
    <w:rPr>
      <w:sz w:val="18"/>
      <w:szCs w:val="18"/>
    </w:rPr>
  </w:style>
  <w:style w:type="paragraph" w:styleId="55">
    <w:name w:val="List Paragraph"/>
    <w:basedOn w:val="1"/>
    <w:qFormat/>
    <w:uiPriority w:val="34"/>
    <w:pPr>
      <w:ind w:firstLine="420" w:firstLineChars="200"/>
    </w:pPr>
  </w:style>
  <w:style w:type="character" w:customStyle="1" w:styleId="56">
    <w:name w:val="标题 2 Char2"/>
    <w:basedOn w:val="46"/>
    <w:link w:val="3"/>
    <w:qFormat/>
    <w:uiPriority w:val="9"/>
    <w:rPr>
      <w:rFonts w:ascii="Times New Roman" w:hAnsi="Times New Roman" w:eastAsia="仿宋" w:cstheme="majorBidi"/>
      <w:b/>
      <w:bCs/>
      <w:sz w:val="32"/>
      <w:szCs w:val="32"/>
    </w:rPr>
  </w:style>
  <w:style w:type="character" w:customStyle="1" w:styleId="57">
    <w:name w:val="标题 3 Char2"/>
    <w:basedOn w:val="46"/>
    <w:link w:val="4"/>
    <w:qFormat/>
    <w:uiPriority w:val="9"/>
    <w:rPr>
      <w:rFonts w:ascii="Times New Roman" w:hAnsi="Times New Roman" w:eastAsia="仿宋"/>
      <w:b/>
      <w:bCs/>
      <w:sz w:val="30"/>
      <w:szCs w:val="32"/>
    </w:rPr>
  </w:style>
  <w:style w:type="paragraph" w:customStyle="1" w:styleId="58">
    <w:name w:val="Char Char Char"/>
    <w:basedOn w:val="1"/>
    <w:semiHidden/>
    <w:uiPriority w:val="0"/>
    <w:rPr>
      <w:rFonts w:ascii="Times New Roman" w:hAnsi="Times New Roman" w:eastAsia="宋体" w:cs="Times New Roman"/>
      <w:szCs w:val="24"/>
    </w:rPr>
  </w:style>
  <w:style w:type="character" w:customStyle="1" w:styleId="59">
    <w:name w:val="15"/>
    <w:basedOn w:val="46"/>
    <w:qFormat/>
    <w:uiPriority w:val="0"/>
    <w:rPr>
      <w:rFonts w:hint="default" w:ascii="Times New Roman" w:hAnsi="Times New Roman" w:cs="Times New Roman"/>
      <w:color w:val="0000FF"/>
      <w:u w:val="single"/>
    </w:rPr>
  </w:style>
  <w:style w:type="character" w:customStyle="1" w:styleId="60">
    <w:name w:val="标题 1 Char2"/>
    <w:basedOn w:val="46"/>
    <w:link w:val="2"/>
    <w:qFormat/>
    <w:uiPriority w:val="9"/>
    <w:rPr>
      <w:rFonts w:ascii="Times New Roman" w:hAnsi="Times New Roman" w:eastAsia="仿宋"/>
      <w:b/>
      <w:bCs/>
      <w:kern w:val="44"/>
      <w:sz w:val="36"/>
      <w:szCs w:val="44"/>
    </w:rPr>
  </w:style>
  <w:style w:type="paragraph" w:customStyle="1" w:styleId="61">
    <w:name w:val="文字"/>
    <w:basedOn w:val="1"/>
    <w:link w:val="97"/>
    <w:qFormat/>
    <w:uiPriority w:val="0"/>
    <w:pPr>
      <w:widowControl/>
      <w:spacing w:after="120" w:afterLines="50" w:line="360" w:lineRule="auto"/>
      <w:ind w:firstLine="420"/>
    </w:pPr>
    <w:rPr>
      <w:rFonts w:ascii="Times New Roman" w:hAnsi="Times New Roman" w:eastAsia="宋体" w:cs="Times New Roman"/>
      <w:kern w:val="0"/>
      <w:sz w:val="24"/>
      <w:szCs w:val="24"/>
    </w:rPr>
  </w:style>
  <w:style w:type="paragraph" w:customStyle="1" w:styleId="62">
    <w:name w:val="Char Char Char2"/>
    <w:basedOn w:val="1"/>
    <w:semiHidden/>
    <w:qFormat/>
    <w:uiPriority w:val="0"/>
    <w:rPr>
      <w:rFonts w:ascii="Times New Roman" w:hAnsi="Times New Roman" w:eastAsia="宋体" w:cs="Times New Roman"/>
      <w:szCs w:val="24"/>
    </w:rPr>
  </w:style>
  <w:style w:type="character" w:customStyle="1" w:styleId="63">
    <w:name w:val="批注框文本 Char2"/>
    <w:basedOn w:val="46"/>
    <w:link w:val="27"/>
    <w:semiHidden/>
    <w:qFormat/>
    <w:uiPriority w:val="99"/>
    <w:rPr>
      <w:sz w:val="18"/>
      <w:szCs w:val="18"/>
    </w:rPr>
  </w:style>
  <w:style w:type="character" w:customStyle="1" w:styleId="64">
    <w:name w:val="日期 Char1"/>
    <w:basedOn w:val="46"/>
    <w:link w:val="25"/>
    <w:uiPriority w:val="0"/>
  </w:style>
  <w:style w:type="paragraph" w:customStyle="1" w:styleId="65">
    <w:name w:val="表格内容"/>
    <w:basedOn w:val="1"/>
    <w:next w:val="1"/>
    <w:qFormat/>
    <w:uiPriority w:val="0"/>
    <w:pPr>
      <w:jc w:val="center"/>
    </w:pPr>
    <w:rPr>
      <w:rFonts w:ascii="Times New Roman" w:hAnsi="Times New Roman" w:eastAsia="仿宋_GB2312" w:cs="Times New Roman"/>
      <w:kern w:val="0"/>
      <w:sz w:val="24"/>
      <w:szCs w:val="24"/>
    </w:rPr>
  </w:style>
  <w:style w:type="character" w:customStyle="1" w:styleId="66">
    <w:name w:val="标题 4 Char1"/>
    <w:basedOn w:val="46"/>
    <w:link w:val="5"/>
    <w:uiPriority w:val="9"/>
    <w:rPr>
      <w:rFonts w:ascii="Times New Roman" w:hAnsi="Times New Roman" w:eastAsia="仿宋" w:cstheme="majorBidi"/>
      <w:b/>
      <w:bCs/>
      <w:sz w:val="24"/>
      <w:szCs w:val="28"/>
    </w:rPr>
  </w:style>
  <w:style w:type="character" w:customStyle="1" w:styleId="67">
    <w:name w:val="批注文字 Char1"/>
    <w:basedOn w:val="46"/>
    <w:link w:val="17"/>
    <w:uiPriority w:val="99"/>
  </w:style>
  <w:style w:type="character" w:customStyle="1" w:styleId="68">
    <w:name w:val="批注主题 Char1"/>
    <w:basedOn w:val="67"/>
    <w:link w:val="41"/>
    <w:semiHidden/>
    <w:uiPriority w:val="99"/>
    <w:rPr>
      <w:b/>
      <w:bCs/>
    </w:rPr>
  </w:style>
  <w:style w:type="character" w:customStyle="1" w:styleId="69">
    <w:name w:val="标题 5 字符"/>
    <w:basedOn w:val="46"/>
    <w:semiHidden/>
    <w:uiPriority w:val="9"/>
    <w:rPr>
      <w:b/>
      <w:bCs/>
      <w:sz w:val="28"/>
      <w:szCs w:val="28"/>
    </w:rPr>
  </w:style>
  <w:style w:type="character" w:customStyle="1" w:styleId="70">
    <w:name w:val="标题 6 字符"/>
    <w:basedOn w:val="46"/>
    <w:semiHidden/>
    <w:qFormat/>
    <w:uiPriority w:val="9"/>
    <w:rPr>
      <w:rFonts w:asciiTheme="majorHAnsi" w:hAnsiTheme="majorHAnsi" w:eastAsiaTheme="majorEastAsia" w:cstheme="majorBidi"/>
      <w:b/>
      <w:bCs/>
      <w:sz w:val="24"/>
      <w:szCs w:val="24"/>
    </w:rPr>
  </w:style>
  <w:style w:type="character" w:customStyle="1" w:styleId="71">
    <w:name w:val="标题 7 字符"/>
    <w:basedOn w:val="46"/>
    <w:semiHidden/>
    <w:qFormat/>
    <w:uiPriority w:val="9"/>
    <w:rPr>
      <w:b/>
      <w:bCs/>
      <w:sz w:val="24"/>
      <w:szCs w:val="24"/>
    </w:rPr>
  </w:style>
  <w:style w:type="character" w:customStyle="1" w:styleId="72">
    <w:name w:val="标题 8 字符"/>
    <w:basedOn w:val="46"/>
    <w:semiHidden/>
    <w:uiPriority w:val="9"/>
    <w:rPr>
      <w:rFonts w:asciiTheme="majorHAnsi" w:hAnsiTheme="majorHAnsi" w:eastAsiaTheme="majorEastAsia" w:cstheme="majorBidi"/>
      <w:sz w:val="24"/>
      <w:szCs w:val="24"/>
    </w:rPr>
  </w:style>
  <w:style w:type="character" w:customStyle="1" w:styleId="73">
    <w:name w:val="标题 9 字符"/>
    <w:basedOn w:val="46"/>
    <w:semiHidden/>
    <w:uiPriority w:val="9"/>
    <w:rPr>
      <w:rFonts w:asciiTheme="majorHAnsi" w:hAnsiTheme="majorHAnsi" w:eastAsiaTheme="majorEastAsia" w:cstheme="majorBidi"/>
      <w:szCs w:val="21"/>
    </w:rPr>
  </w:style>
  <w:style w:type="character" w:customStyle="1" w:styleId="74">
    <w:name w:val="页脚 Char"/>
    <w:uiPriority w:val="99"/>
    <w:rPr>
      <w:sz w:val="18"/>
      <w:szCs w:val="18"/>
    </w:rPr>
  </w:style>
  <w:style w:type="paragraph" w:customStyle="1" w:styleId="75">
    <w:name w:val="Char Char Char1 Char Char Char Char Char Char2 Char"/>
    <w:basedOn w:val="1"/>
    <w:semiHidden/>
    <w:qFormat/>
    <w:uiPriority w:val="0"/>
    <w:rPr>
      <w:rFonts w:ascii="黑体" w:hAnsi="Times New Roman" w:eastAsia="黑体" w:cs="Times New Roman"/>
      <w:b/>
      <w:kern w:val="0"/>
      <w:sz w:val="32"/>
      <w:szCs w:val="32"/>
    </w:rPr>
  </w:style>
  <w:style w:type="character" w:customStyle="1" w:styleId="76">
    <w:name w:val="页眉 Char"/>
    <w:uiPriority w:val="99"/>
    <w:rPr>
      <w:sz w:val="18"/>
      <w:szCs w:val="18"/>
    </w:rPr>
  </w:style>
  <w:style w:type="paragraph" w:customStyle="1" w:styleId="77">
    <w:name w:val="Char Char Char1 Char Char Char Char Char Char2 Char1"/>
    <w:basedOn w:val="1"/>
    <w:semiHidden/>
    <w:uiPriority w:val="0"/>
    <w:rPr>
      <w:rFonts w:ascii="黑体" w:hAnsi="Times New Roman" w:eastAsia="黑体" w:cs="Times New Roman"/>
      <w:b/>
      <w:kern w:val="0"/>
      <w:sz w:val="32"/>
      <w:szCs w:val="32"/>
    </w:rPr>
  </w:style>
  <w:style w:type="paragraph" w:customStyle="1" w:styleId="78">
    <w:name w:val="Char"/>
    <w:basedOn w:val="1"/>
    <w:next w:val="1"/>
    <w:link w:val="150"/>
    <w:qFormat/>
    <w:uiPriority w:val="0"/>
    <w:pPr>
      <w:spacing w:line="360" w:lineRule="auto"/>
      <w:ind w:left="240" w:firstLine="200" w:firstLineChars="200"/>
      <w:jc w:val="left"/>
    </w:pPr>
    <w:rPr>
      <w:rFonts w:ascii="Calibri" w:hAnsi="Calibri" w:eastAsia="宋体" w:cs="Times New Roman"/>
      <w:kern w:val="0"/>
      <w:sz w:val="24"/>
      <w:szCs w:val="24"/>
      <w:lang w:bidi="en-US"/>
    </w:rPr>
  </w:style>
  <w:style w:type="character" w:customStyle="1" w:styleId="79">
    <w:name w:val="日期 Char"/>
    <w:basedOn w:val="46"/>
    <w:uiPriority w:val="0"/>
  </w:style>
  <w:style w:type="character" w:customStyle="1" w:styleId="80">
    <w:name w:val="标题 1 Char"/>
    <w:uiPriority w:val="0"/>
    <w:rPr>
      <w:b/>
      <w:bCs/>
      <w:kern w:val="44"/>
      <w:sz w:val="44"/>
      <w:szCs w:val="44"/>
    </w:rPr>
  </w:style>
  <w:style w:type="character" w:customStyle="1" w:styleId="81">
    <w:name w:val="标题 2 Char"/>
    <w:uiPriority w:val="0"/>
    <w:rPr>
      <w:rFonts w:ascii="Calibri Light" w:hAnsi="Calibri Light" w:eastAsia="宋体" w:cs="Times New Roman"/>
      <w:b/>
      <w:bCs/>
      <w:sz w:val="32"/>
      <w:szCs w:val="32"/>
    </w:rPr>
  </w:style>
  <w:style w:type="character" w:customStyle="1" w:styleId="82">
    <w:name w:val="标题 3 Char"/>
    <w:qFormat/>
    <w:uiPriority w:val="0"/>
    <w:rPr>
      <w:b/>
      <w:bCs/>
      <w:sz w:val="32"/>
      <w:szCs w:val="32"/>
    </w:rPr>
  </w:style>
  <w:style w:type="character" w:customStyle="1" w:styleId="83">
    <w:name w:val="标题 4 Char"/>
    <w:uiPriority w:val="0"/>
    <w:rPr>
      <w:rFonts w:ascii="Calibri" w:hAnsi="Calibri" w:eastAsia="宋体" w:cs="Times New Roman"/>
      <w:b/>
      <w:bCs/>
      <w:kern w:val="0"/>
      <w:sz w:val="28"/>
      <w:szCs w:val="28"/>
      <w:lang w:bidi="en-US"/>
    </w:rPr>
  </w:style>
  <w:style w:type="character" w:customStyle="1" w:styleId="84">
    <w:name w:val="标题 5 Char1"/>
    <w:link w:val="6"/>
    <w:qFormat/>
    <w:uiPriority w:val="0"/>
    <w:rPr>
      <w:rFonts w:ascii="Calibri" w:hAnsi="Calibri" w:eastAsia="宋体" w:cs="Times New Roman"/>
      <w:b/>
      <w:bCs/>
      <w:i/>
      <w:iCs/>
      <w:kern w:val="0"/>
      <w:sz w:val="26"/>
      <w:szCs w:val="26"/>
      <w:lang w:bidi="en-US"/>
    </w:rPr>
  </w:style>
  <w:style w:type="character" w:customStyle="1" w:styleId="85">
    <w:name w:val="标题 6 Char1"/>
    <w:link w:val="7"/>
    <w:uiPriority w:val="0"/>
    <w:rPr>
      <w:rFonts w:ascii="Calibri" w:hAnsi="Calibri" w:eastAsia="宋体" w:cs="Times New Roman"/>
      <w:b/>
      <w:bCs/>
      <w:kern w:val="0"/>
      <w:sz w:val="22"/>
      <w:szCs w:val="28"/>
      <w:lang w:bidi="en-US"/>
    </w:rPr>
  </w:style>
  <w:style w:type="character" w:customStyle="1" w:styleId="86">
    <w:name w:val="标题 7 Char1"/>
    <w:link w:val="8"/>
    <w:uiPriority w:val="0"/>
    <w:rPr>
      <w:rFonts w:ascii="Calibri" w:hAnsi="Calibri" w:eastAsia="宋体" w:cs="Times New Roman"/>
      <w:kern w:val="0"/>
      <w:sz w:val="24"/>
      <w:szCs w:val="24"/>
      <w:lang w:bidi="en-US"/>
    </w:rPr>
  </w:style>
  <w:style w:type="character" w:customStyle="1" w:styleId="87">
    <w:name w:val="标题 8 Char1"/>
    <w:link w:val="9"/>
    <w:uiPriority w:val="0"/>
    <w:rPr>
      <w:rFonts w:ascii="Calibri" w:hAnsi="Calibri" w:eastAsia="宋体" w:cs="Times New Roman"/>
      <w:i/>
      <w:iCs/>
      <w:kern w:val="0"/>
      <w:sz w:val="24"/>
      <w:szCs w:val="24"/>
      <w:lang w:bidi="en-US"/>
    </w:rPr>
  </w:style>
  <w:style w:type="character" w:customStyle="1" w:styleId="88">
    <w:name w:val="标题 9 Char1"/>
    <w:link w:val="10"/>
    <w:uiPriority w:val="0"/>
    <w:rPr>
      <w:rFonts w:ascii="Cambria" w:hAnsi="Cambria" w:eastAsia="宋体" w:cs="Times New Roman"/>
      <w:kern w:val="0"/>
      <w:sz w:val="22"/>
      <w:szCs w:val="28"/>
      <w:lang w:bidi="en-US"/>
    </w:rPr>
  </w:style>
  <w:style w:type="character" w:customStyle="1" w:styleId="89">
    <w:name w:val="标题 1 Char1"/>
    <w:qFormat/>
    <w:uiPriority w:val="0"/>
    <w:rPr>
      <w:rFonts w:ascii="仿宋_GB2312" w:hAnsi="Times New Roman" w:eastAsia="仿宋_GB2312" w:cs="Times New Roman"/>
      <w:b/>
      <w:bCs/>
      <w:kern w:val="44"/>
      <w:sz w:val="32"/>
      <w:szCs w:val="44"/>
    </w:rPr>
  </w:style>
  <w:style w:type="character" w:customStyle="1" w:styleId="90">
    <w:name w:val="标题 2 Char1"/>
    <w:qFormat/>
    <w:uiPriority w:val="0"/>
    <w:rPr>
      <w:rFonts w:ascii="Arial" w:hAnsi="Arial" w:eastAsia="黑体" w:cs="Times New Roman"/>
      <w:b/>
      <w:bCs/>
      <w:kern w:val="0"/>
      <w:sz w:val="30"/>
      <w:szCs w:val="32"/>
    </w:rPr>
  </w:style>
  <w:style w:type="character" w:customStyle="1" w:styleId="91">
    <w:name w:val="标题 3 Char1"/>
    <w:qFormat/>
    <w:uiPriority w:val="0"/>
    <w:rPr>
      <w:rFonts w:ascii="仿宋_GB2312" w:hAnsi="Times New Roman" w:eastAsia="仿宋_GB2312" w:cs="Times New Roman"/>
      <w:b/>
      <w:bCs/>
      <w:kern w:val="0"/>
      <w:sz w:val="28"/>
      <w:szCs w:val="32"/>
    </w:rPr>
  </w:style>
  <w:style w:type="character" w:customStyle="1" w:styleId="92">
    <w:name w:val="文档结构图 Char2"/>
    <w:link w:val="16"/>
    <w:semiHidden/>
    <w:qFormat/>
    <w:uiPriority w:val="0"/>
    <w:rPr>
      <w:rFonts w:ascii="仿宋_GB2312" w:hAnsi="Times New Roman" w:eastAsia="仿宋_GB2312" w:cs="Times New Roman"/>
      <w:kern w:val="0"/>
      <w:sz w:val="24"/>
      <w:szCs w:val="24"/>
      <w:shd w:val="clear" w:color="auto" w:fill="000080"/>
    </w:rPr>
  </w:style>
  <w:style w:type="character" w:customStyle="1" w:styleId="93">
    <w:name w:val="文档结构图 字符"/>
    <w:basedOn w:val="46"/>
    <w:semiHidden/>
    <w:qFormat/>
    <w:uiPriority w:val="99"/>
    <w:rPr>
      <w:rFonts w:ascii="Microsoft YaHei UI" w:eastAsia="Microsoft YaHei UI"/>
      <w:sz w:val="18"/>
      <w:szCs w:val="18"/>
    </w:rPr>
  </w:style>
  <w:style w:type="character" w:customStyle="1" w:styleId="94">
    <w:name w:val="文档结构图 Char1"/>
    <w:semiHidden/>
    <w:uiPriority w:val="99"/>
    <w:rPr>
      <w:rFonts w:ascii="Microsoft YaHei UI" w:eastAsia="Microsoft YaHei UI"/>
      <w:sz w:val="18"/>
      <w:szCs w:val="18"/>
    </w:rPr>
  </w:style>
  <w:style w:type="paragraph" w:customStyle="1" w:styleId="95">
    <w:name w:val="样式 标题 2 + 首行缩进:  2 字符 段前: 0.5 行 段后: 0.5 行"/>
    <w:basedOn w:val="3"/>
    <w:qFormat/>
    <w:uiPriority w:val="0"/>
    <w:pPr>
      <w:spacing w:before="50" w:beforeLines="50" w:after="50" w:afterLines="50" w:line="360" w:lineRule="auto"/>
    </w:pPr>
    <w:rPr>
      <w:rFonts w:ascii="Arial" w:hAnsi="Arial" w:eastAsia="黑体" w:cs="宋体"/>
      <w:kern w:val="0"/>
      <w:sz w:val="30"/>
      <w:szCs w:val="20"/>
    </w:rPr>
  </w:style>
  <w:style w:type="paragraph" w:customStyle="1" w:styleId="96">
    <w:name w:val="样式 标题 3 + 首行缩进:  2 字符"/>
    <w:basedOn w:val="4"/>
    <w:qFormat/>
    <w:uiPriority w:val="0"/>
    <w:pPr>
      <w:spacing w:before="0" w:after="0" w:line="360" w:lineRule="auto"/>
    </w:pPr>
    <w:rPr>
      <w:rFonts w:ascii="仿宋_GB2312" w:eastAsia="仿宋_GB2312" w:cs="宋体"/>
      <w:kern w:val="0"/>
      <w:sz w:val="28"/>
      <w:szCs w:val="20"/>
    </w:rPr>
  </w:style>
  <w:style w:type="character" w:customStyle="1" w:styleId="97">
    <w:name w:val="文字 Char"/>
    <w:link w:val="61"/>
    <w:uiPriority w:val="0"/>
    <w:rPr>
      <w:rFonts w:ascii="Times New Roman" w:hAnsi="Times New Roman" w:eastAsia="宋体" w:cs="Times New Roman"/>
      <w:kern w:val="0"/>
      <w:sz w:val="24"/>
      <w:szCs w:val="24"/>
    </w:rPr>
  </w:style>
  <w:style w:type="character" w:customStyle="1" w:styleId="98">
    <w:name w:val="正文文本缩进 字符"/>
    <w:basedOn w:val="46"/>
    <w:semiHidden/>
    <w:uiPriority w:val="99"/>
  </w:style>
  <w:style w:type="character" w:customStyle="1" w:styleId="99">
    <w:name w:val="正文文本缩进 Char"/>
    <w:basedOn w:val="46"/>
    <w:uiPriority w:val="0"/>
  </w:style>
  <w:style w:type="character" w:customStyle="1" w:styleId="100">
    <w:name w:val="正文文本缩进 Char2"/>
    <w:link w:val="20"/>
    <w:uiPriority w:val="0"/>
    <w:rPr>
      <w:rFonts w:ascii="宋体" w:hAnsi="宋体" w:eastAsia="宋体" w:cs="Times New Roman"/>
      <w:kern w:val="0"/>
      <w:sz w:val="24"/>
      <w:szCs w:val="24"/>
    </w:rPr>
  </w:style>
  <w:style w:type="paragraph" w:customStyle="1" w:styleId="101">
    <w:name w:val="l_text"/>
    <w:basedOn w:val="1"/>
    <w:qFormat/>
    <w:uiPriority w:val="0"/>
    <w:pPr>
      <w:overflowPunct w:val="0"/>
      <w:autoSpaceDE w:val="0"/>
      <w:autoSpaceDN w:val="0"/>
      <w:adjustRightInd w:val="0"/>
      <w:spacing w:line="360" w:lineRule="auto"/>
      <w:ind w:left="200" w:leftChars="100" w:right="12" w:rightChars="6" w:firstLine="562"/>
      <w:textAlignment w:val="baseline"/>
    </w:pPr>
    <w:rPr>
      <w:rFonts w:ascii="宋体" w:hAnsi="Times New Roman" w:eastAsia="宋体" w:cs="Times New Roman"/>
      <w:kern w:val="0"/>
      <w:sz w:val="28"/>
      <w:szCs w:val="20"/>
      <w:lang w:val="en-GB"/>
    </w:rPr>
  </w:style>
  <w:style w:type="paragraph" w:customStyle="1" w:styleId="102">
    <w:name w:val="其他表格"/>
    <w:basedOn w:val="1"/>
    <w:qFormat/>
    <w:uiPriority w:val="0"/>
    <w:pPr>
      <w:widowControl/>
      <w:spacing w:line="360" w:lineRule="exact"/>
    </w:pPr>
    <w:rPr>
      <w:rFonts w:ascii="宋体" w:hAnsi="宋体" w:eastAsia="宋体" w:cs="Times New Roman"/>
      <w:kern w:val="0"/>
      <w:sz w:val="28"/>
      <w:szCs w:val="21"/>
    </w:rPr>
  </w:style>
  <w:style w:type="paragraph" w:customStyle="1" w:styleId="103">
    <w:name w:val="样式 表中文字 + 行距: 固定值 14 磅"/>
    <w:basedOn w:val="1"/>
    <w:qFormat/>
    <w:uiPriority w:val="0"/>
    <w:pPr>
      <w:widowControl/>
      <w:adjustRightInd w:val="0"/>
      <w:snapToGrid w:val="0"/>
      <w:spacing w:line="280" w:lineRule="exact"/>
      <w:jc w:val="center"/>
    </w:pPr>
    <w:rPr>
      <w:rFonts w:ascii="Times New Roman" w:hAnsi="Times New Roman" w:eastAsia="华文中宋" w:cs="Times New Roman"/>
      <w:kern w:val="0"/>
      <w:sz w:val="28"/>
      <w:szCs w:val="20"/>
    </w:rPr>
  </w:style>
  <w:style w:type="paragraph" w:customStyle="1" w:styleId="104">
    <w:name w:val="样式 首行缩进:  2 字符"/>
    <w:basedOn w:val="1"/>
    <w:next w:val="1"/>
    <w:uiPriority w:val="0"/>
    <w:pPr>
      <w:widowControl/>
      <w:spacing w:line="360" w:lineRule="auto"/>
      <w:ind w:firstLine="560" w:firstLineChars="200"/>
      <w:jc w:val="left"/>
    </w:pPr>
    <w:rPr>
      <w:rFonts w:ascii="Calibri" w:hAnsi="Calibri" w:eastAsia="宋体" w:cs="宋体"/>
      <w:kern w:val="0"/>
      <w:sz w:val="24"/>
      <w:szCs w:val="20"/>
      <w:lang w:bidi="en-US"/>
    </w:rPr>
  </w:style>
  <w:style w:type="character" w:customStyle="1" w:styleId="105">
    <w:name w:val="样式 超链接 + (西文) Arial (中文) 黑体 三号 加粗 自动设置 无下划线"/>
    <w:uiPriority w:val="0"/>
    <w:rPr>
      <w:rFonts w:ascii="Arial" w:hAnsi="Arial" w:eastAsia="黑体"/>
      <w:b/>
      <w:bCs/>
      <w:color w:val="auto"/>
      <w:sz w:val="32"/>
      <w:u w:val="none"/>
    </w:rPr>
  </w:style>
  <w:style w:type="character" w:customStyle="1" w:styleId="106">
    <w:name w:val="标题 字符"/>
    <w:basedOn w:val="46"/>
    <w:qFormat/>
    <w:uiPriority w:val="10"/>
    <w:rPr>
      <w:rFonts w:asciiTheme="majorHAnsi" w:hAnsiTheme="majorHAnsi" w:eastAsiaTheme="majorEastAsia" w:cstheme="majorBidi"/>
      <w:b/>
      <w:bCs/>
      <w:sz w:val="32"/>
      <w:szCs w:val="32"/>
    </w:rPr>
  </w:style>
  <w:style w:type="character" w:customStyle="1" w:styleId="107">
    <w:name w:val="标题 Char1"/>
    <w:link w:val="40"/>
    <w:uiPriority w:val="0"/>
    <w:rPr>
      <w:rFonts w:ascii="Cambria" w:hAnsi="Cambria" w:eastAsia="宋体" w:cs="Times New Roman"/>
      <w:b/>
      <w:bCs/>
      <w:kern w:val="28"/>
      <w:sz w:val="32"/>
      <w:szCs w:val="32"/>
      <w:lang w:bidi="en-US"/>
    </w:rPr>
  </w:style>
  <w:style w:type="character" w:customStyle="1" w:styleId="108">
    <w:name w:val="副标题 字符"/>
    <w:basedOn w:val="46"/>
    <w:uiPriority w:val="11"/>
    <w:rPr>
      <w:b/>
      <w:bCs/>
      <w:kern w:val="28"/>
      <w:sz w:val="32"/>
      <w:szCs w:val="32"/>
    </w:rPr>
  </w:style>
  <w:style w:type="character" w:customStyle="1" w:styleId="109">
    <w:name w:val="副标题 Char1"/>
    <w:link w:val="32"/>
    <w:qFormat/>
    <w:uiPriority w:val="0"/>
    <w:rPr>
      <w:rFonts w:ascii="Cambria" w:hAnsi="Cambria" w:eastAsia="宋体" w:cs="Times New Roman"/>
      <w:kern w:val="0"/>
      <w:sz w:val="24"/>
      <w:szCs w:val="24"/>
      <w:lang w:bidi="en-US"/>
    </w:rPr>
  </w:style>
  <w:style w:type="paragraph" w:styleId="110">
    <w:name w:val="No Spacing"/>
    <w:basedOn w:val="1"/>
    <w:link w:val="111"/>
    <w:qFormat/>
    <w:uiPriority w:val="0"/>
    <w:pPr>
      <w:widowControl/>
      <w:jc w:val="center"/>
    </w:pPr>
    <w:rPr>
      <w:rFonts w:ascii="Calibri" w:hAnsi="Calibri" w:eastAsia="宋体" w:cs="Times New Roman"/>
      <w:kern w:val="0"/>
      <w:sz w:val="24"/>
      <w:szCs w:val="24"/>
      <w:lang w:bidi="en-US"/>
    </w:rPr>
  </w:style>
  <w:style w:type="character" w:customStyle="1" w:styleId="111">
    <w:name w:val="无间隔 Char1"/>
    <w:link w:val="110"/>
    <w:qFormat/>
    <w:uiPriority w:val="0"/>
    <w:rPr>
      <w:rFonts w:ascii="Calibri" w:hAnsi="Calibri" w:eastAsia="宋体" w:cs="Times New Roman"/>
      <w:kern w:val="0"/>
      <w:sz w:val="24"/>
      <w:szCs w:val="24"/>
      <w:lang w:bidi="en-US"/>
    </w:rPr>
  </w:style>
  <w:style w:type="paragraph" w:styleId="112">
    <w:name w:val="Quote"/>
    <w:basedOn w:val="1"/>
    <w:next w:val="1"/>
    <w:link w:val="114"/>
    <w:qFormat/>
    <w:uiPriority w:val="0"/>
    <w:pPr>
      <w:widowControl/>
      <w:spacing w:line="360" w:lineRule="auto"/>
      <w:ind w:firstLine="200" w:firstLineChars="200"/>
      <w:jc w:val="left"/>
    </w:pPr>
    <w:rPr>
      <w:rFonts w:ascii="Calibri" w:hAnsi="Calibri" w:eastAsia="宋体" w:cs="Times New Roman"/>
      <w:i/>
      <w:kern w:val="0"/>
      <w:sz w:val="24"/>
      <w:szCs w:val="24"/>
      <w:lang w:bidi="en-US"/>
    </w:rPr>
  </w:style>
  <w:style w:type="character" w:customStyle="1" w:styleId="113">
    <w:name w:val="引用 字符"/>
    <w:basedOn w:val="46"/>
    <w:uiPriority w:val="29"/>
    <w:rPr>
      <w:i/>
      <w:iCs/>
      <w:color w:val="404040" w:themeColor="text1" w:themeTint="BF"/>
      <w14:textFill>
        <w14:solidFill>
          <w14:schemeClr w14:val="tx1">
            <w14:lumMod w14:val="75000"/>
            <w14:lumOff w14:val="25000"/>
          </w14:schemeClr>
        </w14:solidFill>
      </w14:textFill>
    </w:rPr>
  </w:style>
  <w:style w:type="character" w:customStyle="1" w:styleId="114">
    <w:name w:val="引用 Char1"/>
    <w:link w:val="112"/>
    <w:qFormat/>
    <w:uiPriority w:val="0"/>
    <w:rPr>
      <w:rFonts w:ascii="Calibri" w:hAnsi="Calibri" w:eastAsia="宋体" w:cs="Times New Roman"/>
      <w:i/>
      <w:kern w:val="0"/>
      <w:sz w:val="24"/>
      <w:szCs w:val="24"/>
      <w:lang w:bidi="en-US"/>
    </w:rPr>
  </w:style>
  <w:style w:type="paragraph" w:styleId="115">
    <w:name w:val="Intense Quote"/>
    <w:basedOn w:val="1"/>
    <w:next w:val="1"/>
    <w:link w:val="117"/>
    <w:qFormat/>
    <w:uiPriority w:val="0"/>
    <w:pPr>
      <w:widowControl/>
      <w:spacing w:line="360" w:lineRule="auto"/>
      <w:ind w:left="720" w:right="720" w:firstLine="200" w:firstLineChars="200"/>
      <w:jc w:val="left"/>
    </w:pPr>
    <w:rPr>
      <w:rFonts w:ascii="Calibri" w:hAnsi="Calibri" w:eastAsia="宋体" w:cs="Times New Roman"/>
      <w:b/>
      <w:i/>
      <w:kern w:val="0"/>
      <w:sz w:val="24"/>
      <w:szCs w:val="28"/>
      <w:lang w:bidi="en-US"/>
    </w:rPr>
  </w:style>
  <w:style w:type="character" w:customStyle="1" w:styleId="116">
    <w:name w:val="明显引用 字符"/>
    <w:basedOn w:val="46"/>
    <w:uiPriority w:val="30"/>
    <w:rPr>
      <w:i/>
      <w:iCs/>
      <w:color w:val="4F81BD" w:themeColor="accent1"/>
      <w14:textFill>
        <w14:solidFill>
          <w14:schemeClr w14:val="accent1"/>
        </w14:solidFill>
      </w14:textFill>
    </w:rPr>
  </w:style>
  <w:style w:type="character" w:customStyle="1" w:styleId="117">
    <w:name w:val="明显引用 Char1"/>
    <w:link w:val="115"/>
    <w:uiPriority w:val="0"/>
    <w:rPr>
      <w:rFonts w:ascii="Calibri" w:hAnsi="Calibri" w:eastAsia="宋体" w:cs="Times New Roman"/>
      <w:b/>
      <w:i/>
      <w:kern w:val="0"/>
      <w:sz w:val="24"/>
      <w:szCs w:val="28"/>
      <w:lang w:bidi="en-US"/>
    </w:rPr>
  </w:style>
  <w:style w:type="character" w:customStyle="1" w:styleId="118">
    <w:name w:val="Subtle Emphasis"/>
    <w:qFormat/>
    <w:uiPriority w:val="0"/>
    <w:rPr>
      <w:i/>
      <w:color w:val="5A5A5A"/>
    </w:rPr>
  </w:style>
  <w:style w:type="character" w:customStyle="1" w:styleId="119">
    <w:name w:val="Intense Emphasis"/>
    <w:qFormat/>
    <w:uiPriority w:val="0"/>
    <w:rPr>
      <w:b/>
      <w:i/>
      <w:sz w:val="24"/>
      <w:szCs w:val="24"/>
      <w:u w:val="single"/>
    </w:rPr>
  </w:style>
  <w:style w:type="character" w:customStyle="1" w:styleId="120">
    <w:name w:val="Subtle Reference"/>
    <w:qFormat/>
    <w:uiPriority w:val="0"/>
    <w:rPr>
      <w:sz w:val="24"/>
      <w:szCs w:val="24"/>
      <w:u w:val="single"/>
    </w:rPr>
  </w:style>
  <w:style w:type="character" w:customStyle="1" w:styleId="121">
    <w:name w:val="Intense Reference"/>
    <w:qFormat/>
    <w:uiPriority w:val="0"/>
    <w:rPr>
      <w:b/>
      <w:sz w:val="24"/>
      <w:u w:val="single"/>
    </w:rPr>
  </w:style>
  <w:style w:type="character" w:customStyle="1" w:styleId="122">
    <w:name w:val="Book Title"/>
    <w:qFormat/>
    <w:uiPriority w:val="0"/>
    <w:rPr>
      <w:rFonts w:ascii="Cambria" w:hAnsi="Cambria" w:eastAsia="宋体"/>
      <w:b/>
      <w:i/>
      <w:sz w:val="24"/>
      <w:szCs w:val="24"/>
    </w:rPr>
  </w:style>
  <w:style w:type="paragraph" w:customStyle="1" w:styleId="123">
    <w:name w:val="TOC Heading"/>
    <w:basedOn w:val="2"/>
    <w:next w:val="1"/>
    <w:qFormat/>
    <w:uiPriority w:val="39"/>
    <w:pPr>
      <w:keepLines w:val="0"/>
      <w:widowControl/>
      <w:spacing w:before="240" w:after="60" w:line="360" w:lineRule="auto"/>
      <w:ind w:firstLine="200" w:firstLineChars="200"/>
      <w:jc w:val="left"/>
      <w:outlineLvl w:val="9"/>
    </w:pPr>
    <w:rPr>
      <w:rFonts w:ascii="Cambria" w:hAnsi="Cambria" w:eastAsia="宋体" w:cs="Times New Roman"/>
      <w:kern w:val="32"/>
      <w:sz w:val="32"/>
      <w:szCs w:val="32"/>
      <w:lang w:bidi="en-US"/>
    </w:rPr>
  </w:style>
  <w:style w:type="character" w:customStyle="1" w:styleId="124">
    <w:name w:val="纯文本 字符"/>
    <w:basedOn w:val="46"/>
    <w:semiHidden/>
    <w:qFormat/>
    <w:uiPriority w:val="99"/>
    <w:rPr>
      <w:rFonts w:hAnsi="Courier New" w:cs="Courier New" w:asciiTheme="minorEastAsia"/>
    </w:rPr>
  </w:style>
  <w:style w:type="character" w:customStyle="1" w:styleId="125">
    <w:name w:val="纯文本 Char1"/>
    <w:link w:val="23"/>
    <w:qFormat/>
    <w:uiPriority w:val="0"/>
    <w:rPr>
      <w:rFonts w:ascii="宋体" w:hAnsi="Courier New" w:eastAsia="宋体" w:cs="Courier New"/>
      <w:kern w:val="0"/>
      <w:sz w:val="28"/>
      <w:szCs w:val="21"/>
    </w:rPr>
  </w:style>
  <w:style w:type="character" w:customStyle="1" w:styleId="126">
    <w:name w:val="content1"/>
    <w:qFormat/>
    <w:uiPriority w:val="0"/>
    <w:rPr>
      <w:sz w:val="21"/>
      <w:szCs w:val="21"/>
    </w:rPr>
  </w:style>
  <w:style w:type="character" w:customStyle="1" w:styleId="127">
    <w:name w:val="正文文本 字符"/>
    <w:basedOn w:val="46"/>
    <w:semiHidden/>
    <w:qFormat/>
    <w:uiPriority w:val="99"/>
  </w:style>
  <w:style w:type="character" w:customStyle="1" w:styleId="128">
    <w:name w:val="正文文本 Char1"/>
    <w:link w:val="19"/>
    <w:qFormat/>
    <w:uiPriority w:val="0"/>
    <w:rPr>
      <w:rFonts w:ascii="Times New Roman" w:hAnsi="Times New Roman" w:eastAsia="宋体" w:cs="Times New Roman"/>
      <w:kern w:val="0"/>
      <w:sz w:val="24"/>
      <w:szCs w:val="24"/>
    </w:rPr>
  </w:style>
  <w:style w:type="character" w:customStyle="1" w:styleId="129">
    <w:name w:val="正文首行缩进 Char"/>
    <w:uiPriority w:val="0"/>
    <w:rPr>
      <w:rFonts w:ascii="Times New Roman" w:hAnsi="Times New Roman" w:eastAsia="宋体" w:cs="Times New Roman"/>
      <w:sz w:val="24"/>
      <w:szCs w:val="24"/>
    </w:rPr>
  </w:style>
  <w:style w:type="character" w:customStyle="1" w:styleId="130">
    <w:name w:val="正文首行缩进 Char1"/>
    <w:qFormat/>
    <w:uiPriority w:val="0"/>
    <w:rPr>
      <w:rFonts w:ascii="Times New Roman" w:hAnsi="Times New Roman" w:eastAsia="宋体" w:cs="Times New Roman"/>
      <w:sz w:val="28"/>
      <w:szCs w:val="24"/>
    </w:rPr>
  </w:style>
  <w:style w:type="paragraph" w:customStyle="1" w:styleId="131">
    <w:name w:val="样式 标题 3 + 小四 段前: 0 磅 段后: 0 磅"/>
    <w:basedOn w:val="4"/>
    <w:uiPriority w:val="0"/>
    <w:pPr>
      <w:widowControl/>
      <w:spacing w:before="100" w:beforeAutospacing="1" w:after="100" w:afterAutospacing="1" w:line="360" w:lineRule="auto"/>
      <w:ind w:left="942" w:firstLine="200" w:firstLineChars="200"/>
      <w:jc w:val="left"/>
    </w:pPr>
    <w:rPr>
      <w:rFonts w:ascii="宋体" w:hAnsi="宋体" w:eastAsia="宋体" w:cs="宋体"/>
      <w:kern w:val="0"/>
      <w:sz w:val="28"/>
      <w:szCs w:val="28"/>
      <w:lang w:bidi="en-US"/>
    </w:rPr>
  </w:style>
  <w:style w:type="character" w:customStyle="1" w:styleId="132">
    <w:name w:val="正文文本 3 Char2"/>
    <w:link w:val="18"/>
    <w:semiHidden/>
    <w:uiPriority w:val="0"/>
    <w:rPr>
      <w:rFonts w:ascii="Calibri" w:hAnsi="Calibri" w:eastAsia="宋体" w:cs="Times New Roman"/>
      <w:kern w:val="0"/>
      <w:sz w:val="16"/>
      <w:szCs w:val="16"/>
      <w:lang w:bidi="en-US"/>
    </w:rPr>
  </w:style>
  <w:style w:type="character" w:customStyle="1" w:styleId="133">
    <w:name w:val="正文文本 3 字符"/>
    <w:basedOn w:val="46"/>
    <w:semiHidden/>
    <w:qFormat/>
    <w:uiPriority w:val="99"/>
    <w:rPr>
      <w:sz w:val="16"/>
      <w:szCs w:val="16"/>
    </w:rPr>
  </w:style>
  <w:style w:type="character" w:customStyle="1" w:styleId="134">
    <w:name w:val="正文文本 3 Char1"/>
    <w:semiHidden/>
    <w:qFormat/>
    <w:uiPriority w:val="99"/>
    <w:rPr>
      <w:sz w:val="16"/>
      <w:szCs w:val="16"/>
    </w:rPr>
  </w:style>
  <w:style w:type="character" w:customStyle="1" w:styleId="135">
    <w:name w:val="正文文本缩进 3 Char2"/>
    <w:link w:val="35"/>
    <w:semiHidden/>
    <w:qFormat/>
    <w:uiPriority w:val="0"/>
    <w:rPr>
      <w:rFonts w:ascii="Calibri" w:hAnsi="Calibri" w:eastAsia="宋体" w:cs="Times New Roman"/>
      <w:kern w:val="0"/>
      <w:sz w:val="16"/>
      <w:szCs w:val="16"/>
      <w:lang w:bidi="en-US"/>
    </w:rPr>
  </w:style>
  <w:style w:type="character" w:customStyle="1" w:styleId="136">
    <w:name w:val="正文文本缩进 3 字符"/>
    <w:basedOn w:val="46"/>
    <w:semiHidden/>
    <w:qFormat/>
    <w:uiPriority w:val="99"/>
    <w:rPr>
      <w:sz w:val="16"/>
      <w:szCs w:val="16"/>
    </w:rPr>
  </w:style>
  <w:style w:type="character" w:customStyle="1" w:styleId="137">
    <w:name w:val="正文文本缩进 3 Char1"/>
    <w:semiHidden/>
    <w:qFormat/>
    <w:uiPriority w:val="99"/>
    <w:rPr>
      <w:sz w:val="16"/>
      <w:szCs w:val="16"/>
    </w:rPr>
  </w:style>
  <w:style w:type="character" w:customStyle="1" w:styleId="138">
    <w:name w:val="正文文本缩进 2 Char2"/>
    <w:link w:val="26"/>
    <w:semiHidden/>
    <w:qFormat/>
    <w:uiPriority w:val="0"/>
    <w:rPr>
      <w:rFonts w:ascii="Times New Roman" w:hAnsi="Times New Roman" w:eastAsia="宋体" w:cs="Times New Roman"/>
      <w:sz w:val="28"/>
      <w:szCs w:val="24"/>
    </w:rPr>
  </w:style>
  <w:style w:type="character" w:customStyle="1" w:styleId="139">
    <w:name w:val="正文文本缩进 2 字符"/>
    <w:basedOn w:val="46"/>
    <w:semiHidden/>
    <w:uiPriority w:val="99"/>
  </w:style>
  <w:style w:type="character" w:customStyle="1" w:styleId="140">
    <w:name w:val="正文文本缩进 2 Char1"/>
    <w:basedOn w:val="46"/>
    <w:semiHidden/>
    <w:uiPriority w:val="99"/>
  </w:style>
  <w:style w:type="character" w:customStyle="1" w:styleId="141">
    <w:name w:val="正文文本 2 Char2"/>
    <w:link w:val="38"/>
    <w:semiHidden/>
    <w:qFormat/>
    <w:uiPriority w:val="0"/>
    <w:rPr>
      <w:rFonts w:ascii="Calibri" w:hAnsi="Calibri" w:eastAsia="宋体" w:cs="Times New Roman"/>
      <w:kern w:val="0"/>
      <w:sz w:val="24"/>
      <w:szCs w:val="24"/>
      <w:lang w:bidi="en-US"/>
    </w:rPr>
  </w:style>
  <w:style w:type="character" w:customStyle="1" w:styleId="142">
    <w:name w:val="正文文本 2 字符"/>
    <w:basedOn w:val="46"/>
    <w:semiHidden/>
    <w:uiPriority w:val="99"/>
  </w:style>
  <w:style w:type="character" w:customStyle="1" w:styleId="143">
    <w:name w:val="正文文本 2 Char1"/>
    <w:basedOn w:val="46"/>
    <w:semiHidden/>
    <w:uiPriority w:val="99"/>
  </w:style>
  <w:style w:type="paragraph" w:customStyle="1" w:styleId="144">
    <w:name w:val="样式1"/>
    <w:basedOn w:val="2"/>
    <w:next w:val="12"/>
    <w:uiPriority w:val="0"/>
    <w:pPr>
      <w:widowControl/>
      <w:tabs>
        <w:tab w:val="left" w:pos="432"/>
      </w:tabs>
      <w:spacing w:before="240" w:after="240" w:line="360" w:lineRule="auto"/>
      <w:ind w:left="432" w:hanging="432" w:firstLineChars="200"/>
      <w:jc w:val="left"/>
    </w:pPr>
    <w:rPr>
      <w:rFonts w:ascii="Calibri" w:hAnsi="Calibri" w:eastAsia="黑体" w:cs="Times New Roman"/>
      <w:bCs w:val="0"/>
      <w:sz w:val="32"/>
      <w:lang w:bidi="en-US"/>
    </w:rPr>
  </w:style>
  <w:style w:type="character" w:customStyle="1" w:styleId="145">
    <w:name w:val="注释标题 字符"/>
    <w:basedOn w:val="46"/>
    <w:semiHidden/>
    <w:uiPriority w:val="99"/>
  </w:style>
  <w:style w:type="character" w:customStyle="1" w:styleId="146">
    <w:name w:val="注释标题 Char1"/>
    <w:link w:val="12"/>
    <w:semiHidden/>
    <w:qFormat/>
    <w:uiPriority w:val="0"/>
    <w:rPr>
      <w:rFonts w:ascii="Times New Roman" w:hAnsi="Times New Roman" w:eastAsia="宋体" w:cs="Times New Roman"/>
      <w:kern w:val="0"/>
      <w:sz w:val="28"/>
      <w:szCs w:val="24"/>
    </w:rPr>
  </w:style>
  <w:style w:type="paragraph" w:customStyle="1" w:styleId="147">
    <w:name w:val="样式2"/>
    <w:basedOn w:val="28"/>
    <w:next w:val="144"/>
    <w:qFormat/>
    <w:uiPriority w:val="0"/>
    <w:rPr>
      <w:rFonts w:ascii="Times New Roman" w:hAnsi="Times New Roman" w:eastAsia="宋体" w:cs="Times New Roman"/>
      <w:kern w:val="0"/>
    </w:rPr>
  </w:style>
  <w:style w:type="character" w:customStyle="1" w:styleId="148">
    <w:name w:val="批注框文本 Char"/>
    <w:semiHidden/>
    <w:qFormat/>
    <w:uiPriority w:val="99"/>
    <w:rPr>
      <w:rFonts w:ascii="Calibri" w:hAnsi="Calibri" w:eastAsia="宋体" w:cs="Times New Roman"/>
      <w:kern w:val="0"/>
      <w:sz w:val="18"/>
      <w:szCs w:val="18"/>
      <w:lang w:bidi="en-US"/>
    </w:rPr>
  </w:style>
  <w:style w:type="character" w:customStyle="1" w:styleId="149">
    <w:name w:val="批注框文本 Char1"/>
    <w:semiHidden/>
    <w:qFormat/>
    <w:uiPriority w:val="99"/>
    <w:rPr>
      <w:sz w:val="18"/>
      <w:szCs w:val="18"/>
    </w:rPr>
  </w:style>
  <w:style w:type="character" w:customStyle="1" w:styleId="150">
    <w:name w:val="正文首行缩进 2 Char"/>
    <w:link w:val="78"/>
    <w:qFormat/>
    <w:uiPriority w:val="0"/>
    <w:rPr>
      <w:rFonts w:ascii="Calibri" w:hAnsi="Calibri" w:eastAsia="宋体" w:cs="Times New Roman"/>
      <w:kern w:val="0"/>
      <w:sz w:val="24"/>
      <w:szCs w:val="24"/>
      <w:lang w:bidi="en-US"/>
    </w:rPr>
  </w:style>
  <w:style w:type="character" w:customStyle="1" w:styleId="151">
    <w:name w:val="nine2"/>
    <w:basedOn w:val="46"/>
    <w:qFormat/>
    <w:uiPriority w:val="0"/>
  </w:style>
  <w:style w:type="paragraph" w:customStyle="1" w:styleId="152">
    <w:name w:val="表格1"/>
    <w:basedOn w:val="1"/>
    <w:qFormat/>
    <w:uiPriority w:val="0"/>
    <w:pPr>
      <w:wordWrap w:val="0"/>
      <w:spacing w:before="24" w:after="24"/>
      <w:jc w:val="center"/>
    </w:pPr>
    <w:rPr>
      <w:rFonts w:ascii="Times New Roman" w:hAnsi="Times New Roman" w:eastAsia="宋体" w:cs="Times New Roman"/>
      <w:kern w:val="0"/>
      <w:sz w:val="24"/>
      <w:szCs w:val="21"/>
    </w:rPr>
  </w:style>
  <w:style w:type="paragraph" w:customStyle="1" w:styleId="153">
    <w:name w:val="表格2"/>
    <w:basedOn w:val="20"/>
    <w:qFormat/>
    <w:uiPriority w:val="0"/>
    <w:pPr>
      <w:spacing w:before="20" w:after="20" w:line="240" w:lineRule="auto"/>
      <w:ind w:firstLine="0" w:firstLineChars="0"/>
      <w:jc w:val="center"/>
      <w:outlineLvl w:val="0"/>
    </w:pPr>
    <w:rPr>
      <w:rFonts w:ascii="Times New Roman" w:hAnsi="Times New Roman"/>
    </w:rPr>
  </w:style>
  <w:style w:type="paragraph" w:customStyle="1" w:styleId="154">
    <w:name w:val="表头"/>
    <w:basedOn w:val="1"/>
    <w:qFormat/>
    <w:uiPriority w:val="0"/>
    <w:pPr>
      <w:adjustRightInd w:val="0"/>
      <w:snapToGrid w:val="0"/>
      <w:spacing w:before="120" w:after="60"/>
      <w:jc w:val="center"/>
    </w:pPr>
    <w:rPr>
      <w:rFonts w:ascii="Times New Roman" w:hAnsi="Times New Roman" w:eastAsia="宋体" w:cs="Times New Roman"/>
      <w:b/>
      <w:kern w:val="0"/>
      <w:sz w:val="24"/>
      <w:szCs w:val="24"/>
    </w:rPr>
  </w:style>
  <w:style w:type="paragraph" w:customStyle="1" w:styleId="155">
    <w:name w:val="样式 正文首行缩进 + 首行缩进:  2 字符2"/>
    <w:basedOn w:val="42"/>
    <w:qFormat/>
    <w:uiPriority w:val="0"/>
    <w:pPr>
      <w:spacing w:after="0" w:line="460" w:lineRule="exact"/>
      <w:ind w:firstLine="480" w:firstLineChars="200"/>
      <w:jc w:val="left"/>
    </w:pPr>
    <w:rPr>
      <w:rFonts w:ascii="Times New Roman" w:hAnsi="Times New Roman" w:eastAsia="宋体" w:cs="宋体"/>
      <w:kern w:val="0"/>
      <w:sz w:val="24"/>
      <w:szCs w:val="24"/>
    </w:rPr>
  </w:style>
  <w:style w:type="paragraph" w:customStyle="1" w:styleId="156">
    <w:name w:val="xl31"/>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character" w:customStyle="1" w:styleId="157">
    <w:name w:val="样式"/>
    <w:qFormat/>
    <w:uiPriority w:val="0"/>
    <w:rPr>
      <w:rFonts w:eastAsia="宋体"/>
    </w:rPr>
  </w:style>
  <w:style w:type="paragraph" w:customStyle="1" w:styleId="158">
    <w:name w:val="正文文字缩进"/>
    <w:basedOn w:val="1"/>
    <w:qFormat/>
    <w:uiPriority w:val="0"/>
    <w:pPr>
      <w:spacing w:after="120"/>
      <w:ind w:left="420" w:leftChars="200"/>
    </w:pPr>
    <w:rPr>
      <w:rFonts w:ascii="Times New Roman" w:hAnsi="Times New Roman" w:eastAsia="宋体" w:cs="Times New Roman"/>
      <w:kern w:val="0"/>
      <w:sz w:val="28"/>
      <w:szCs w:val="21"/>
    </w:rPr>
  </w:style>
  <w:style w:type="paragraph" w:customStyle="1" w:styleId="159">
    <w:name w:val="样式 正文首行缩进 + 首行缩进:  2 字符1"/>
    <w:basedOn w:val="42"/>
    <w:qFormat/>
    <w:uiPriority w:val="0"/>
    <w:pPr>
      <w:spacing w:after="0" w:line="440" w:lineRule="exact"/>
      <w:ind w:firstLine="480" w:firstLineChars="200"/>
    </w:pPr>
    <w:rPr>
      <w:rFonts w:ascii="宋体" w:hAnsi="宋体" w:eastAsia="宋体" w:cs="Times New Roman"/>
      <w:kern w:val="0"/>
      <w:sz w:val="24"/>
      <w:szCs w:val="20"/>
    </w:rPr>
  </w:style>
  <w:style w:type="paragraph" w:customStyle="1" w:styleId="160">
    <w:name w:val="正文文字 3"/>
    <w:basedOn w:val="1"/>
    <w:qFormat/>
    <w:uiPriority w:val="0"/>
    <w:pPr>
      <w:widowControl/>
      <w:spacing w:after="120" w:line="360" w:lineRule="auto"/>
      <w:ind w:firstLine="200" w:firstLineChars="200"/>
      <w:jc w:val="left"/>
    </w:pPr>
    <w:rPr>
      <w:rFonts w:ascii="Times New Roman" w:hAnsi="Times New Roman" w:eastAsia="宋体" w:cs="Times New Roman"/>
      <w:kern w:val="0"/>
      <w:sz w:val="16"/>
      <w:szCs w:val="16"/>
      <w:lang w:eastAsia="en-US"/>
    </w:rPr>
  </w:style>
  <w:style w:type="paragraph" w:customStyle="1" w:styleId="161">
    <w:name w:val="样式 首行缩进:  0.99 厘米"/>
    <w:basedOn w:val="1"/>
    <w:qFormat/>
    <w:uiPriority w:val="0"/>
    <w:pPr>
      <w:spacing w:line="420" w:lineRule="exact"/>
      <w:ind w:firstLine="567"/>
    </w:pPr>
    <w:rPr>
      <w:rFonts w:ascii="Times New Roman" w:hAnsi="Times New Roman" w:eastAsia="宋体" w:cs="宋体"/>
      <w:kern w:val="0"/>
      <w:sz w:val="24"/>
      <w:szCs w:val="20"/>
    </w:rPr>
  </w:style>
  <w:style w:type="paragraph" w:customStyle="1" w:styleId="162">
    <w:name w:val="图框"/>
    <w:basedOn w:val="3"/>
    <w:qFormat/>
    <w:uiPriority w:val="0"/>
    <w:pPr>
      <w:autoSpaceDE w:val="0"/>
      <w:autoSpaceDN w:val="0"/>
      <w:adjustRightInd w:val="0"/>
      <w:spacing w:before="20" w:after="20" w:line="240" w:lineRule="auto"/>
      <w:jc w:val="center"/>
    </w:pPr>
    <w:rPr>
      <w:rFonts w:eastAsia="宋体" w:cs="Times New Roman"/>
      <w:b w:val="0"/>
      <w:bCs w:val="0"/>
      <w:color w:val="000000"/>
      <w:kern w:val="0"/>
      <w:sz w:val="24"/>
      <w:szCs w:val="20"/>
    </w:rPr>
  </w:style>
  <w:style w:type="paragraph" w:customStyle="1" w:styleId="163">
    <w:name w:val="文本框"/>
    <w:basedOn w:val="1"/>
    <w:qFormat/>
    <w:uiPriority w:val="0"/>
    <w:pPr>
      <w:adjustRightInd w:val="0"/>
      <w:spacing w:before="20" w:after="20"/>
      <w:jc w:val="center"/>
    </w:pPr>
    <w:rPr>
      <w:rFonts w:ascii="Times New Roman" w:hAnsi="Times New Roman" w:eastAsia="宋体" w:cs="Times New Roman"/>
      <w:spacing w:val="20"/>
      <w:kern w:val="0"/>
      <w:sz w:val="24"/>
      <w:szCs w:val="24"/>
    </w:rPr>
  </w:style>
  <w:style w:type="character" w:customStyle="1" w:styleId="164">
    <w:name w:val="样式 标题 3 + 宋体 小四 非加粗 蓝色 Char"/>
    <w:qFormat/>
    <w:uiPriority w:val="0"/>
    <w:rPr>
      <w:rFonts w:ascii="宋体" w:hAnsi="宋体" w:eastAsia="宋体"/>
      <w:b/>
      <w:color w:val="0000FF"/>
      <w:kern w:val="2"/>
      <w:sz w:val="28"/>
      <w:szCs w:val="28"/>
      <w:lang w:val="en-US" w:eastAsia="zh-CN" w:bidi="ar-SA"/>
    </w:rPr>
  </w:style>
  <w:style w:type="paragraph" w:customStyle="1" w:styleId="165">
    <w:name w:val="样式 标题 1 + (符号) 宋体"/>
    <w:basedOn w:val="2"/>
    <w:qFormat/>
    <w:uiPriority w:val="0"/>
    <w:pPr>
      <w:spacing w:before="50" w:beforeLines="50" w:after="50" w:afterLines="50" w:line="240" w:lineRule="auto"/>
    </w:pPr>
    <w:rPr>
      <w:rFonts w:ascii="黑体" w:hAnsi="Arial" w:eastAsia="黑体" w:cs="Times New Roman"/>
      <w:sz w:val="30"/>
      <w:szCs w:val="32"/>
    </w:rPr>
  </w:style>
  <w:style w:type="character" w:customStyle="1" w:styleId="166">
    <w:name w:val="样式 样式 宋体 四号 黑色 + Times New Roman 小四 加粗 自动设置"/>
    <w:uiPriority w:val="0"/>
    <w:rPr>
      <w:rFonts w:ascii="Times New Roman" w:hAnsi="Times New Roman"/>
      <w:b/>
      <w:bCs/>
      <w:color w:val="auto"/>
      <w:sz w:val="28"/>
    </w:rPr>
  </w:style>
  <w:style w:type="paragraph" w:customStyle="1" w:styleId="167">
    <w:name w:val="列表-4"/>
    <w:basedOn w:val="1"/>
    <w:uiPriority w:val="0"/>
    <w:pPr>
      <w:spacing w:line="400" w:lineRule="atLeast"/>
    </w:pPr>
    <w:rPr>
      <w:rFonts w:ascii="Times New Roman" w:hAnsi="Times New Roman" w:eastAsia="宋体" w:cs="Times New Roman"/>
      <w:kern w:val="0"/>
      <w:sz w:val="24"/>
      <w:szCs w:val="20"/>
    </w:rPr>
  </w:style>
  <w:style w:type="paragraph" w:customStyle="1" w:styleId="168">
    <w:name w:val="1"/>
    <w:basedOn w:val="1"/>
    <w:next w:val="13"/>
    <w:uiPriority w:val="0"/>
    <w:pPr>
      <w:spacing w:line="360" w:lineRule="auto"/>
      <w:ind w:firstLine="561"/>
    </w:pPr>
    <w:rPr>
      <w:rFonts w:ascii="Times New Roman" w:hAnsi="Times New Roman" w:eastAsia="宋体" w:cs="Times New Roman"/>
      <w:color w:val="000000"/>
      <w:kern w:val="0"/>
      <w:sz w:val="24"/>
      <w:szCs w:val="28"/>
    </w:rPr>
  </w:style>
  <w:style w:type="paragraph" w:customStyle="1" w:styleId="169">
    <w:name w:val="样式 正文首行缩进 + 首行缩进:  2 字符"/>
    <w:basedOn w:val="42"/>
    <w:uiPriority w:val="0"/>
    <w:pPr>
      <w:spacing w:after="0" w:line="420" w:lineRule="exact"/>
      <w:ind w:firstLine="200" w:firstLineChars="200"/>
      <w:jc w:val="left"/>
    </w:pPr>
    <w:rPr>
      <w:rFonts w:ascii="Times New Roman" w:hAnsi="Times New Roman" w:eastAsia="宋体" w:cs="宋体"/>
      <w:kern w:val="0"/>
      <w:sz w:val="24"/>
      <w:szCs w:val="20"/>
    </w:rPr>
  </w:style>
  <w:style w:type="paragraph" w:customStyle="1" w:styleId="170">
    <w:name w:val="样式 正文首行缩进 + 黑色"/>
    <w:basedOn w:val="42"/>
    <w:uiPriority w:val="0"/>
    <w:pPr>
      <w:spacing w:after="0" w:line="420" w:lineRule="exact"/>
      <w:ind w:firstLine="200" w:firstLineChars="200"/>
      <w:jc w:val="left"/>
    </w:pPr>
    <w:rPr>
      <w:rFonts w:ascii="Times New Roman" w:hAnsi="Times New Roman" w:eastAsia="宋体" w:cs="Times New Roman"/>
      <w:color w:val="000000"/>
      <w:kern w:val="0"/>
      <w:sz w:val="24"/>
      <w:szCs w:val="28"/>
    </w:rPr>
  </w:style>
  <w:style w:type="character" w:customStyle="1" w:styleId="171">
    <w:name w:val="样式 正文首行缩进 + 黑色 Char"/>
    <w:qFormat/>
    <w:uiPriority w:val="0"/>
    <w:rPr>
      <w:rFonts w:ascii="Times New Roman" w:hAnsi="Times New Roman" w:eastAsia="宋体" w:cs="Times New Roman"/>
      <w:color w:val="000000"/>
      <w:kern w:val="2"/>
      <w:sz w:val="24"/>
      <w:szCs w:val="28"/>
      <w:lang w:val="en-US" w:eastAsia="zh-CN" w:bidi="ar-SA"/>
    </w:rPr>
  </w:style>
  <w:style w:type="paragraph" w:customStyle="1" w:styleId="172">
    <w:name w:val="样式 样式 标题 3 + 段前: 1 行 段后: 6 磅 + 段前: 0.1 行 段后: 0.1 行"/>
    <w:basedOn w:val="1"/>
    <w:qFormat/>
    <w:uiPriority w:val="0"/>
    <w:pPr>
      <w:keepNext/>
      <w:keepLines/>
      <w:adjustRightInd w:val="0"/>
      <w:spacing w:before="80" w:beforeLines="80" w:line="360" w:lineRule="auto"/>
      <w:textAlignment w:val="baseline"/>
      <w:outlineLvl w:val="2"/>
    </w:pPr>
    <w:rPr>
      <w:rFonts w:ascii="Times New Roman" w:hAnsi="Times New Roman" w:eastAsia="宋体" w:cs="Times New Roman"/>
      <w:b/>
      <w:bCs/>
      <w:kern w:val="0"/>
      <w:sz w:val="24"/>
      <w:szCs w:val="20"/>
    </w:rPr>
  </w:style>
  <w:style w:type="paragraph" w:customStyle="1" w:styleId="173">
    <w:name w:val="样式 标题 2 + (中文) 宋体 蓝色"/>
    <w:basedOn w:val="3"/>
    <w:qFormat/>
    <w:uiPriority w:val="0"/>
    <w:pPr>
      <w:adjustRightInd w:val="0"/>
      <w:spacing w:before="100" w:beforeAutospacing="1" w:after="0" w:line="360" w:lineRule="auto"/>
      <w:textAlignment w:val="baseline"/>
    </w:pPr>
    <w:rPr>
      <w:rFonts w:ascii="黑体" w:eastAsia="黑体" w:cs="Times New Roman"/>
      <w:sz w:val="30"/>
      <w:szCs w:val="30"/>
    </w:rPr>
  </w:style>
  <w:style w:type="paragraph" w:customStyle="1" w:styleId="174">
    <w:name w:val="表格-01"/>
    <w:basedOn w:val="1"/>
    <w:qFormat/>
    <w:uiPriority w:val="0"/>
    <w:pPr>
      <w:adjustRightInd w:val="0"/>
      <w:spacing w:line="280" w:lineRule="exact"/>
      <w:jc w:val="center"/>
      <w:textAlignment w:val="baseline"/>
    </w:pPr>
    <w:rPr>
      <w:rFonts w:ascii="宋体" w:hAnsi="Times New Roman" w:eastAsia="宋体" w:cs="Times New Roman"/>
      <w:kern w:val="0"/>
      <w:sz w:val="18"/>
      <w:szCs w:val="18"/>
    </w:rPr>
  </w:style>
  <w:style w:type="character" w:customStyle="1" w:styleId="175">
    <w:name w:val="ourfont21"/>
    <w:qFormat/>
    <w:uiPriority w:val="0"/>
    <w:rPr>
      <w:sz w:val="18"/>
      <w:szCs w:val="18"/>
    </w:rPr>
  </w:style>
  <w:style w:type="paragraph" w:customStyle="1" w:styleId="176">
    <w:name w:val="样式 标题 2 + 段后: 3 行"/>
    <w:basedOn w:val="3"/>
    <w:qFormat/>
    <w:uiPriority w:val="0"/>
    <w:pPr>
      <w:spacing w:before="100" w:beforeLines="100" w:after="60" w:afterLines="100" w:line="400" w:lineRule="exact"/>
    </w:pPr>
    <w:rPr>
      <w:rFonts w:eastAsia="宋体" w:cs="宋体"/>
      <w:sz w:val="30"/>
      <w:szCs w:val="20"/>
    </w:rPr>
  </w:style>
  <w:style w:type="paragraph" w:customStyle="1" w:styleId="177">
    <w:name w:val="3"/>
    <w:basedOn w:val="1"/>
    <w:next w:val="13"/>
    <w:qFormat/>
    <w:uiPriority w:val="0"/>
    <w:pPr>
      <w:spacing w:line="360" w:lineRule="auto"/>
      <w:ind w:firstLine="561"/>
    </w:pPr>
    <w:rPr>
      <w:rFonts w:ascii="Times New Roman" w:hAnsi="Times New Roman" w:eastAsia="宋体" w:cs="Times New Roman"/>
      <w:color w:val="000000"/>
      <w:kern w:val="0"/>
      <w:sz w:val="24"/>
      <w:szCs w:val="28"/>
    </w:rPr>
  </w:style>
  <w:style w:type="paragraph" w:customStyle="1" w:styleId="178">
    <w:name w:val="2"/>
    <w:basedOn w:val="1"/>
    <w:next w:val="13"/>
    <w:qFormat/>
    <w:uiPriority w:val="0"/>
    <w:pPr>
      <w:spacing w:line="360" w:lineRule="auto"/>
      <w:ind w:firstLine="561"/>
    </w:pPr>
    <w:rPr>
      <w:rFonts w:ascii="Times New Roman" w:hAnsi="Times New Roman" w:eastAsia="宋体" w:cs="Times New Roman"/>
      <w:color w:val="000000"/>
      <w:kern w:val="0"/>
      <w:sz w:val="24"/>
      <w:szCs w:val="28"/>
    </w:rPr>
  </w:style>
  <w:style w:type="character" w:customStyle="1" w:styleId="179">
    <w:name w:val="样式 宋体 四号 黑色"/>
    <w:qFormat/>
    <w:uiPriority w:val="0"/>
    <w:rPr>
      <w:rFonts w:ascii="宋体" w:hAnsi="宋体"/>
      <w:color w:val="000000"/>
      <w:sz w:val="28"/>
    </w:rPr>
  </w:style>
  <w:style w:type="paragraph" w:customStyle="1" w:styleId="180">
    <w:name w:val="样式1 Char Char"/>
    <w:basedOn w:val="2"/>
    <w:qFormat/>
    <w:uiPriority w:val="0"/>
    <w:pPr>
      <w:tabs>
        <w:tab w:val="left" w:pos="720"/>
      </w:tabs>
      <w:spacing w:before="240" w:after="120" w:line="240" w:lineRule="auto"/>
    </w:pPr>
    <w:rPr>
      <w:rFonts w:eastAsia="黑体" w:cs="Times New Roman"/>
      <w:sz w:val="32"/>
    </w:rPr>
  </w:style>
  <w:style w:type="character" w:customStyle="1" w:styleId="181">
    <w:name w:val="标题 1 Char Char"/>
    <w:qFormat/>
    <w:uiPriority w:val="0"/>
    <w:rPr>
      <w:rFonts w:eastAsia="黑体"/>
      <w:b/>
      <w:bCs/>
      <w:kern w:val="44"/>
      <w:sz w:val="32"/>
      <w:szCs w:val="44"/>
      <w:lang w:val="en-US" w:eastAsia="zh-CN" w:bidi="ar-SA"/>
    </w:rPr>
  </w:style>
  <w:style w:type="character" w:customStyle="1" w:styleId="182">
    <w:name w:val="样式1 Char Char Char"/>
    <w:qFormat/>
    <w:uiPriority w:val="0"/>
    <w:rPr>
      <w:rFonts w:eastAsia="黑体"/>
      <w:b/>
      <w:bCs/>
      <w:kern w:val="44"/>
      <w:sz w:val="32"/>
      <w:szCs w:val="44"/>
      <w:lang w:val="en-US" w:eastAsia="zh-CN" w:bidi="ar-SA"/>
    </w:rPr>
  </w:style>
  <w:style w:type="paragraph" w:customStyle="1" w:styleId="183">
    <w:name w:val="样式 标题 1 + 小三 黑色 Char"/>
    <w:basedOn w:val="2"/>
    <w:qFormat/>
    <w:uiPriority w:val="0"/>
    <w:pPr>
      <w:tabs>
        <w:tab w:val="left" w:pos="720"/>
      </w:tabs>
      <w:spacing w:before="240" w:after="120" w:line="240" w:lineRule="auto"/>
    </w:pPr>
    <w:rPr>
      <w:rFonts w:eastAsia="黑体" w:cs="Times New Roman"/>
      <w:color w:val="000000"/>
      <w:sz w:val="30"/>
    </w:rPr>
  </w:style>
  <w:style w:type="character" w:customStyle="1" w:styleId="184">
    <w:name w:val="样式 标题 1 + 小三 黑色 Char Char"/>
    <w:qFormat/>
    <w:uiPriority w:val="0"/>
    <w:rPr>
      <w:rFonts w:eastAsia="黑体"/>
      <w:b/>
      <w:bCs/>
      <w:color w:val="000000"/>
      <w:kern w:val="44"/>
      <w:sz w:val="30"/>
      <w:szCs w:val="44"/>
      <w:lang w:val="en-US" w:eastAsia="zh-CN" w:bidi="ar-SA"/>
    </w:rPr>
  </w:style>
  <w:style w:type="paragraph" w:customStyle="1" w:styleId="185">
    <w:name w:val="正文文字-01"/>
    <w:basedOn w:val="1"/>
    <w:uiPriority w:val="0"/>
    <w:pPr>
      <w:adjustRightInd w:val="0"/>
      <w:spacing w:line="500" w:lineRule="exact"/>
      <w:ind w:firstLine="454" w:firstLineChars="200"/>
      <w:textAlignment w:val="baseline"/>
    </w:pPr>
    <w:rPr>
      <w:rFonts w:ascii="Times New Roman" w:hAnsi="Times New Roman" w:eastAsia="宋体" w:cs="Times New Roman"/>
      <w:kern w:val="0"/>
      <w:sz w:val="24"/>
      <w:szCs w:val="20"/>
    </w:rPr>
  </w:style>
  <w:style w:type="paragraph" w:customStyle="1" w:styleId="186">
    <w:name w:val="正文2"/>
    <w:basedOn w:val="1"/>
    <w:uiPriority w:val="0"/>
    <w:pPr>
      <w:tabs>
        <w:tab w:val="left" w:pos="720"/>
      </w:tabs>
      <w:adjustRightInd w:val="0"/>
      <w:spacing w:line="360" w:lineRule="auto"/>
      <w:ind w:left="720" w:hanging="720" w:firstLineChars="200"/>
      <w:textAlignment w:val="baseline"/>
    </w:pPr>
    <w:rPr>
      <w:rFonts w:ascii="Times New Roman" w:hAnsi="Times New Roman" w:eastAsia="仿宋_GB2312" w:cs="Times New Roman"/>
      <w:kern w:val="0"/>
      <w:sz w:val="28"/>
      <w:szCs w:val="20"/>
    </w:rPr>
  </w:style>
  <w:style w:type="paragraph" w:customStyle="1" w:styleId="187">
    <w:name w:val="样式3 Char Char"/>
    <w:basedOn w:val="180"/>
    <w:qFormat/>
    <w:uiPriority w:val="0"/>
    <w:pPr>
      <w:keepNext w:val="0"/>
      <w:keepLines w:val="0"/>
      <w:tabs>
        <w:tab w:val="clear" w:pos="720"/>
      </w:tabs>
      <w:adjustRightInd w:val="0"/>
      <w:snapToGrid w:val="0"/>
      <w:spacing w:before="0" w:after="0"/>
      <w:jc w:val="center"/>
      <w:outlineLvl w:val="9"/>
    </w:pPr>
    <w:rPr>
      <w:sz w:val="18"/>
    </w:rPr>
  </w:style>
  <w:style w:type="character" w:customStyle="1" w:styleId="188">
    <w:name w:val="样式3 Char Char Char"/>
    <w:qFormat/>
    <w:uiPriority w:val="0"/>
    <w:rPr>
      <w:rFonts w:eastAsia="黑体"/>
      <w:b/>
      <w:bCs/>
      <w:kern w:val="44"/>
      <w:sz w:val="18"/>
      <w:szCs w:val="44"/>
      <w:lang w:val="en-US" w:eastAsia="zh-CN" w:bidi="ar-SA"/>
    </w:rPr>
  </w:style>
  <w:style w:type="paragraph" w:customStyle="1" w:styleId="189">
    <w:name w:val="样式3"/>
    <w:basedOn w:val="144"/>
    <w:qFormat/>
    <w:uiPriority w:val="0"/>
    <w:pPr>
      <w:keepNext w:val="0"/>
      <w:keepLines w:val="0"/>
      <w:widowControl w:val="0"/>
      <w:tabs>
        <w:tab w:val="clear" w:pos="432"/>
      </w:tabs>
      <w:adjustRightInd w:val="0"/>
      <w:snapToGrid w:val="0"/>
      <w:spacing w:before="0" w:after="0" w:line="240" w:lineRule="auto"/>
      <w:ind w:left="0" w:firstLine="0" w:firstLineChars="0"/>
      <w:jc w:val="center"/>
      <w:outlineLvl w:val="9"/>
    </w:pPr>
    <w:rPr>
      <w:rFonts w:ascii="Times New Roman" w:hAnsi="Times New Roman"/>
      <w:bCs/>
      <w:sz w:val="18"/>
      <w:lang w:bidi="ar-SA"/>
    </w:rPr>
  </w:style>
  <w:style w:type="character" w:customStyle="1" w:styleId="190">
    <w:name w:val="表头 Char"/>
    <w:qFormat/>
    <w:uiPriority w:val="0"/>
    <w:rPr>
      <w:rFonts w:eastAsia="宋体"/>
      <w:b/>
      <w:kern w:val="2"/>
      <w:sz w:val="24"/>
      <w:szCs w:val="24"/>
      <w:lang w:val="en-US" w:eastAsia="zh-CN" w:bidi="ar-SA"/>
    </w:rPr>
  </w:style>
  <w:style w:type="paragraph" w:customStyle="1" w:styleId="191">
    <w:name w:val="样式 表格2 + 宋体 五号"/>
    <w:basedOn w:val="153"/>
    <w:qFormat/>
    <w:uiPriority w:val="0"/>
    <w:rPr>
      <w:spacing w:val="1"/>
      <w:sz w:val="21"/>
      <w:szCs w:val="21"/>
    </w:rPr>
  </w:style>
  <w:style w:type="character" w:customStyle="1" w:styleId="192">
    <w:name w:val="表格2 Char"/>
    <w:qFormat/>
    <w:uiPriority w:val="0"/>
    <w:rPr>
      <w:rFonts w:ascii="仿宋_GB2312" w:hAnsi="Times New Roman" w:eastAsia="宋体" w:cs="Times New Roman"/>
      <w:kern w:val="2"/>
      <w:sz w:val="24"/>
      <w:szCs w:val="24"/>
      <w:lang w:val="en-US" w:eastAsia="zh-CN" w:bidi="ar-SA"/>
    </w:rPr>
  </w:style>
  <w:style w:type="character" w:customStyle="1" w:styleId="193">
    <w:name w:val="样式 表格2 + 宋体 五号 Char"/>
    <w:qFormat/>
    <w:uiPriority w:val="0"/>
    <w:rPr>
      <w:rFonts w:ascii="仿宋_GB2312" w:hAnsi="Times New Roman" w:eastAsia="宋体" w:cs="Times New Roman"/>
      <w:spacing w:val="1"/>
      <w:kern w:val="2"/>
      <w:sz w:val="21"/>
      <w:szCs w:val="21"/>
      <w:lang w:val="en-US" w:eastAsia="zh-CN" w:bidi="ar-SA"/>
    </w:rPr>
  </w:style>
  <w:style w:type="paragraph" w:customStyle="1" w:styleId="194">
    <w:name w:val="报告正文"/>
    <w:basedOn w:val="1"/>
    <w:link w:val="195"/>
    <w:qFormat/>
    <w:uiPriority w:val="0"/>
    <w:pPr>
      <w:spacing w:line="360" w:lineRule="auto"/>
      <w:ind w:firstLine="200" w:firstLineChars="200"/>
    </w:pPr>
    <w:rPr>
      <w:rFonts w:ascii="宋体" w:hAnsi="宋体" w:eastAsia="宋体" w:cs="仿宋_GB2312"/>
      <w:kern w:val="0"/>
      <w:sz w:val="24"/>
      <w:szCs w:val="24"/>
    </w:rPr>
  </w:style>
  <w:style w:type="character" w:customStyle="1" w:styleId="195">
    <w:name w:val="报告正文 Char"/>
    <w:link w:val="194"/>
    <w:qFormat/>
    <w:uiPriority w:val="0"/>
    <w:rPr>
      <w:rFonts w:ascii="宋体" w:hAnsi="宋体" w:eastAsia="宋体" w:cs="仿宋_GB2312"/>
      <w:kern w:val="0"/>
      <w:sz w:val="24"/>
      <w:szCs w:val="24"/>
    </w:rPr>
  </w:style>
  <w:style w:type="paragraph" w:customStyle="1" w:styleId="196">
    <w:name w:val="PLOT"/>
    <w:basedOn w:val="1"/>
    <w:link w:val="197"/>
    <w:qFormat/>
    <w:uiPriority w:val="0"/>
    <w:pPr>
      <w:spacing w:line="360" w:lineRule="auto"/>
      <w:jc w:val="center"/>
    </w:pPr>
    <w:rPr>
      <w:rFonts w:ascii="宋体" w:hAnsi="宋体" w:eastAsia="宋体" w:cs="仿宋_GB2312"/>
      <w:b/>
      <w:kern w:val="0"/>
      <w:sz w:val="28"/>
      <w:szCs w:val="24"/>
    </w:rPr>
  </w:style>
  <w:style w:type="character" w:customStyle="1" w:styleId="197">
    <w:name w:val="PLOT Char"/>
    <w:link w:val="196"/>
    <w:qFormat/>
    <w:uiPriority w:val="0"/>
    <w:rPr>
      <w:rFonts w:ascii="宋体" w:hAnsi="宋体" w:eastAsia="宋体" w:cs="仿宋_GB2312"/>
      <w:b/>
      <w:kern w:val="0"/>
      <w:sz w:val="28"/>
      <w:szCs w:val="24"/>
    </w:rPr>
  </w:style>
  <w:style w:type="paragraph" w:customStyle="1" w:styleId="198">
    <w:name w:val="节1.2"/>
    <w:basedOn w:val="1"/>
    <w:qFormat/>
    <w:uiPriority w:val="0"/>
    <w:pPr>
      <w:autoSpaceDE w:val="0"/>
      <w:autoSpaceDN w:val="0"/>
      <w:adjustRightInd w:val="0"/>
      <w:spacing w:line="360" w:lineRule="auto"/>
      <w:outlineLvl w:val="1"/>
    </w:pPr>
    <w:rPr>
      <w:rFonts w:ascii="宋体" w:hAnsi="宋体" w:eastAsia="宋体" w:cs="仿宋_GB2312"/>
      <w:b/>
      <w:kern w:val="0"/>
      <w:sz w:val="24"/>
      <w:szCs w:val="24"/>
    </w:rPr>
  </w:style>
  <w:style w:type="paragraph" w:customStyle="1" w:styleId="199">
    <w:name w:val="TableHead"/>
    <w:basedOn w:val="19"/>
    <w:link w:val="200"/>
    <w:qFormat/>
    <w:uiPriority w:val="0"/>
    <w:pPr>
      <w:spacing w:after="0"/>
      <w:jc w:val="center"/>
    </w:pPr>
    <w:rPr>
      <w:rFonts w:ascii="宋体" w:hAnsi="宋体" w:cs="楷体_GB2312"/>
      <w:b/>
      <w:bCs/>
      <w:sz w:val="21"/>
    </w:rPr>
  </w:style>
  <w:style w:type="character" w:customStyle="1" w:styleId="200">
    <w:name w:val="TableHead Char"/>
    <w:link w:val="199"/>
    <w:qFormat/>
    <w:uiPriority w:val="0"/>
    <w:rPr>
      <w:rFonts w:ascii="宋体" w:hAnsi="宋体" w:eastAsia="宋体" w:cs="楷体_GB2312"/>
      <w:b/>
      <w:bCs/>
      <w:kern w:val="0"/>
      <w:szCs w:val="24"/>
    </w:rPr>
  </w:style>
  <w:style w:type="paragraph" w:customStyle="1" w:styleId="201">
    <w:name w:val="节1.2.3"/>
    <w:basedOn w:val="1"/>
    <w:qFormat/>
    <w:uiPriority w:val="0"/>
    <w:pPr>
      <w:autoSpaceDE w:val="0"/>
      <w:autoSpaceDN w:val="0"/>
      <w:adjustRightInd w:val="0"/>
      <w:spacing w:line="360" w:lineRule="auto"/>
      <w:outlineLvl w:val="2"/>
    </w:pPr>
    <w:rPr>
      <w:rFonts w:ascii="宋体" w:hAnsi="宋体" w:eastAsia="宋体" w:cs="仿宋_GB2312"/>
      <w:b/>
      <w:kern w:val="0"/>
      <w:sz w:val="24"/>
      <w:szCs w:val="24"/>
    </w:rPr>
  </w:style>
  <w:style w:type="paragraph" w:customStyle="1" w:styleId="202">
    <w:name w:val="Decimal Aligned"/>
    <w:basedOn w:val="1"/>
    <w:qFormat/>
    <w:uiPriority w:val="0"/>
    <w:pPr>
      <w:widowControl/>
      <w:tabs>
        <w:tab w:val="decimal" w:pos="360"/>
      </w:tabs>
      <w:spacing w:after="200" w:line="276" w:lineRule="auto"/>
      <w:jc w:val="left"/>
    </w:pPr>
    <w:rPr>
      <w:rFonts w:ascii="Calibri" w:hAnsi="Calibri" w:eastAsia="宋体" w:cs="Times New Roman"/>
      <w:kern w:val="0"/>
      <w:sz w:val="22"/>
      <w:szCs w:val="28"/>
    </w:rPr>
  </w:style>
  <w:style w:type="character" w:customStyle="1" w:styleId="203">
    <w:name w:val="脚注文本 字符"/>
    <w:basedOn w:val="46"/>
    <w:semiHidden/>
    <w:uiPriority w:val="99"/>
    <w:rPr>
      <w:sz w:val="18"/>
      <w:szCs w:val="18"/>
    </w:rPr>
  </w:style>
  <w:style w:type="character" w:customStyle="1" w:styleId="204">
    <w:name w:val="脚注文本 Char1"/>
    <w:link w:val="33"/>
    <w:uiPriority w:val="0"/>
    <w:rPr>
      <w:rFonts w:ascii="Calibri" w:hAnsi="Calibri" w:eastAsia="宋体" w:cs="Times New Roman"/>
      <w:kern w:val="0"/>
      <w:sz w:val="20"/>
      <w:szCs w:val="20"/>
    </w:rPr>
  </w:style>
  <w:style w:type="paragraph" w:customStyle="1" w:styleId="205">
    <w:name w:val="普通文字"/>
    <w:basedOn w:val="1"/>
    <w:qFormat/>
    <w:uiPriority w:val="0"/>
    <w:rPr>
      <w:rFonts w:ascii="宋体" w:hAnsi="Courier New" w:eastAsia="宋体" w:cs="宋体"/>
      <w:kern w:val="0"/>
      <w:sz w:val="28"/>
      <w:szCs w:val="28"/>
    </w:rPr>
  </w:style>
  <w:style w:type="paragraph" w:customStyle="1" w:styleId="206">
    <w:name w:val="copyright"/>
    <w:basedOn w:val="1"/>
    <w:qFormat/>
    <w:uiPriority w:val="0"/>
    <w:pPr>
      <w:widowControl/>
      <w:spacing w:before="100" w:beforeAutospacing="1" w:after="100" w:afterAutospacing="1" w:line="360" w:lineRule="auto"/>
      <w:jc w:val="left"/>
    </w:pPr>
    <w:rPr>
      <w:rFonts w:ascii="仿宋_GB2312" w:hAnsi="Times New Roman" w:eastAsia="宋体" w:cs="Times New Roman"/>
      <w:color w:val="000000"/>
      <w:kern w:val="0"/>
      <w:sz w:val="24"/>
      <w:szCs w:val="24"/>
    </w:rPr>
  </w:style>
  <w:style w:type="character" w:customStyle="1" w:styleId="207">
    <w:name w:val="copyright1"/>
    <w:qFormat/>
    <w:uiPriority w:val="0"/>
    <w:rPr>
      <w:rFonts w:hint="default"/>
      <w:color w:val="000000"/>
    </w:rPr>
  </w:style>
  <w:style w:type="paragraph" w:customStyle="1" w:styleId="208">
    <w:name w:val="表"/>
    <w:basedOn w:val="1"/>
    <w:link w:val="209"/>
    <w:qFormat/>
    <w:uiPriority w:val="0"/>
    <w:pPr>
      <w:adjustRightInd w:val="0"/>
      <w:spacing w:before="50" w:after="50" w:line="240" w:lineRule="atLeast"/>
      <w:jc w:val="left"/>
      <w:textAlignment w:val="baseline"/>
    </w:pPr>
    <w:rPr>
      <w:rFonts w:ascii="Times New Roman" w:hAnsi="Times New Roman" w:eastAsia="宋体" w:cs="Times New Roman"/>
      <w:kern w:val="0"/>
      <w:sz w:val="15"/>
      <w:szCs w:val="24"/>
    </w:rPr>
  </w:style>
  <w:style w:type="character" w:customStyle="1" w:styleId="209">
    <w:name w:val="表 Char"/>
    <w:link w:val="208"/>
    <w:qFormat/>
    <w:uiPriority w:val="0"/>
    <w:rPr>
      <w:rFonts w:ascii="Times New Roman" w:hAnsi="Times New Roman" w:eastAsia="宋体" w:cs="Times New Roman"/>
      <w:kern w:val="0"/>
      <w:sz w:val="15"/>
      <w:szCs w:val="24"/>
    </w:rPr>
  </w:style>
  <w:style w:type="paragraph" w:customStyle="1" w:styleId="210">
    <w:name w:val="表中文字（小四）"/>
    <w:basedOn w:val="1"/>
    <w:qFormat/>
    <w:uiPriority w:val="0"/>
    <w:pPr>
      <w:jc w:val="center"/>
    </w:pPr>
    <w:rPr>
      <w:rFonts w:ascii="Times New Roman" w:hAnsi="Times New Roman" w:eastAsia="宋体" w:cs="Times New Roman"/>
      <w:kern w:val="0"/>
      <w:sz w:val="24"/>
      <w:szCs w:val="18"/>
    </w:rPr>
  </w:style>
  <w:style w:type="paragraph" w:customStyle="1" w:styleId="211">
    <w:name w:val="表中文字（左对齐）"/>
    <w:basedOn w:val="1"/>
    <w:qFormat/>
    <w:uiPriority w:val="0"/>
    <w:pPr>
      <w:jc w:val="left"/>
    </w:pPr>
    <w:rPr>
      <w:rFonts w:ascii="Times New Roman" w:hAnsi="Times New Roman" w:eastAsia="宋体" w:cs="Times New Roman"/>
      <w:kern w:val="0"/>
      <w:sz w:val="18"/>
      <w:szCs w:val="18"/>
    </w:rPr>
  </w:style>
  <w:style w:type="character" w:customStyle="1" w:styleId="212">
    <w:name w:val="apple-style-span"/>
    <w:basedOn w:val="46"/>
    <w:uiPriority w:val="0"/>
  </w:style>
  <w:style w:type="paragraph" w:customStyle="1" w:styleId="213">
    <w:name w:val="Char Char Char Char Char Char Char Char Char Char Char Char Char Char Char Char Char Char Char Char Char Char Char Char Char"/>
    <w:basedOn w:val="1"/>
    <w:semiHidden/>
    <w:uiPriority w:val="0"/>
    <w:rPr>
      <w:rFonts w:ascii="Times New Roman" w:hAnsi="Times New Roman" w:eastAsia="宋体" w:cs="Times New Roman"/>
      <w:kern w:val="0"/>
      <w:sz w:val="28"/>
      <w:szCs w:val="24"/>
    </w:rPr>
  </w:style>
  <w:style w:type="character" w:customStyle="1" w:styleId="214">
    <w:name w:val="批注文字 字符1"/>
    <w:qFormat/>
    <w:uiPriority w:val="99"/>
    <w:rPr>
      <w:rFonts w:ascii="仿宋_GB2312" w:hAnsi="Times New Roman" w:eastAsia="仿宋_GB2312" w:cs="Times New Roman"/>
      <w:kern w:val="0"/>
      <w:sz w:val="24"/>
      <w:szCs w:val="24"/>
    </w:rPr>
  </w:style>
  <w:style w:type="character" w:customStyle="1" w:styleId="215">
    <w:name w:val="批注主题 字符1"/>
    <w:semiHidden/>
    <w:uiPriority w:val="99"/>
    <w:rPr>
      <w:rFonts w:ascii="仿宋_GB2312" w:hAnsi="Times New Roman" w:eastAsia="仿宋_GB2312" w:cs="Times New Roman"/>
      <w:b/>
      <w:bCs/>
      <w:kern w:val="0"/>
      <w:sz w:val="24"/>
      <w:szCs w:val="24"/>
    </w:rPr>
  </w:style>
  <w:style w:type="character" w:styleId="216">
    <w:name w:val="Placeholder Text"/>
    <w:semiHidden/>
    <w:qFormat/>
    <w:uiPriority w:val="99"/>
    <w:rPr>
      <w:color w:val="808080"/>
    </w:rPr>
  </w:style>
  <w:style w:type="table" w:customStyle="1" w:styleId="217">
    <w:name w:val="网格型2"/>
    <w:basedOn w:val="44"/>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18">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19">
    <w:name w:val="font6"/>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220">
    <w:name w:val="font7"/>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21">
    <w:name w:val="font8"/>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22">
    <w:name w:val="font9"/>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223">
    <w:name w:val="font10"/>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24">
    <w:name w:val="font11"/>
    <w:basedOn w:val="1"/>
    <w:uiPriority w:val="0"/>
    <w:pPr>
      <w:widowControl/>
      <w:spacing w:before="100" w:beforeAutospacing="1" w:after="100" w:afterAutospacing="1"/>
      <w:jc w:val="left"/>
    </w:pPr>
    <w:rPr>
      <w:rFonts w:ascii="Times New Roman" w:hAnsi="Times New Roman" w:eastAsia="宋体" w:cs="Times New Roman"/>
      <w:kern w:val="0"/>
      <w:sz w:val="20"/>
      <w:szCs w:val="20"/>
    </w:rPr>
  </w:style>
  <w:style w:type="paragraph" w:customStyle="1" w:styleId="225">
    <w:name w:val="font12"/>
    <w:basedOn w:val="1"/>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226">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27">
    <w:name w:val="xl6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28">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29">
    <w:name w:val="xl6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230">
    <w:name w:val="xl6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231">
    <w:name w:val="xl7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eastAsia="宋体" w:cs="Times New Roman"/>
      <w:kern w:val="0"/>
      <w:sz w:val="20"/>
      <w:szCs w:val="20"/>
    </w:rPr>
  </w:style>
  <w:style w:type="paragraph" w:customStyle="1" w:styleId="232">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33">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eastAsia="宋体" w:cs="Times New Roman"/>
      <w:kern w:val="0"/>
      <w:sz w:val="20"/>
      <w:szCs w:val="20"/>
    </w:rPr>
  </w:style>
  <w:style w:type="paragraph" w:customStyle="1" w:styleId="234">
    <w:name w:val="xl73"/>
    <w:basedOn w:val="1"/>
    <w:qFormat/>
    <w:uiPriority w:val="0"/>
    <w:pPr>
      <w:widowControl/>
      <w:shd w:val="clear" w:color="000000" w:fill="FFFFFF"/>
      <w:spacing w:before="100" w:beforeAutospacing="1" w:after="100" w:afterAutospacing="1"/>
      <w:jc w:val="center"/>
    </w:pPr>
    <w:rPr>
      <w:rFonts w:ascii="Times New Roman" w:hAnsi="Times New Roman" w:eastAsia="宋体" w:cs="Times New Roman"/>
      <w:kern w:val="0"/>
      <w:sz w:val="24"/>
      <w:szCs w:val="24"/>
    </w:rPr>
  </w:style>
  <w:style w:type="paragraph" w:customStyle="1" w:styleId="235">
    <w:name w:val="xl74"/>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36">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237">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238">
    <w:name w:val="xl77"/>
    <w:basedOn w:val="1"/>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39">
    <w:name w:val="xl78"/>
    <w:basedOn w:val="1"/>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40">
    <w:name w:val="xl79"/>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FF0000"/>
      <w:kern w:val="0"/>
      <w:sz w:val="20"/>
      <w:szCs w:val="20"/>
    </w:rPr>
  </w:style>
  <w:style w:type="paragraph" w:customStyle="1" w:styleId="241">
    <w:name w:val="xl8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eastAsia="宋体" w:cs="Times New Roman"/>
      <w:color w:val="FF0000"/>
      <w:kern w:val="0"/>
      <w:sz w:val="20"/>
      <w:szCs w:val="20"/>
    </w:rPr>
  </w:style>
  <w:style w:type="table" w:customStyle="1" w:styleId="242">
    <w:name w:val="网格型1"/>
    <w:basedOn w:val="44"/>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43">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44">
    <w:name w:val="xl10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45">
    <w:name w:val="xl10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46">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47">
    <w:name w:val="xl111"/>
    <w:basedOn w:val="1"/>
    <w:uiPriority w:val="0"/>
    <w:pPr>
      <w:widowControl/>
      <w:spacing w:before="100" w:beforeAutospacing="1" w:after="100" w:afterAutospacing="1"/>
      <w:jc w:val="left"/>
    </w:pPr>
    <w:rPr>
      <w:rFonts w:ascii="宋体" w:hAnsi="宋体" w:eastAsia="宋体" w:cs="宋体"/>
      <w:b/>
      <w:bCs/>
      <w:kern w:val="0"/>
      <w:sz w:val="24"/>
      <w:szCs w:val="24"/>
    </w:rPr>
  </w:style>
  <w:style w:type="paragraph" w:customStyle="1" w:styleId="248">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24"/>
      <w:szCs w:val="24"/>
    </w:rPr>
  </w:style>
  <w:style w:type="paragraph" w:customStyle="1" w:styleId="249">
    <w:name w:val="xl11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24"/>
      <w:szCs w:val="24"/>
    </w:rPr>
  </w:style>
  <w:style w:type="paragraph" w:customStyle="1" w:styleId="250">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1">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2">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3">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4">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5">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6">
    <w:name w:val="xl12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7">
    <w:name w:val="xl12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8">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59">
    <w:name w:val="xl12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60">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FF0000"/>
      <w:kern w:val="0"/>
      <w:sz w:val="24"/>
      <w:szCs w:val="24"/>
    </w:rPr>
  </w:style>
  <w:style w:type="paragraph" w:customStyle="1" w:styleId="261">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2">
    <w:name w:val="xl12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3">
    <w:name w:val="xl12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64">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5">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6">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267">
    <w:name w:val="xl13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68">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269">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270">
    <w:name w:val="xl134"/>
    <w:basedOn w:val="1"/>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71">
    <w:name w:val="xl135"/>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72">
    <w:name w:val="xl136"/>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73">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74">
    <w:name w:val="xl6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75">
    <w:name w:val="HTML Top of Form"/>
    <w:basedOn w:val="1"/>
    <w:next w:val="1"/>
    <w:link w:val="277"/>
    <w:semiHidden/>
    <w:unhideWhenUsed/>
    <w:uiPriority w:val="99"/>
    <w:pPr>
      <w:widowControl/>
      <w:pBdr>
        <w:bottom w:val="single" w:color="auto" w:sz="6" w:space="1"/>
      </w:pBdr>
      <w:jc w:val="center"/>
    </w:pPr>
    <w:rPr>
      <w:rFonts w:ascii="Arial" w:hAnsi="Arial" w:eastAsia="宋体" w:cs="Arial"/>
      <w:vanish/>
      <w:kern w:val="0"/>
      <w:sz w:val="16"/>
      <w:szCs w:val="16"/>
    </w:rPr>
  </w:style>
  <w:style w:type="character" w:customStyle="1" w:styleId="276">
    <w:name w:val="z-窗体顶端 字符"/>
    <w:basedOn w:val="46"/>
    <w:semiHidden/>
    <w:qFormat/>
    <w:uiPriority w:val="99"/>
    <w:rPr>
      <w:rFonts w:ascii="Arial" w:hAnsi="Arial" w:cs="Arial"/>
      <w:vanish/>
      <w:sz w:val="16"/>
      <w:szCs w:val="16"/>
    </w:rPr>
  </w:style>
  <w:style w:type="character" w:customStyle="1" w:styleId="277">
    <w:name w:val="z-窗体顶端 Char1"/>
    <w:link w:val="275"/>
    <w:semiHidden/>
    <w:uiPriority w:val="99"/>
    <w:rPr>
      <w:rFonts w:ascii="Arial" w:hAnsi="Arial" w:eastAsia="宋体" w:cs="Arial"/>
      <w:vanish/>
      <w:kern w:val="0"/>
      <w:sz w:val="16"/>
      <w:szCs w:val="16"/>
    </w:rPr>
  </w:style>
  <w:style w:type="paragraph" w:customStyle="1" w:styleId="278">
    <w:name w:val="HTML Bottom of Form"/>
    <w:basedOn w:val="1"/>
    <w:next w:val="1"/>
    <w:link w:val="280"/>
    <w:unhideWhenUsed/>
    <w:qFormat/>
    <w:uiPriority w:val="99"/>
    <w:pPr>
      <w:widowControl/>
      <w:pBdr>
        <w:top w:val="single" w:color="auto" w:sz="6" w:space="1"/>
      </w:pBdr>
      <w:jc w:val="center"/>
    </w:pPr>
    <w:rPr>
      <w:rFonts w:ascii="Arial" w:hAnsi="Arial" w:eastAsia="宋体" w:cs="Arial"/>
      <w:vanish/>
      <w:kern w:val="0"/>
      <w:sz w:val="16"/>
      <w:szCs w:val="16"/>
    </w:rPr>
  </w:style>
  <w:style w:type="character" w:customStyle="1" w:styleId="279">
    <w:name w:val="z-窗体底端 字符"/>
    <w:basedOn w:val="46"/>
    <w:semiHidden/>
    <w:qFormat/>
    <w:uiPriority w:val="99"/>
    <w:rPr>
      <w:rFonts w:ascii="Arial" w:hAnsi="Arial" w:cs="Arial"/>
      <w:vanish/>
      <w:sz w:val="16"/>
      <w:szCs w:val="16"/>
    </w:rPr>
  </w:style>
  <w:style w:type="character" w:customStyle="1" w:styleId="280">
    <w:name w:val="z-窗体底端 Char1"/>
    <w:link w:val="278"/>
    <w:uiPriority w:val="99"/>
    <w:rPr>
      <w:rFonts w:ascii="Arial" w:hAnsi="Arial" w:eastAsia="宋体" w:cs="Arial"/>
      <w:vanish/>
      <w:kern w:val="0"/>
      <w:sz w:val="16"/>
      <w:szCs w:val="16"/>
    </w:rPr>
  </w:style>
  <w:style w:type="paragraph" w:customStyle="1" w:styleId="281">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2">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3">
    <w:name w:val="xl83"/>
    <w:basedOn w:val="1"/>
    <w:qFormat/>
    <w:uiPriority w:val="0"/>
    <w:pPr>
      <w:widowControl/>
      <w:pBdr>
        <w:top w:val="single" w:color="auto" w:sz="4" w:space="0"/>
        <w:left w:val="single" w:color="auto" w:sz="4" w:space="0"/>
        <w:bottom w:val="single" w:color="auto" w:sz="4" w:space="0"/>
        <w:right w:val="double" w:color="auto" w:sz="6"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84">
    <w:name w:val="xl84"/>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85">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6">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87">
    <w:name w:val="xl87"/>
    <w:basedOn w:val="1"/>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8">
    <w:name w:val="xl8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9">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0">
    <w:name w:val="xl9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FF0000"/>
      <w:kern w:val="0"/>
      <w:sz w:val="24"/>
      <w:szCs w:val="24"/>
    </w:rPr>
  </w:style>
  <w:style w:type="paragraph" w:customStyle="1" w:styleId="291">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2">
    <w:name w:val="xl9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3">
    <w:name w:val="xl93"/>
    <w:basedOn w:val="1"/>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94">
    <w:name w:val="xl9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5">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6">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7">
    <w:name w:val="xl9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8">
    <w:name w:val="xl9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9">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0">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1">
    <w:name w:val="xl10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2">
    <w:name w:val="xl102"/>
    <w:basedOn w:val="1"/>
    <w:uiPriority w:val="0"/>
    <w:pPr>
      <w:widowControl/>
      <w:pBdr>
        <w:top w:val="single" w:color="auto" w:sz="4" w:space="0"/>
        <w:left w:val="double" w:color="auto" w:sz="6"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303">
    <w:name w:val="xl103"/>
    <w:basedOn w:val="1"/>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304">
    <w:name w:val="xl104"/>
    <w:basedOn w:val="1"/>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5">
    <w:name w:val="xl105"/>
    <w:basedOn w:val="1"/>
    <w:uiPriority w:val="0"/>
    <w:pPr>
      <w:widowControl/>
      <w:pBdr>
        <w:top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6">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7">
    <w:name w:val="xl137"/>
    <w:basedOn w:val="1"/>
    <w:uiPriority w:val="0"/>
    <w:pPr>
      <w:widowControl/>
      <w:pBdr>
        <w:top w:val="double" w:color="auto" w:sz="6"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308">
    <w:name w:val="xl138"/>
    <w:basedOn w:val="1"/>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宋体" w:hAnsi="宋体" w:eastAsia="宋体" w:cs="宋体"/>
      <w:color w:val="00B050"/>
      <w:kern w:val="0"/>
      <w:sz w:val="24"/>
      <w:szCs w:val="24"/>
    </w:rPr>
  </w:style>
  <w:style w:type="paragraph" w:customStyle="1" w:styleId="309">
    <w:name w:val="xl13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color w:val="00B050"/>
      <w:kern w:val="0"/>
      <w:sz w:val="24"/>
      <w:szCs w:val="24"/>
    </w:rPr>
  </w:style>
  <w:style w:type="paragraph" w:customStyle="1" w:styleId="310">
    <w:name w:val="xl140"/>
    <w:basedOn w:val="1"/>
    <w:qFormat/>
    <w:uiPriority w:val="0"/>
    <w:pPr>
      <w:widowControl/>
      <w:pBdr>
        <w:top w:val="double" w:color="auto" w:sz="6" w:space="0"/>
        <w:left w:val="double" w:color="auto" w:sz="6"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11">
    <w:name w:val="xl141"/>
    <w:basedOn w:val="1"/>
    <w:qFormat/>
    <w:uiPriority w:val="0"/>
    <w:pPr>
      <w:widowControl/>
      <w:pBdr>
        <w:top w:val="double" w:color="auto" w:sz="6"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12">
    <w:name w:val="xl142"/>
    <w:basedOn w:val="1"/>
    <w:uiPriority w:val="0"/>
    <w:pPr>
      <w:widowControl/>
      <w:pBdr>
        <w:top w:val="double" w:color="auto" w:sz="6"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8000"/>
      <w:kern w:val="0"/>
      <w:sz w:val="24"/>
      <w:szCs w:val="24"/>
    </w:rPr>
  </w:style>
  <w:style w:type="paragraph" w:customStyle="1" w:styleId="313">
    <w:name w:val="font13"/>
    <w:basedOn w:val="1"/>
    <w:qFormat/>
    <w:uiPriority w:val="0"/>
    <w:pPr>
      <w:widowControl/>
      <w:spacing w:before="100" w:beforeAutospacing="1" w:after="100" w:afterAutospacing="1"/>
      <w:jc w:val="left"/>
    </w:pPr>
    <w:rPr>
      <w:rFonts w:ascii="宋体" w:hAnsi="宋体" w:eastAsia="宋体" w:cs="宋体"/>
      <w:b/>
      <w:bCs/>
      <w:kern w:val="0"/>
      <w:sz w:val="22"/>
      <w:szCs w:val="28"/>
    </w:rPr>
  </w:style>
  <w:style w:type="paragraph" w:customStyle="1" w:styleId="314">
    <w:name w:val="font14"/>
    <w:basedOn w:val="1"/>
    <w:qFormat/>
    <w:uiPriority w:val="0"/>
    <w:pPr>
      <w:widowControl/>
      <w:spacing w:before="100" w:beforeAutospacing="1" w:after="100" w:afterAutospacing="1"/>
      <w:jc w:val="left"/>
    </w:pPr>
    <w:rPr>
      <w:rFonts w:ascii="宋体" w:hAnsi="宋体" w:eastAsia="宋体" w:cs="宋体"/>
      <w:kern w:val="0"/>
      <w:sz w:val="22"/>
      <w:szCs w:val="28"/>
    </w:rPr>
  </w:style>
  <w:style w:type="character" w:customStyle="1" w:styleId="315">
    <w:name w:val="正文首行缩进 Char2"/>
    <w:basedOn w:val="127"/>
    <w:link w:val="42"/>
    <w:semiHidden/>
    <w:qFormat/>
    <w:uiPriority w:val="99"/>
  </w:style>
  <w:style w:type="character" w:customStyle="1" w:styleId="316">
    <w:name w:val="正文首行缩进 2 Char1"/>
    <w:basedOn w:val="98"/>
    <w:link w:val="43"/>
    <w:semiHidden/>
    <w:qFormat/>
    <w:uiPriority w:val="99"/>
  </w:style>
  <w:style w:type="character" w:customStyle="1" w:styleId="317">
    <w:name w:val="标题 5 Char"/>
    <w:uiPriority w:val="0"/>
    <w:rPr>
      <w:rFonts w:ascii="Calibri" w:hAnsi="Calibri" w:eastAsia="宋体" w:cs="Times New Roman"/>
      <w:b/>
      <w:bCs/>
      <w:i/>
      <w:iCs/>
      <w:kern w:val="0"/>
      <w:sz w:val="26"/>
      <w:szCs w:val="26"/>
      <w:lang w:bidi="en-US"/>
    </w:rPr>
  </w:style>
  <w:style w:type="character" w:customStyle="1" w:styleId="318">
    <w:name w:val="标题 6 Char"/>
    <w:uiPriority w:val="0"/>
    <w:rPr>
      <w:rFonts w:ascii="Calibri" w:hAnsi="Calibri" w:eastAsia="宋体" w:cs="Times New Roman"/>
      <w:b/>
      <w:bCs/>
      <w:kern w:val="0"/>
      <w:sz w:val="22"/>
      <w:lang w:bidi="en-US"/>
    </w:rPr>
  </w:style>
  <w:style w:type="character" w:customStyle="1" w:styleId="319">
    <w:name w:val="标题 7 Char"/>
    <w:qFormat/>
    <w:uiPriority w:val="0"/>
    <w:rPr>
      <w:rFonts w:ascii="Calibri" w:hAnsi="Calibri" w:eastAsia="宋体" w:cs="Times New Roman"/>
      <w:kern w:val="0"/>
      <w:sz w:val="24"/>
      <w:szCs w:val="24"/>
      <w:lang w:bidi="en-US"/>
    </w:rPr>
  </w:style>
  <w:style w:type="character" w:customStyle="1" w:styleId="320">
    <w:name w:val="标题 8 Char"/>
    <w:uiPriority w:val="0"/>
    <w:rPr>
      <w:rFonts w:ascii="Calibri" w:hAnsi="Calibri" w:eastAsia="宋体" w:cs="Times New Roman"/>
      <w:i/>
      <w:iCs/>
      <w:kern w:val="0"/>
      <w:sz w:val="24"/>
      <w:szCs w:val="24"/>
      <w:lang w:bidi="en-US"/>
    </w:rPr>
  </w:style>
  <w:style w:type="character" w:customStyle="1" w:styleId="321">
    <w:name w:val="标题 9 Char"/>
    <w:qFormat/>
    <w:uiPriority w:val="0"/>
    <w:rPr>
      <w:rFonts w:ascii="Cambria" w:hAnsi="Cambria" w:eastAsia="宋体" w:cs="Times New Roman"/>
      <w:kern w:val="0"/>
      <w:sz w:val="22"/>
      <w:lang w:bidi="en-US"/>
    </w:rPr>
  </w:style>
  <w:style w:type="character" w:customStyle="1" w:styleId="322">
    <w:name w:val="文档结构图 Char"/>
    <w:semiHidden/>
    <w:qFormat/>
    <w:uiPriority w:val="0"/>
    <w:rPr>
      <w:rFonts w:ascii="仿宋_GB2312" w:hAnsi="Times New Roman" w:eastAsia="仿宋_GB2312" w:cs="Times New Roman"/>
      <w:kern w:val="0"/>
      <w:sz w:val="24"/>
      <w:szCs w:val="24"/>
      <w:shd w:val="clear" w:color="auto" w:fill="000080"/>
    </w:rPr>
  </w:style>
  <w:style w:type="character" w:customStyle="1" w:styleId="323">
    <w:name w:val="正文文本缩进 Char1"/>
    <w:uiPriority w:val="0"/>
    <w:rPr>
      <w:rFonts w:ascii="宋体" w:hAnsi="宋体" w:eastAsia="宋体" w:cs="Times New Roman"/>
      <w:sz w:val="24"/>
      <w:szCs w:val="24"/>
    </w:rPr>
  </w:style>
  <w:style w:type="character" w:customStyle="1" w:styleId="324">
    <w:name w:val="标题 Char"/>
    <w:qFormat/>
    <w:uiPriority w:val="0"/>
    <w:rPr>
      <w:rFonts w:ascii="Cambria" w:hAnsi="Cambria" w:eastAsia="宋体" w:cs="Times New Roman"/>
      <w:b/>
      <w:bCs/>
      <w:kern w:val="28"/>
      <w:sz w:val="32"/>
      <w:szCs w:val="32"/>
      <w:lang w:bidi="en-US"/>
    </w:rPr>
  </w:style>
  <w:style w:type="character" w:customStyle="1" w:styleId="325">
    <w:name w:val="副标题 Char"/>
    <w:qFormat/>
    <w:uiPriority w:val="0"/>
    <w:rPr>
      <w:rFonts w:ascii="Cambria" w:hAnsi="Cambria" w:eastAsia="宋体" w:cs="Times New Roman"/>
      <w:kern w:val="0"/>
      <w:sz w:val="24"/>
      <w:szCs w:val="24"/>
      <w:lang w:bidi="en-US"/>
    </w:rPr>
  </w:style>
  <w:style w:type="character" w:customStyle="1" w:styleId="326">
    <w:name w:val="无间隔 Char"/>
    <w:qFormat/>
    <w:uiPriority w:val="0"/>
    <w:rPr>
      <w:rFonts w:ascii="Calibri" w:hAnsi="Calibri" w:eastAsia="宋体" w:cs="Times New Roman"/>
      <w:kern w:val="0"/>
      <w:sz w:val="24"/>
      <w:szCs w:val="24"/>
      <w:lang w:bidi="en-US"/>
    </w:rPr>
  </w:style>
  <w:style w:type="character" w:customStyle="1" w:styleId="327">
    <w:name w:val="引用 Char"/>
    <w:qFormat/>
    <w:uiPriority w:val="0"/>
    <w:rPr>
      <w:rFonts w:ascii="Calibri" w:hAnsi="Calibri" w:eastAsia="宋体" w:cs="Times New Roman"/>
      <w:i/>
      <w:kern w:val="0"/>
      <w:sz w:val="24"/>
      <w:szCs w:val="24"/>
      <w:lang w:bidi="en-US"/>
    </w:rPr>
  </w:style>
  <w:style w:type="character" w:customStyle="1" w:styleId="328">
    <w:name w:val="明显引用 Char"/>
    <w:qFormat/>
    <w:uiPriority w:val="0"/>
    <w:rPr>
      <w:rFonts w:ascii="Calibri" w:hAnsi="Calibri" w:eastAsia="宋体" w:cs="Times New Roman"/>
      <w:b/>
      <w:i/>
      <w:kern w:val="0"/>
      <w:sz w:val="24"/>
      <w:lang w:bidi="en-US"/>
    </w:rPr>
  </w:style>
  <w:style w:type="character" w:customStyle="1" w:styleId="329">
    <w:name w:val="纯文本 Char"/>
    <w:qFormat/>
    <w:uiPriority w:val="0"/>
    <w:rPr>
      <w:rFonts w:ascii="宋体" w:hAnsi="Courier New" w:eastAsia="宋体" w:cs="Courier New"/>
      <w:sz w:val="28"/>
      <w:szCs w:val="21"/>
    </w:rPr>
  </w:style>
  <w:style w:type="character" w:customStyle="1" w:styleId="330">
    <w:name w:val="正文文本 Char"/>
    <w:qFormat/>
    <w:uiPriority w:val="0"/>
    <w:rPr>
      <w:rFonts w:ascii="Times New Roman" w:hAnsi="Times New Roman" w:eastAsia="宋体" w:cs="Times New Roman"/>
      <w:sz w:val="24"/>
      <w:szCs w:val="24"/>
    </w:rPr>
  </w:style>
  <w:style w:type="character" w:customStyle="1" w:styleId="331">
    <w:name w:val="正文文本 3 Char"/>
    <w:semiHidden/>
    <w:qFormat/>
    <w:uiPriority w:val="0"/>
    <w:rPr>
      <w:rFonts w:ascii="Calibri" w:hAnsi="Calibri" w:eastAsia="宋体" w:cs="Times New Roman"/>
      <w:kern w:val="0"/>
      <w:sz w:val="16"/>
      <w:szCs w:val="16"/>
      <w:lang w:bidi="en-US"/>
    </w:rPr>
  </w:style>
  <w:style w:type="character" w:customStyle="1" w:styleId="332">
    <w:name w:val="正文文本缩进 3 Char"/>
    <w:semiHidden/>
    <w:qFormat/>
    <w:uiPriority w:val="0"/>
    <w:rPr>
      <w:rFonts w:ascii="Calibri" w:hAnsi="Calibri" w:eastAsia="宋体" w:cs="Times New Roman"/>
      <w:kern w:val="0"/>
      <w:sz w:val="16"/>
      <w:szCs w:val="16"/>
      <w:lang w:bidi="en-US"/>
    </w:rPr>
  </w:style>
  <w:style w:type="character" w:customStyle="1" w:styleId="333">
    <w:name w:val="正文文本缩进 2 Char"/>
    <w:semiHidden/>
    <w:qFormat/>
    <w:uiPriority w:val="0"/>
    <w:rPr>
      <w:rFonts w:ascii="Times New Roman" w:hAnsi="Times New Roman" w:eastAsia="宋体" w:cs="Times New Roman"/>
      <w:sz w:val="28"/>
      <w:szCs w:val="24"/>
    </w:rPr>
  </w:style>
  <w:style w:type="character" w:customStyle="1" w:styleId="334">
    <w:name w:val="正文文本 2 Char"/>
    <w:semiHidden/>
    <w:qFormat/>
    <w:uiPriority w:val="0"/>
    <w:rPr>
      <w:rFonts w:ascii="Calibri" w:hAnsi="Calibri" w:eastAsia="宋体" w:cs="Times New Roman"/>
      <w:kern w:val="0"/>
      <w:sz w:val="24"/>
      <w:szCs w:val="24"/>
      <w:lang w:bidi="en-US"/>
    </w:rPr>
  </w:style>
  <w:style w:type="character" w:customStyle="1" w:styleId="335">
    <w:name w:val="注释标题 Char"/>
    <w:semiHidden/>
    <w:qFormat/>
    <w:uiPriority w:val="0"/>
    <w:rPr>
      <w:rFonts w:ascii="Times New Roman" w:hAnsi="Times New Roman" w:eastAsia="宋体" w:cs="Times New Roman"/>
      <w:sz w:val="28"/>
      <w:szCs w:val="24"/>
    </w:rPr>
  </w:style>
  <w:style w:type="character" w:customStyle="1" w:styleId="336">
    <w:name w:val="脚注文本 Char"/>
    <w:qFormat/>
    <w:uiPriority w:val="0"/>
    <w:rPr>
      <w:rFonts w:ascii="Calibri" w:hAnsi="Calibri" w:eastAsia="宋体" w:cs="Times New Roman"/>
      <w:kern w:val="0"/>
      <w:sz w:val="20"/>
      <w:szCs w:val="20"/>
    </w:rPr>
  </w:style>
  <w:style w:type="character" w:customStyle="1" w:styleId="337">
    <w:name w:val="批注文字 Char"/>
    <w:semiHidden/>
    <w:qFormat/>
    <w:uiPriority w:val="99"/>
    <w:rPr>
      <w:rFonts w:ascii="仿宋_GB2312" w:hAnsi="Times New Roman" w:eastAsia="仿宋_GB2312" w:cs="Times New Roman"/>
      <w:kern w:val="0"/>
      <w:sz w:val="24"/>
      <w:szCs w:val="24"/>
    </w:rPr>
  </w:style>
  <w:style w:type="character" w:customStyle="1" w:styleId="338">
    <w:name w:val="批注主题 Char"/>
    <w:semiHidden/>
    <w:qFormat/>
    <w:uiPriority w:val="99"/>
    <w:rPr>
      <w:rFonts w:ascii="仿宋_GB2312" w:hAnsi="Times New Roman" w:eastAsia="仿宋_GB2312" w:cs="Times New Roman"/>
      <w:b/>
      <w:bCs/>
      <w:kern w:val="0"/>
      <w:sz w:val="24"/>
      <w:szCs w:val="24"/>
    </w:rPr>
  </w:style>
  <w:style w:type="character" w:customStyle="1" w:styleId="339">
    <w:name w:val="z-窗体顶端 Char"/>
    <w:semiHidden/>
    <w:qFormat/>
    <w:uiPriority w:val="99"/>
    <w:rPr>
      <w:rFonts w:ascii="Arial" w:hAnsi="Arial" w:eastAsia="宋体" w:cs="Arial"/>
      <w:vanish/>
      <w:kern w:val="0"/>
      <w:sz w:val="16"/>
      <w:szCs w:val="16"/>
    </w:rPr>
  </w:style>
  <w:style w:type="character" w:customStyle="1" w:styleId="340">
    <w:name w:val="z-窗体底端 Char"/>
    <w:qFormat/>
    <w:uiPriority w:val="99"/>
    <w:rPr>
      <w:rFonts w:ascii="Arial" w:hAnsi="Arial" w:eastAsia="宋体" w:cs="Arial"/>
      <w:vanish/>
      <w:kern w:val="0"/>
      <w:sz w:val="16"/>
      <w:szCs w:val="16"/>
    </w:rPr>
  </w:style>
  <w:style w:type="character" w:customStyle="1" w:styleId="341">
    <w:name w:val="未处理的提及1"/>
    <w:basedOn w:val="46"/>
    <w:semiHidden/>
    <w:unhideWhenUsed/>
    <w:qFormat/>
    <w:uiPriority w:val="99"/>
    <w:rPr>
      <w:color w:val="605E5C"/>
      <w:shd w:val="clear" w:color="auto" w:fill="E1DFDD"/>
    </w:rPr>
  </w:style>
  <w:style w:type="character" w:customStyle="1" w:styleId="342">
    <w:name w:val="未处理的提及2"/>
    <w:basedOn w:val="46"/>
    <w:semiHidden/>
    <w:unhideWhenUsed/>
    <w:qFormat/>
    <w:uiPriority w:val="99"/>
    <w:rPr>
      <w:color w:val="605E5C"/>
      <w:shd w:val="clear" w:color="auto" w:fill="E1DFDD"/>
    </w:rPr>
  </w:style>
  <w:style w:type="paragraph" w:customStyle="1" w:styleId="343">
    <w:name w:val="Char Char Char1"/>
    <w:basedOn w:val="1"/>
    <w:semiHidden/>
    <w:qFormat/>
    <w:uiPriority w:val="0"/>
    <w:rPr>
      <w:rFonts w:ascii="Times New Roman" w:hAnsi="Times New Roman" w:eastAsia="宋体" w:cs="Times New Roman"/>
      <w:szCs w:val="24"/>
    </w:rPr>
  </w:style>
  <w:style w:type="character" w:customStyle="1" w:styleId="344">
    <w:name w:val="批注文字 字符"/>
    <w:basedOn w:val="46"/>
    <w:qFormat/>
    <w:uiPriority w:val="99"/>
  </w:style>
  <w:style w:type="character" w:customStyle="1" w:styleId="345">
    <w:name w:val="批注主题 字符"/>
    <w:basedOn w:val="344"/>
    <w:semiHidden/>
    <w:qFormat/>
    <w:uiPriority w:val="99"/>
    <w:rPr>
      <w:b/>
      <w:bCs/>
    </w:rPr>
  </w:style>
  <w:style w:type="paragraph" w:customStyle="1" w:styleId="346">
    <w:name w:val="4"/>
    <w:basedOn w:val="1"/>
    <w:next w:val="1"/>
    <w:qFormat/>
    <w:uiPriority w:val="39"/>
    <w:pPr>
      <w:spacing w:line="360" w:lineRule="auto"/>
      <w:ind w:left="240" w:firstLine="200" w:firstLineChars="200"/>
      <w:jc w:val="left"/>
    </w:pPr>
    <w:rPr>
      <w:rFonts w:ascii="Times New Roman" w:hAnsi="Times New Roman" w:eastAsia="仿宋_GB2312" w:cs="Times New Roman"/>
      <w:smallCaps/>
      <w:kern w:val="0"/>
      <w:sz w:val="20"/>
      <w:szCs w:val="20"/>
    </w:rPr>
  </w:style>
  <w:style w:type="character" w:customStyle="1" w:styleId="347">
    <w:name w:val="未处理的提及3"/>
    <w:basedOn w:val="46"/>
    <w:semiHidden/>
    <w:unhideWhenUsed/>
    <w:qFormat/>
    <w:uiPriority w:val="99"/>
    <w:rPr>
      <w:color w:val="605E5C"/>
      <w:shd w:val="clear" w:color="auto" w:fill="E1DFDD"/>
    </w:rPr>
  </w:style>
  <w:style w:type="character" w:customStyle="1" w:styleId="348">
    <w:name w:val="未处理的提及4"/>
    <w:basedOn w:val="46"/>
    <w:semiHidden/>
    <w:unhideWhenUsed/>
    <w:qFormat/>
    <w:uiPriority w:val="99"/>
    <w:rPr>
      <w:color w:val="605E5C"/>
      <w:shd w:val="clear" w:color="auto" w:fill="E1DFDD"/>
    </w:rPr>
  </w:style>
  <w:style w:type="paragraph" w:customStyle="1" w:styleId="349">
    <w:name w:val="段"/>
    <w:basedOn w:val="1"/>
    <w:link w:val="351"/>
    <w:qFormat/>
    <w:uiPriority w:val="0"/>
    <w:pPr>
      <w:adjustRightInd w:val="0"/>
      <w:spacing w:line="440" w:lineRule="exact"/>
      <w:ind w:firstLine="560" w:firstLineChars="200"/>
      <w:textAlignment w:val="baseline"/>
    </w:pPr>
    <w:rPr>
      <w:rFonts w:ascii="Times New Roman" w:hAnsi="Times New Roman" w:eastAsia="宋体" w:cs="Times New Roman"/>
      <w:kern w:val="0"/>
      <w:sz w:val="28"/>
      <w:szCs w:val="28"/>
    </w:rPr>
  </w:style>
  <w:style w:type="paragraph" w:customStyle="1" w:styleId="350">
    <w:name w:val="Char Char Char Char Char Char Char"/>
    <w:basedOn w:val="1"/>
    <w:semiHidden/>
    <w:qFormat/>
    <w:uiPriority w:val="0"/>
    <w:pPr>
      <w:jc w:val="left"/>
    </w:pPr>
    <w:rPr>
      <w:rFonts w:ascii="宋体" w:hAnsi="宋体" w:eastAsia="宋体" w:cs="宋体"/>
      <w:kern w:val="0"/>
      <w:sz w:val="24"/>
      <w:szCs w:val="24"/>
    </w:rPr>
  </w:style>
  <w:style w:type="character" w:customStyle="1" w:styleId="351">
    <w:name w:val="段 Char1"/>
    <w:basedOn w:val="46"/>
    <w:link w:val="349"/>
    <w:qFormat/>
    <w:uiPriority w:val="0"/>
    <w:rPr>
      <w:rFonts w:ascii="Times New Roman" w:hAnsi="Times New Roman" w:eastAsia="宋体" w:cs="Times New Roman"/>
      <w:kern w:val="0"/>
      <w:sz w:val="28"/>
      <w:szCs w:val="28"/>
    </w:rPr>
  </w:style>
  <w:style w:type="character" w:customStyle="1" w:styleId="352">
    <w:name w:val="未处理的提及5"/>
    <w:basedOn w:val="46"/>
    <w:semiHidden/>
    <w:unhideWhenUsed/>
    <w:qFormat/>
    <w:uiPriority w:val="99"/>
    <w:rPr>
      <w:color w:val="605E5C"/>
      <w:shd w:val="clear" w:color="auto" w:fill="E1DFDD"/>
    </w:rPr>
  </w:style>
  <w:style w:type="character" w:customStyle="1" w:styleId="353">
    <w:name w:val="未处理的提及6"/>
    <w:basedOn w:val="46"/>
    <w:semiHidden/>
    <w:unhideWhenUsed/>
    <w:qFormat/>
    <w:uiPriority w:val="99"/>
    <w:rPr>
      <w:color w:val="605E5C"/>
      <w:shd w:val="clear" w:color="auto" w:fill="E1DFDD"/>
    </w:rPr>
  </w:style>
  <w:style w:type="table" w:customStyle="1" w:styleId="354">
    <w:name w:val="网格型3"/>
    <w:basedOn w:val="4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table" w:customStyle="1" w:styleId="355">
    <w:name w:val="网格型21"/>
    <w:basedOn w:val="44"/>
    <w:qFormat/>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6">
    <w:name w:val="网格型11"/>
    <w:basedOn w:val="44"/>
    <w:qFormat/>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jpeg"/><Relationship Id="rId21" Type="http://schemas.openxmlformats.org/officeDocument/2006/relationships/image" Target="media/image10.emf"/><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image" Target="media/image7.emf"/><Relationship Id="rId17" Type="http://schemas.openxmlformats.org/officeDocument/2006/relationships/image" Target="media/image6.emf"/><Relationship Id="rId16" Type="http://schemas.openxmlformats.org/officeDocument/2006/relationships/image" Target="media/image5.wmf"/><Relationship Id="rId15" Type="http://schemas.openxmlformats.org/officeDocument/2006/relationships/oleObject" Target="embeddings/oleObject2.bin"/><Relationship Id="rId14" Type="http://schemas.openxmlformats.org/officeDocument/2006/relationships/image" Target="media/image4.wmf"/><Relationship Id="rId13" Type="http://schemas.openxmlformats.org/officeDocument/2006/relationships/oleObject" Target="embeddings/oleObject1.bin"/><Relationship Id="rId12" Type="http://schemas.openxmlformats.org/officeDocument/2006/relationships/image" Target="media/image3.jpeg"/><Relationship Id="rId11" Type="http://schemas.openxmlformats.org/officeDocument/2006/relationships/image" Target="media/image2.e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E1E5BA-35AE-4DAB-82DD-84B586D3986E}">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Pages>
  <Words>7481</Words>
  <Characters>42643</Characters>
  <Lines>355</Lines>
  <Paragraphs>100</Paragraphs>
  <TotalTime>96</TotalTime>
  <ScaleCrop>false</ScaleCrop>
  <LinksUpToDate>false</LinksUpToDate>
  <CharactersWithSpaces>50024</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2019-12-17T06:20:00Z</dcterms:created>
  <dc:creator>Administrator</dc:creator>
  <cp:lastModifiedBy>ynfyzfb</cp:lastModifiedBy>
  <cp:lastPrinted>2019-09-29T02:51:00Z</cp:lastPrinted>
  <dcterms:modified xsi:type="dcterms:W3CDTF">2020-11-05T09:37:57Z</dcterms:modified>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ies>
</file>