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880" w:firstLineChars="200"/>
        <w:jc w:val="center"/>
        <w:rPr>
          <w:rFonts w:hint="eastAsia" w:ascii="仿宋_GB2312" w:hAnsi="仿宋_GB2312" w:eastAsia="仿宋_GB2312" w:cs="仿宋_GB2312"/>
          <w:b/>
          <w:bCs/>
          <w:i w:val="0"/>
          <w:caps w:val="0"/>
          <w:color w:val="000000"/>
          <w:spacing w:val="0"/>
          <w:kern w:val="0"/>
          <w:sz w:val="44"/>
          <w:szCs w:val="44"/>
          <w:shd w:val="clear" w:fill="FFFFFF"/>
          <w:lang w:val="en-US" w:eastAsia="zh-CN" w:bidi="ar"/>
        </w:rPr>
      </w:pPr>
      <w:r>
        <w:rPr>
          <w:rFonts w:hint="eastAsia" w:ascii="黑体" w:hAnsi="黑体" w:eastAsia="黑体"/>
          <w:color w:val="000000" w:themeColor="text1"/>
          <w:sz w:val="44"/>
          <w:szCs w:val="44"/>
          <w14:textFill>
            <w14:solidFill>
              <w14:schemeClr w14:val="tx1"/>
            </w14:solidFill>
          </w14:textFill>
        </w:rPr>
        <w:t>曲靖市</w:t>
      </w:r>
      <w:r>
        <w:rPr>
          <w:rFonts w:ascii="黑体" w:hAnsi="黑体" w:eastAsia="黑体"/>
          <w:color w:val="000000" w:themeColor="text1"/>
          <w:sz w:val="44"/>
          <w:szCs w:val="44"/>
          <w14:textFill>
            <w14:solidFill>
              <w14:schemeClr w14:val="tx1"/>
            </w14:solidFill>
          </w14:textFill>
        </w:rPr>
        <w:t>富源县</w:t>
      </w:r>
      <w:r>
        <w:rPr>
          <w:rFonts w:hint="eastAsia" w:ascii="黑体" w:hAnsi="黑体" w:eastAsia="黑体"/>
          <w:color w:val="000000" w:themeColor="text1"/>
          <w:sz w:val="44"/>
          <w:szCs w:val="44"/>
          <w14:textFill>
            <w14:solidFill>
              <w14:schemeClr w14:val="tx1"/>
            </w14:solidFill>
          </w14:textFill>
        </w:rPr>
        <w:t>黄泥河镇海子头饮用水水源保护</w:t>
      </w:r>
      <w:r>
        <w:rPr>
          <w:rFonts w:hint="eastAsia" w:ascii="仿宋_GB2312" w:hAnsi="仿宋_GB2312" w:eastAsia="仿宋_GB2312" w:cs="仿宋_GB2312"/>
          <w:b/>
          <w:bCs/>
          <w:color w:val="000000" w:themeColor="text1"/>
          <w:sz w:val="44"/>
          <w:szCs w:val="44"/>
          <w:lang w:eastAsia="zh-CN"/>
          <w14:textFill>
            <w14:solidFill>
              <w14:schemeClr w14:val="tx1"/>
            </w14:solidFill>
          </w14:textFill>
        </w:rPr>
        <w:t>区</w:t>
      </w:r>
      <w:r>
        <w:rPr>
          <w:rFonts w:hint="eastAsia" w:ascii="仿宋_GB2312" w:hAnsi="仿宋_GB2312" w:eastAsia="仿宋_GB2312" w:cs="仿宋_GB2312"/>
          <w:b/>
          <w:bCs/>
          <w:i w:val="0"/>
          <w:caps w:val="0"/>
          <w:color w:val="000000"/>
          <w:spacing w:val="0"/>
          <w:kern w:val="0"/>
          <w:sz w:val="44"/>
          <w:szCs w:val="44"/>
          <w:shd w:val="clear" w:fill="FFFFFF"/>
          <w:lang w:val="en-US" w:eastAsia="zh-CN" w:bidi="ar"/>
        </w:rPr>
        <w:t>划定方案</w:t>
      </w:r>
    </w:p>
    <w:p>
      <w:pPr>
        <w:spacing w:line="360" w:lineRule="auto"/>
        <w:ind w:firstLine="883" w:firstLineChars="200"/>
        <w:jc w:val="center"/>
        <w:rPr>
          <w:rFonts w:hint="eastAsia" w:ascii="仿宋_GB2312" w:hAnsi="仿宋_GB2312" w:eastAsia="仿宋_GB2312" w:cs="仿宋_GB2312"/>
          <w:b/>
          <w:bCs/>
          <w:i w:val="0"/>
          <w:caps w:val="0"/>
          <w:color w:val="000000"/>
          <w:spacing w:val="0"/>
          <w:kern w:val="0"/>
          <w:sz w:val="44"/>
          <w:szCs w:val="44"/>
          <w:shd w:val="clear" w:fill="FFFFFF"/>
          <w:lang w:val="en-US" w:eastAsia="zh-CN" w:bidi="ar"/>
        </w:rPr>
      </w:pPr>
      <w:bookmarkStart w:id="0" w:name="_GoBack"/>
      <w:bookmarkEnd w:id="0"/>
    </w:p>
    <w:p>
      <w:pPr>
        <w:spacing w:line="360" w:lineRule="auto"/>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根据</w:t>
      </w:r>
      <w:r>
        <w:rPr>
          <w:rFonts w:hint="eastAsia" w:ascii="Times New Roman" w:hAnsi="Times New Roman" w:cs="Times New Roman"/>
          <w:color w:val="000000" w:themeColor="text1"/>
          <w:sz w:val="28"/>
          <w:szCs w:val="28"/>
          <w14:textFill>
            <w14:solidFill>
              <w14:schemeClr w14:val="tx1"/>
            </w14:solidFill>
          </w14:textFill>
        </w:rPr>
        <w:t>《云南省饮用水水源地环境保护工作的方案》</w:t>
      </w:r>
      <w:r>
        <w:rPr>
          <w:rFonts w:ascii="Times New Roman" w:hAnsi="Times New Roman" w:cs="Times New Roman"/>
          <w:color w:val="000000" w:themeColor="text1"/>
          <w:sz w:val="28"/>
          <w:szCs w:val="28"/>
          <w14:textFill>
            <w14:solidFill>
              <w14:schemeClr w14:val="tx1"/>
            </w14:solidFill>
          </w14:textFill>
        </w:rPr>
        <w:t>工作要求，</w:t>
      </w:r>
      <w:r>
        <w:rPr>
          <w:rFonts w:hint="eastAsia" w:ascii="Times New Roman" w:hAnsi="Times New Roman" w:cs="Times New Roman"/>
          <w:color w:val="000000" w:themeColor="text1"/>
          <w:sz w:val="28"/>
          <w:szCs w:val="28"/>
          <w14:textFill>
            <w14:solidFill>
              <w14:schemeClr w14:val="tx1"/>
            </w14:solidFill>
          </w14:textFill>
        </w:rPr>
        <w:t>依据</w:t>
      </w:r>
      <w:r>
        <w:rPr>
          <w:rFonts w:ascii="Times New Roman" w:hAnsi="Times New Roman" w:cs="Times New Roman"/>
          <w:color w:val="000000" w:themeColor="text1"/>
          <w:sz w:val="28"/>
          <w:szCs w:val="28"/>
          <w14:textFill>
            <w14:solidFill>
              <w14:schemeClr w14:val="tx1"/>
            </w14:solidFill>
          </w14:textFill>
        </w:rPr>
        <w:t>《饮用水水源保护区划分技术规范》（HJ 338-2018），</w:t>
      </w:r>
      <w:r>
        <w:rPr>
          <w:rFonts w:hint="eastAsia" w:ascii="Times New Roman" w:hAnsi="Times New Roman" w:cs="Times New Roman"/>
          <w:color w:val="000000" w:themeColor="text1"/>
          <w:sz w:val="28"/>
          <w:szCs w:val="28"/>
          <w14:textFill>
            <w14:solidFill>
              <w14:schemeClr w14:val="tx1"/>
            </w14:solidFill>
          </w14:textFill>
        </w:rPr>
        <w:t>曲靖市</w:t>
      </w:r>
      <w:r>
        <w:rPr>
          <w:rFonts w:ascii="Times New Roman" w:hAnsi="Times New Roman" w:cs="Times New Roman"/>
          <w:color w:val="000000" w:themeColor="text1"/>
          <w:sz w:val="28"/>
          <w:szCs w:val="28"/>
          <w14:textFill>
            <w14:solidFill>
              <w14:schemeClr w14:val="tx1"/>
            </w14:solidFill>
          </w14:textFill>
        </w:rPr>
        <w:t>生态环境局</w:t>
      </w:r>
      <w:r>
        <w:rPr>
          <w:rFonts w:hint="eastAsia" w:ascii="Times New Roman" w:hAnsi="Times New Roman" w:cs="Times New Roman"/>
          <w:color w:val="000000" w:themeColor="text1"/>
          <w:sz w:val="28"/>
          <w:szCs w:val="28"/>
          <w14:textFill>
            <w14:solidFill>
              <w14:schemeClr w14:val="tx1"/>
            </w14:solidFill>
          </w14:textFill>
        </w:rPr>
        <w:t>富源</w:t>
      </w:r>
      <w:r>
        <w:rPr>
          <w:rFonts w:ascii="Times New Roman" w:hAnsi="Times New Roman" w:cs="Times New Roman"/>
          <w:color w:val="000000" w:themeColor="text1"/>
          <w:sz w:val="28"/>
          <w:szCs w:val="28"/>
          <w14:textFill>
            <w14:solidFill>
              <w14:schemeClr w14:val="tx1"/>
            </w14:solidFill>
          </w14:textFill>
        </w:rPr>
        <w:t>分局委托云南新世纪环境保护科学研究院有限公司编制了</w:t>
      </w:r>
      <w:r>
        <w:rPr>
          <w:rFonts w:hint="eastAsia" w:ascii="Times New Roman" w:hAnsi="Times New Roman" w:cs="Times New Roman"/>
          <w:color w:val="000000" w:themeColor="text1"/>
          <w:sz w:val="28"/>
          <w:szCs w:val="28"/>
          <w14:textFill>
            <w14:solidFill>
              <w14:schemeClr w14:val="tx1"/>
            </w14:solidFill>
          </w14:textFill>
        </w:rPr>
        <w:t>《曲靖市富源县黄泥河镇海子头饮用水水源保护区划定方案》，</w:t>
      </w:r>
      <w:r>
        <w:rPr>
          <w:rFonts w:ascii="Times New Roman" w:hAnsi="Times New Roman" w:cs="Times New Roman"/>
          <w:color w:val="000000" w:themeColor="text1"/>
          <w:sz w:val="28"/>
          <w:szCs w:val="28"/>
          <w14:textFill>
            <w14:solidFill>
              <w14:schemeClr w14:val="tx1"/>
            </w14:solidFill>
          </w14:textFill>
        </w:rPr>
        <w:t>对</w:t>
      </w:r>
      <w:r>
        <w:rPr>
          <w:rFonts w:hint="eastAsia" w:ascii="Times New Roman" w:hAnsi="Times New Roman" w:cs="Times New Roman"/>
          <w:color w:val="000000" w:themeColor="text1"/>
          <w:sz w:val="28"/>
          <w:szCs w:val="28"/>
          <w14:textFill>
            <w14:solidFill>
              <w14:schemeClr w14:val="tx1"/>
            </w14:solidFill>
          </w14:textFill>
        </w:rPr>
        <w:t>海子头</w:t>
      </w:r>
      <w:r>
        <w:rPr>
          <w:rFonts w:ascii="Times New Roman" w:hAnsi="Times New Roman" w:cs="Times New Roman"/>
          <w:color w:val="000000" w:themeColor="text1"/>
          <w:sz w:val="28"/>
          <w:szCs w:val="28"/>
          <w14:textFill>
            <w14:solidFill>
              <w14:schemeClr w14:val="tx1"/>
            </w14:solidFill>
          </w14:textFill>
        </w:rPr>
        <w:t>饮用水</w:t>
      </w:r>
      <w:r>
        <w:rPr>
          <w:rFonts w:hint="eastAsia" w:ascii="Times New Roman" w:hAnsi="Times New Roman" w:cs="Times New Roman"/>
          <w:color w:val="000000" w:themeColor="text1"/>
          <w:sz w:val="28"/>
          <w:szCs w:val="28"/>
          <w14:textFill>
            <w14:solidFill>
              <w14:schemeClr w14:val="tx1"/>
            </w14:solidFill>
          </w14:textFill>
        </w:rPr>
        <w:t>水</w:t>
      </w:r>
      <w:r>
        <w:rPr>
          <w:rFonts w:ascii="Times New Roman" w:hAnsi="Times New Roman" w:cs="Times New Roman"/>
          <w:color w:val="000000" w:themeColor="text1"/>
          <w:sz w:val="28"/>
          <w:szCs w:val="28"/>
          <w14:textFill>
            <w14:solidFill>
              <w14:schemeClr w14:val="tx1"/>
            </w14:solidFill>
          </w14:textFill>
        </w:rPr>
        <w:t>源保护区范围进行划分</w:t>
      </w:r>
      <w:r>
        <w:rPr>
          <w:rFonts w:hint="eastAsia" w:ascii="Times New Roman" w:hAnsi="Times New Roman" w:cs="Times New Roman"/>
          <w:color w:val="000000" w:themeColor="text1"/>
          <w:sz w:val="28"/>
          <w:szCs w:val="28"/>
          <w14:textFill>
            <w14:solidFill>
              <w14:schemeClr w14:val="tx1"/>
            </w14:solidFill>
          </w14:textFill>
        </w:rPr>
        <w:t>。根据《云南省重大行政决策程序规定》要求，</w:t>
      </w:r>
      <w:r>
        <w:rPr>
          <w:rFonts w:ascii="Times New Roman" w:hAnsi="Times New Roman" w:cs="Times New Roman"/>
          <w:color w:val="000000" w:themeColor="text1"/>
          <w:sz w:val="28"/>
          <w:szCs w:val="28"/>
          <w14:textFill>
            <w14:solidFill>
              <w14:schemeClr w14:val="tx1"/>
            </w14:solidFill>
          </w14:textFill>
        </w:rPr>
        <w:t>现对</w:t>
      </w:r>
      <w:r>
        <w:rPr>
          <w:rFonts w:hint="eastAsia" w:ascii="Times New Roman" w:hAnsi="Times New Roman" w:cs="Times New Roman"/>
          <w:color w:val="000000" w:themeColor="text1"/>
          <w:sz w:val="28"/>
          <w:szCs w:val="28"/>
          <w14:textFill>
            <w14:solidFill>
              <w14:schemeClr w14:val="tx1"/>
            </w14:solidFill>
          </w14:textFill>
        </w:rPr>
        <w:t>海子头饮用水水源保护区划定</w:t>
      </w:r>
      <w:r>
        <w:rPr>
          <w:rFonts w:ascii="Times New Roman" w:hAnsi="Times New Roman" w:cs="Times New Roman"/>
          <w:color w:val="000000" w:themeColor="text1"/>
          <w:sz w:val="28"/>
          <w:szCs w:val="28"/>
          <w14:textFill>
            <w14:solidFill>
              <w14:schemeClr w14:val="tx1"/>
            </w14:solidFill>
          </w14:textFill>
        </w:rPr>
        <w:t>方案进行公示</w:t>
      </w:r>
      <w:r>
        <w:rPr>
          <w:rFonts w:hint="eastAsia" w:ascii="Times New Roman" w:hAnsi="Times New Roman" w:cs="Times New Roman"/>
          <w:color w:val="000000" w:themeColor="text1"/>
          <w:sz w:val="28"/>
          <w:szCs w:val="28"/>
          <w14:textFill>
            <w14:solidFill>
              <w14:schemeClr w14:val="tx1"/>
            </w14:solidFill>
          </w14:textFill>
        </w:rPr>
        <w:t>，公开征求公众意见</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公示内容如下：</w:t>
      </w:r>
    </w:p>
    <w:p>
      <w:pPr>
        <w:pStyle w:val="9"/>
        <w:jc w:val="left"/>
        <w:rPr>
          <w:rFonts w:ascii="Times New Roman" w:hAnsi="Times New Roman" w:cs="Times New Roman" w:eastAsiaTheme="minorEastAsia"/>
          <w:color w:val="000000" w:themeColor="text1"/>
          <w:sz w:val="28"/>
          <w:szCs w:val="28"/>
          <w14:textFill>
            <w14:solidFill>
              <w14:schemeClr w14:val="tx1"/>
            </w14:solidFill>
          </w14:textFill>
        </w:rPr>
      </w:pPr>
      <w:r>
        <w:rPr>
          <w:rFonts w:ascii="Times New Roman" w:hAnsi="Times New Roman" w:cs="Times New Roman" w:eastAsiaTheme="minorEastAsia"/>
          <w:color w:val="000000" w:themeColor="text1"/>
          <w:sz w:val="28"/>
          <w:szCs w:val="28"/>
          <w14:textFill>
            <w14:solidFill>
              <w14:schemeClr w14:val="tx1"/>
            </w14:solidFill>
          </w14:textFill>
        </w:rPr>
        <w:t>一、水源地概况</w:t>
      </w:r>
    </w:p>
    <w:p>
      <w:pPr>
        <w:adjustRightInd w:val="0"/>
        <w:snapToGrid w:val="0"/>
        <w:spacing w:line="360" w:lineRule="auto"/>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海子头水源地位于富源县黄泥河镇牛场村委会的古必村。海子头系伏流出口，伏流入口位于推测岩溶管道上游约770m，上游为河流段，该水源地具有河流型饮用水源地特征，亦有地下水水源地特征，区域地下水补给区属于溶蚀槽谷型、向斜槽谷亚型岩溶地下水，在条带岭谷型岩溶地下水边界出露为地表水。</w:t>
      </w:r>
    </w:p>
    <w:p>
      <w:pPr>
        <w:adjustRightInd w:val="0"/>
        <w:snapToGrid w:val="0"/>
        <w:spacing w:line="360" w:lineRule="auto"/>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海子头为富源县黄泥河镇自来水厂水源点，年供水量153.3万m</w:t>
      </w:r>
      <w:r>
        <w:rPr>
          <w:rFonts w:hint="eastAsia" w:ascii="Times New Roman" w:hAnsi="Times New Roman" w:cs="Times New Roman"/>
          <w:color w:val="000000" w:themeColor="text1"/>
          <w:sz w:val="28"/>
          <w:szCs w:val="28"/>
          <w:vertAlign w:val="superscript"/>
          <w14:textFill>
            <w14:solidFill>
              <w14:schemeClr w14:val="tx1"/>
            </w14:solidFill>
          </w14:textFill>
        </w:rPr>
        <w:t>3</w:t>
      </w:r>
      <w:r>
        <w:rPr>
          <w:rFonts w:hint="eastAsia" w:ascii="Times New Roman" w:hAnsi="Times New Roman" w:cs="Times New Roman"/>
          <w:color w:val="000000" w:themeColor="text1"/>
          <w:sz w:val="28"/>
          <w:szCs w:val="28"/>
          <w14:textFill>
            <w14:solidFill>
              <w14:schemeClr w14:val="tx1"/>
            </w14:solidFill>
          </w14:textFill>
        </w:rPr>
        <w:t>/年，供水人口约1.65万人，供水范围为黄泥河镇。</w:t>
      </w:r>
    </w:p>
    <w:p>
      <w:pPr>
        <w:pStyle w:val="9"/>
        <w:jc w:val="left"/>
        <w:rPr>
          <w:rFonts w:ascii="Times New Roman" w:hAnsi="Times New Roman" w:cs="Times New Roman" w:eastAsiaTheme="minorEastAsia"/>
          <w:color w:val="000000" w:themeColor="text1"/>
          <w:sz w:val="28"/>
          <w:szCs w:val="28"/>
          <w14:textFill>
            <w14:solidFill>
              <w14:schemeClr w14:val="tx1"/>
            </w14:solidFill>
          </w14:textFill>
        </w:rPr>
      </w:pPr>
      <w:r>
        <w:rPr>
          <w:rFonts w:ascii="Times New Roman" w:hAnsi="Times New Roman" w:cs="Times New Roman" w:eastAsiaTheme="minorEastAsia"/>
          <w:color w:val="000000" w:themeColor="text1"/>
          <w:sz w:val="28"/>
          <w:szCs w:val="28"/>
          <w14:textFill>
            <w14:solidFill>
              <w14:schemeClr w14:val="tx1"/>
            </w14:solidFill>
          </w14:textFill>
        </w:rPr>
        <w:t>二、水源地区划</w:t>
      </w:r>
    </w:p>
    <w:p>
      <w:pPr>
        <w:spacing w:line="360" w:lineRule="auto"/>
        <w:ind w:firstLine="560" w:firstLineChars="200"/>
        <w:rPr>
          <w:rFonts w:ascii="Times New Roman" w:hAnsi="Times New Roman" w:cs="Times New Roman"/>
          <w:color w:val="000000" w:themeColor="text1"/>
          <w:sz w:val="28"/>
          <w:szCs w:val="28"/>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ascii="Times New Roman" w:hAnsi="Times New Roman" w:cs="Times New Roman"/>
          <w:color w:val="000000" w:themeColor="text1"/>
          <w:sz w:val="28"/>
          <w:szCs w:val="28"/>
          <w14:textFill>
            <w14:solidFill>
              <w14:schemeClr w14:val="tx1"/>
            </w14:solidFill>
          </w14:textFill>
        </w:rPr>
        <w:t>富源县黄泥河镇海子头</w:t>
      </w:r>
      <w:r>
        <w:rPr>
          <w:rFonts w:ascii="Times New Roman" w:hAnsi="Times New Roman" w:cs="Times New Roman"/>
          <w:color w:val="000000" w:themeColor="text1"/>
          <w:sz w:val="28"/>
          <w:szCs w:val="28"/>
          <w14:textFill>
            <w14:solidFill>
              <w14:schemeClr w14:val="tx1"/>
            </w14:solidFill>
          </w14:textFill>
        </w:rPr>
        <w:t>饮用水水源保护区总面积为</w:t>
      </w:r>
      <w:r>
        <w:rPr>
          <w:rFonts w:hint="eastAsia" w:ascii="Times New Roman" w:hAnsi="Times New Roman" w:cs="Times New Roman"/>
          <w:color w:val="000000" w:themeColor="text1"/>
          <w:sz w:val="28"/>
          <w:szCs w:val="28"/>
          <w14:textFill>
            <w14:solidFill>
              <w14:schemeClr w14:val="tx1"/>
            </w14:solidFill>
          </w14:textFill>
        </w:rPr>
        <w:t>2.551</w:t>
      </w:r>
      <w:r>
        <w:rPr>
          <w:rFonts w:ascii="Times New Roman" w:hAnsi="Times New Roman" w:cs="Times New Roman"/>
          <w:color w:val="000000" w:themeColor="text1"/>
          <w:sz w:val="28"/>
          <w:szCs w:val="28"/>
          <w14:textFill>
            <w14:solidFill>
              <w14:schemeClr w14:val="tx1"/>
            </w14:solidFill>
          </w14:textFill>
        </w:rPr>
        <w:t>km</w:t>
      </w:r>
      <w:r>
        <w:rPr>
          <w:rFonts w:ascii="Times New Roman" w:hAnsi="Times New Roman" w:cs="Times New Roman"/>
          <w:color w:val="000000" w:themeColor="text1"/>
          <w:sz w:val="28"/>
          <w:szCs w:val="28"/>
          <w:vertAlign w:val="superscript"/>
          <w14:textFill>
            <w14:solidFill>
              <w14:schemeClr w14:val="tx1"/>
            </w14:solidFill>
          </w14:textFill>
        </w:rPr>
        <w:t>2</w:t>
      </w:r>
      <w:r>
        <w:rPr>
          <w:rFonts w:ascii="Times New Roman" w:hAnsi="Times New Roman" w:cs="Times New Roman"/>
          <w:color w:val="000000" w:themeColor="text1"/>
          <w:sz w:val="28"/>
          <w:szCs w:val="28"/>
          <w14:textFill>
            <w14:solidFill>
              <w14:schemeClr w14:val="tx1"/>
            </w14:solidFill>
          </w14:textFill>
        </w:rPr>
        <w:t>，其中一级保护区面积为</w:t>
      </w:r>
      <w:r>
        <w:rPr>
          <w:rFonts w:hint="eastAsia" w:ascii="Times New Roman" w:hAnsi="Times New Roman" w:cs="Times New Roman"/>
          <w:color w:val="000000" w:themeColor="text1"/>
          <w:sz w:val="28"/>
          <w:szCs w:val="28"/>
          <w14:textFill>
            <w14:solidFill>
              <w14:schemeClr w14:val="tx1"/>
            </w14:solidFill>
          </w14:textFill>
        </w:rPr>
        <w:t>0.805</w:t>
      </w:r>
      <w:r>
        <w:rPr>
          <w:rFonts w:ascii="Times New Roman" w:hAnsi="Times New Roman" w:cs="Times New Roman"/>
          <w:color w:val="000000" w:themeColor="text1"/>
          <w:sz w:val="28"/>
          <w:szCs w:val="28"/>
          <w14:textFill>
            <w14:solidFill>
              <w14:schemeClr w14:val="tx1"/>
            </w14:solidFill>
          </w14:textFill>
        </w:rPr>
        <w:t>km</w:t>
      </w:r>
      <w:r>
        <w:rPr>
          <w:rFonts w:ascii="Times New Roman" w:hAnsi="Times New Roman" w:cs="Times New Roman"/>
          <w:color w:val="000000" w:themeColor="text1"/>
          <w:sz w:val="28"/>
          <w:szCs w:val="28"/>
          <w:vertAlign w:val="superscript"/>
          <w14:textFill>
            <w14:solidFill>
              <w14:schemeClr w14:val="tx1"/>
            </w14:solidFill>
          </w14:textFill>
        </w:rPr>
        <w:t>2</w:t>
      </w:r>
      <w:r>
        <w:rPr>
          <w:rFonts w:hint="eastAsia" w:ascii="Times New Roman" w:hAnsi="Times New Roman" w:cs="Times New Roman"/>
          <w:color w:val="000000" w:themeColor="text1"/>
          <w:sz w:val="28"/>
          <w:szCs w:val="28"/>
          <w14:textFill>
            <w14:solidFill>
              <w14:schemeClr w14:val="tx1"/>
            </w14:solidFill>
          </w14:textFill>
        </w:rPr>
        <w:t>；二级保护区面积</w:t>
      </w:r>
      <w:r>
        <w:rPr>
          <w:rFonts w:ascii="Times New Roman" w:hAnsi="Times New Roman" w:cs="Times New Roman"/>
          <w:color w:val="000000" w:themeColor="text1"/>
          <w:sz w:val="28"/>
          <w:szCs w:val="28"/>
          <w14:textFill>
            <w14:solidFill>
              <w14:schemeClr w14:val="tx1"/>
            </w14:solidFill>
          </w14:textFill>
        </w:rPr>
        <w:t>为</w:t>
      </w:r>
      <w:r>
        <w:rPr>
          <w:rFonts w:hint="eastAsia" w:ascii="Times New Roman" w:hAnsi="Times New Roman" w:cs="Times New Roman"/>
          <w:color w:val="000000" w:themeColor="text1"/>
          <w:sz w:val="28"/>
          <w:szCs w:val="28"/>
          <w14:textFill>
            <w14:solidFill>
              <w14:schemeClr w14:val="tx1"/>
            </w14:solidFill>
          </w14:textFill>
        </w:rPr>
        <w:t>1.746</w:t>
      </w:r>
      <w:r>
        <w:rPr>
          <w:rFonts w:ascii="Times New Roman" w:hAnsi="Times New Roman" w:cs="Times New Roman"/>
          <w:color w:val="000000" w:themeColor="text1"/>
          <w:sz w:val="28"/>
          <w:szCs w:val="28"/>
          <w14:textFill>
            <w14:solidFill>
              <w14:schemeClr w14:val="tx1"/>
            </w14:solidFill>
          </w14:textFill>
        </w:rPr>
        <w:t>km</w:t>
      </w:r>
      <w:r>
        <w:rPr>
          <w:rFonts w:ascii="Times New Roman" w:hAnsi="Times New Roman" w:cs="Times New Roman"/>
          <w:color w:val="000000" w:themeColor="text1"/>
          <w:sz w:val="28"/>
          <w:szCs w:val="28"/>
          <w:vertAlign w:val="superscript"/>
          <w14:textFill>
            <w14:solidFill>
              <w14:schemeClr w14:val="tx1"/>
            </w14:solidFill>
          </w14:textFill>
        </w:rPr>
        <w:t>2</w:t>
      </w:r>
      <w:r>
        <w:rPr>
          <w:rFonts w:hint="eastAsia" w:ascii="Times New Roman" w:hAnsi="Times New Roman" w:cs="Times New Roman"/>
          <w:color w:val="000000" w:themeColor="text1"/>
          <w:sz w:val="28"/>
          <w:szCs w:val="28"/>
          <w14:textFill>
            <w14:solidFill>
              <w14:schemeClr w14:val="tx1"/>
            </w14:solidFill>
          </w14:textFill>
        </w:rPr>
        <w:t>。海子头准</w:t>
      </w:r>
      <w:r>
        <w:rPr>
          <w:rFonts w:ascii="Times New Roman" w:hAnsi="Times New Roman" w:cs="Times New Roman"/>
          <w:color w:val="000000" w:themeColor="text1"/>
          <w:sz w:val="28"/>
          <w:szCs w:val="28"/>
          <w14:textFill>
            <w14:solidFill>
              <w14:schemeClr w14:val="tx1"/>
            </w14:solidFill>
          </w14:textFill>
        </w:rPr>
        <w:t>保护区总面积为</w:t>
      </w:r>
      <w:r>
        <w:rPr>
          <w:rFonts w:hint="eastAsia" w:ascii="Times New Roman" w:hAnsi="Times New Roman" w:cs="Times New Roman"/>
          <w:color w:val="000000" w:themeColor="text1"/>
          <w:sz w:val="28"/>
          <w:szCs w:val="28"/>
          <w14:textFill>
            <w14:solidFill>
              <w14:schemeClr w14:val="tx1"/>
            </w14:solidFill>
          </w14:textFill>
        </w:rPr>
        <w:t>11.030</w:t>
      </w:r>
      <w:r>
        <w:rPr>
          <w:rFonts w:ascii="Times New Roman" w:hAnsi="Times New Roman" w:cs="Times New Roman"/>
          <w:color w:val="000000" w:themeColor="text1"/>
          <w:sz w:val="28"/>
          <w:szCs w:val="28"/>
          <w14:textFill>
            <w14:solidFill>
              <w14:schemeClr w14:val="tx1"/>
            </w14:solidFill>
          </w14:textFill>
        </w:rPr>
        <w:t>km</w:t>
      </w:r>
      <w:r>
        <w:rPr>
          <w:rFonts w:ascii="Times New Roman" w:hAnsi="Times New Roman" w:cs="Times New Roman"/>
          <w:color w:val="000000" w:themeColor="text1"/>
          <w:sz w:val="28"/>
          <w:szCs w:val="28"/>
          <w:vertAlign w:val="superscript"/>
          <w14:textFill>
            <w14:solidFill>
              <w14:schemeClr w14:val="tx1"/>
            </w14:solidFill>
          </w14:textFill>
        </w:rPr>
        <w:t>2</w:t>
      </w:r>
      <w:r>
        <w:rPr>
          <w:rFonts w:hint="eastAsia" w:ascii="Times New Roman" w:hAnsi="Times New Roman" w:cs="Times New Roman"/>
          <w:color w:val="000000" w:themeColor="text1"/>
          <w:sz w:val="28"/>
          <w:szCs w:val="28"/>
          <w14:textFill>
            <w14:solidFill>
              <w14:schemeClr w14:val="tx1"/>
            </w14:solidFill>
          </w14:textFill>
        </w:rPr>
        <w:t>。区划范围详见下表</w:t>
      </w:r>
      <w:r>
        <w:rPr>
          <w:rFonts w:hint="eastAsia" w:ascii="Times New Roman" w:hAnsi="Times New Roman" w:cs="Times New Roman"/>
          <w:color w:val="000000" w:themeColor="text1"/>
          <w:sz w:val="28"/>
          <w:szCs w:val="28"/>
          <w:lang w:val="en-US" w:eastAsia="zh-CN"/>
          <w14:textFill>
            <w14:solidFill>
              <w14:schemeClr w14:val="tx1"/>
            </w14:solidFill>
          </w14:textFill>
        </w:rPr>
        <w:t>，查询具体范围图请与</w:t>
      </w:r>
      <w:r>
        <w:rPr>
          <w:rFonts w:ascii="Times New Roman" w:hAnsi="Times New Roman" w:cs="Times New Roman"/>
          <w:color w:val="000000" w:themeColor="text1"/>
          <w:sz w:val="28"/>
          <w:szCs w:val="28"/>
          <w14:textFill>
            <w14:solidFill>
              <w14:schemeClr w14:val="tx1"/>
            </w14:solidFill>
          </w14:textFill>
        </w:rPr>
        <w:t>云南新世纪环境保护科学研究院有限公司</w:t>
      </w:r>
      <w:r>
        <w:rPr>
          <w:rFonts w:hint="eastAsia" w:ascii="Times New Roman" w:hAnsi="Times New Roman" w:cs="Times New Roman"/>
          <w:color w:val="000000" w:themeColor="text1"/>
          <w:sz w:val="28"/>
          <w:szCs w:val="28"/>
          <w:lang w:eastAsia="zh-CN"/>
          <w14:textFill>
            <w14:solidFill>
              <w14:schemeClr w14:val="tx1"/>
            </w14:solidFill>
          </w14:textFill>
        </w:rPr>
        <w:t>罗柏青联系，联系电话</w:t>
      </w:r>
      <w:r>
        <w:rPr>
          <w:rFonts w:hint="eastAsia" w:ascii="Times New Roman" w:hAnsi="Times New Roman" w:cs="Times New Roman"/>
          <w:color w:val="000000" w:themeColor="text1"/>
          <w:sz w:val="28"/>
          <w:szCs w:val="28"/>
          <w:lang w:val="en-US" w:eastAsia="zh-CN"/>
          <w14:textFill>
            <w14:solidFill>
              <w14:schemeClr w14:val="tx1"/>
            </w14:solidFill>
          </w14:textFill>
        </w:rPr>
        <w:t>13888525254</w:t>
      </w:r>
      <w:r>
        <w:rPr>
          <w:rFonts w:hint="eastAsia" w:ascii="Times New Roman" w:hAnsi="Times New Roman" w:cs="Times New Roman"/>
          <w:color w:val="000000" w:themeColor="text1"/>
          <w:sz w:val="28"/>
          <w:szCs w:val="28"/>
          <w14:textFill>
            <w14:solidFill>
              <w14:schemeClr w14:val="tx1"/>
            </w14:solidFill>
          </w14:textFill>
        </w:rPr>
        <w:t>。</w:t>
      </w:r>
    </w:p>
    <w:p>
      <w:pPr>
        <w:spacing w:line="360" w:lineRule="auto"/>
        <w:rPr>
          <w:rFonts w:ascii="Times New Roman" w:hAnsi="Times New Roman" w:cs="Times New Roman"/>
          <w:color w:val="000000" w:themeColor="text1"/>
          <w:sz w:val="28"/>
          <w:szCs w:val="28"/>
          <w14:textFill>
            <w14:solidFill>
              <w14:schemeClr w14:val="tx1"/>
            </w14:solidFill>
          </w14:textFill>
        </w:rPr>
      </w:pPr>
    </w:p>
    <w:p>
      <w:pPr>
        <w:spacing w:line="360" w:lineRule="auto"/>
        <w:ind w:firstLine="482" w:firstLineChars="200"/>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表1  富源县黄泥河镇海子头饮用水水源保护区区划情况表</w:t>
      </w:r>
    </w:p>
    <w:tbl>
      <w:tblPr>
        <w:tblStyle w:val="1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200"/>
        <w:gridCol w:w="1200"/>
        <w:gridCol w:w="1199"/>
        <w:gridCol w:w="1199"/>
        <w:gridCol w:w="1244"/>
        <w:gridCol w:w="1576"/>
        <w:gridCol w:w="1417"/>
        <w:gridCol w:w="1261"/>
        <w:gridCol w:w="1417"/>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200" w:type="dxa"/>
            <w:vMerge w:val="restart"/>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城市名称</w:t>
            </w:r>
          </w:p>
        </w:tc>
        <w:tc>
          <w:tcPr>
            <w:tcW w:w="1200" w:type="dxa"/>
            <w:vMerge w:val="restart"/>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饮用水水源地名称</w:t>
            </w:r>
          </w:p>
        </w:tc>
        <w:tc>
          <w:tcPr>
            <w:tcW w:w="1200" w:type="dxa"/>
            <w:vMerge w:val="restart"/>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水源地类型</w:t>
            </w:r>
          </w:p>
        </w:tc>
        <w:tc>
          <w:tcPr>
            <w:tcW w:w="1199" w:type="dxa"/>
            <w:vMerge w:val="restart"/>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水环境功能类别</w:t>
            </w:r>
          </w:p>
        </w:tc>
        <w:tc>
          <w:tcPr>
            <w:tcW w:w="1199" w:type="dxa"/>
            <w:vMerge w:val="restart"/>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指标名称</w:t>
            </w:r>
          </w:p>
        </w:tc>
        <w:tc>
          <w:tcPr>
            <w:tcW w:w="2820" w:type="dxa"/>
            <w:gridSpan w:val="2"/>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一级保护区</w:t>
            </w:r>
          </w:p>
        </w:tc>
        <w:tc>
          <w:tcPr>
            <w:tcW w:w="2678" w:type="dxa"/>
            <w:gridSpan w:val="2"/>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二级保护区</w:t>
            </w:r>
          </w:p>
        </w:tc>
        <w:tc>
          <w:tcPr>
            <w:tcW w:w="2678" w:type="dxa"/>
            <w:gridSpan w:val="2"/>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准保护区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00" w:type="dxa"/>
            <w:vMerge w:val="continue"/>
            <w:vAlign w:val="center"/>
          </w:tcPr>
          <w:p>
            <w:pPr>
              <w:widowControl/>
              <w:jc w:val="center"/>
              <w:rPr>
                <w:rFonts w:ascii="仿宋" w:hAnsi="仿宋" w:eastAsia="仿宋" w:cs="宋体"/>
                <w:b/>
                <w:bCs/>
                <w:color w:val="000000"/>
                <w:kern w:val="0"/>
                <w:sz w:val="24"/>
                <w:szCs w:val="24"/>
              </w:rPr>
            </w:pPr>
          </w:p>
        </w:tc>
        <w:tc>
          <w:tcPr>
            <w:tcW w:w="1200" w:type="dxa"/>
            <w:vMerge w:val="continue"/>
            <w:vAlign w:val="center"/>
          </w:tcPr>
          <w:p>
            <w:pPr>
              <w:widowControl/>
              <w:jc w:val="center"/>
              <w:rPr>
                <w:rFonts w:ascii="仿宋" w:hAnsi="仿宋" w:eastAsia="仿宋" w:cs="宋体"/>
                <w:b/>
                <w:bCs/>
                <w:color w:val="000000"/>
                <w:kern w:val="0"/>
                <w:sz w:val="24"/>
                <w:szCs w:val="24"/>
              </w:rPr>
            </w:pPr>
          </w:p>
        </w:tc>
        <w:tc>
          <w:tcPr>
            <w:tcW w:w="1200" w:type="dxa"/>
            <w:vMerge w:val="continue"/>
            <w:vAlign w:val="center"/>
          </w:tcPr>
          <w:p>
            <w:pPr>
              <w:widowControl/>
              <w:jc w:val="center"/>
              <w:rPr>
                <w:rFonts w:ascii="仿宋" w:hAnsi="仿宋" w:eastAsia="仿宋" w:cs="宋体"/>
                <w:b/>
                <w:bCs/>
                <w:color w:val="000000"/>
                <w:kern w:val="0"/>
                <w:sz w:val="24"/>
                <w:szCs w:val="24"/>
              </w:rPr>
            </w:pPr>
          </w:p>
        </w:tc>
        <w:tc>
          <w:tcPr>
            <w:tcW w:w="1199" w:type="dxa"/>
            <w:vMerge w:val="continue"/>
            <w:vAlign w:val="center"/>
          </w:tcPr>
          <w:p>
            <w:pPr>
              <w:widowControl/>
              <w:jc w:val="center"/>
              <w:rPr>
                <w:rFonts w:ascii="仿宋" w:hAnsi="仿宋" w:eastAsia="仿宋" w:cs="宋体"/>
                <w:b/>
                <w:bCs/>
                <w:color w:val="000000"/>
                <w:kern w:val="0"/>
                <w:sz w:val="24"/>
                <w:szCs w:val="24"/>
              </w:rPr>
            </w:pPr>
          </w:p>
        </w:tc>
        <w:tc>
          <w:tcPr>
            <w:tcW w:w="1199" w:type="dxa"/>
            <w:vMerge w:val="continue"/>
            <w:vAlign w:val="center"/>
          </w:tcPr>
          <w:p>
            <w:pPr>
              <w:widowControl/>
              <w:jc w:val="center"/>
              <w:rPr>
                <w:rFonts w:ascii="仿宋" w:hAnsi="仿宋" w:eastAsia="仿宋" w:cs="宋体"/>
                <w:b/>
                <w:bCs/>
                <w:color w:val="000000"/>
                <w:kern w:val="0"/>
                <w:sz w:val="24"/>
                <w:szCs w:val="24"/>
              </w:rPr>
            </w:pPr>
          </w:p>
        </w:tc>
        <w:tc>
          <w:tcPr>
            <w:tcW w:w="1244" w:type="dxa"/>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水域</w:t>
            </w:r>
          </w:p>
        </w:tc>
        <w:tc>
          <w:tcPr>
            <w:tcW w:w="1576" w:type="dxa"/>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陆域</w:t>
            </w:r>
          </w:p>
        </w:tc>
        <w:tc>
          <w:tcPr>
            <w:tcW w:w="1417" w:type="dxa"/>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水域</w:t>
            </w:r>
          </w:p>
        </w:tc>
        <w:tc>
          <w:tcPr>
            <w:tcW w:w="1261" w:type="dxa"/>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陆域</w:t>
            </w:r>
          </w:p>
        </w:tc>
        <w:tc>
          <w:tcPr>
            <w:tcW w:w="1417" w:type="dxa"/>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水域</w:t>
            </w:r>
          </w:p>
        </w:tc>
        <w:tc>
          <w:tcPr>
            <w:tcW w:w="1261" w:type="dxa"/>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200" w:type="dxa"/>
            <w:vMerge w:val="restart"/>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富源县</w:t>
            </w:r>
          </w:p>
        </w:tc>
        <w:tc>
          <w:tcPr>
            <w:tcW w:w="1200" w:type="dxa"/>
            <w:vMerge w:val="restart"/>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海子头</w:t>
            </w:r>
          </w:p>
        </w:tc>
        <w:tc>
          <w:tcPr>
            <w:tcW w:w="1200" w:type="dxa"/>
            <w:vMerge w:val="restart"/>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地下水型</w:t>
            </w:r>
          </w:p>
        </w:tc>
        <w:tc>
          <w:tcPr>
            <w:tcW w:w="1199" w:type="dxa"/>
            <w:vMerge w:val="restart"/>
            <w:shd w:val="clear" w:color="auto" w:fill="auto"/>
            <w:vAlign w:val="center"/>
          </w:tcPr>
          <w:p>
            <w:pPr>
              <w:widowControl/>
              <w:jc w:val="center"/>
              <w:rPr>
                <w:rFonts w:ascii="仿宋" w:hAnsi="仿宋" w:eastAsia="仿宋" w:cs="宋体"/>
                <w:color w:val="000000"/>
                <w:kern w:val="0"/>
                <w:sz w:val="24"/>
                <w:szCs w:val="24"/>
              </w:rPr>
            </w:pPr>
            <w:r>
              <w:rPr>
                <w:rFonts w:ascii="Times New Roman" w:hAnsi="Times New Roman" w:eastAsia="仿宋" w:cs="Times New Roman"/>
                <w:color w:val="000000"/>
                <w:kern w:val="0"/>
                <w:sz w:val="24"/>
                <w:szCs w:val="24"/>
              </w:rPr>
              <w:t>III</w:t>
            </w:r>
            <w:r>
              <w:rPr>
                <w:rFonts w:hint="eastAsia" w:ascii="仿宋" w:hAnsi="仿宋" w:eastAsia="仿宋" w:cs="宋体"/>
                <w:color w:val="000000"/>
                <w:kern w:val="0"/>
                <w:sz w:val="24"/>
                <w:szCs w:val="24"/>
              </w:rPr>
              <w:t>类（地下水）</w:t>
            </w:r>
          </w:p>
        </w:tc>
        <w:tc>
          <w:tcPr>
            <w:tcW w:w="1199" w:type="dxa"/>
            <w:vMerge w:val="restart"/>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面积（</w:t>
            </w:r>
            <w:r>
              <w:rPr>
                <w:rFonts w:ascii="Times New Roman" w:hAnsi="Times New Roman" w:eastAsia="仿宋" w:cs="Times New Roman"/>
                <w:color w:val="000000"/>
                <w:kern w:val="0"/>
                <w:sz w:val="24"/>
                <w:szCs w:val="24"/>
              </w:rPr>
              <w:t>km</w:t>
            </w:r>
            <w:r>
              <w:rPr>
                <w:rFonts w:ascii="Times New Roman" w:hAnsi="Times New Roman" w:eastAsia="仿宋" w:cs="Times New Roman"/>
                <w:color w:val="000000"/>
                <w:kern w:val="0"/>
                <w:sz w:val="24"/>
                <w:szCs w:val="24"/>
                <w:vertAlign w:val="superscript"/>
              </w:rPr>
              <w:t>2</w:t>
            </w:r>
            <w:r>
              <w:rPr>
                <w:rFonts w:hint="eastAsia" w:ascii="仿宋" w:hAnsi="仿宋" w:eastAsia="仿宋" w:cs="宋体"/>
                <w:color w:val="000000"/>
                <w:kern w:val="0"/>
                <w:sz w:val="24"/>
                <w:szCs w:val="24"/>
              </w:rPr>
              <w:t>）</w:t>
            </w:r>
          </w:p>
        </w:tc>
        <w:tc>
          <w:tcPr>
            <w:tcW w:w="2820" w:type="dxa"/>
            <w:gridSpan w:val="2"/>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Times New Roman" w:hAnsi="Times New Roman" w:eastAsia="等线" w:cs="Times New Roman"/>
                <w:color w:val="000000"/>
                <w:kern w:val="0"/>
                <w:sz w:val="24"/>
                <w:szCs w:val="24"/>
              </w:rPr>
              <w:t>0.805</w:t>
            </w:r>
          </w:p>
        </w:tc>
        <w:tc>
          <w:tcPr>
            <w:tcW w:w="2678" w:type="dxa"/>
            <w:gridSpan w:val="2"/>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Times New Roman" w:hAnsi="Times New Roman" w:eastAsia="等线" w:cs="Times New Roman"/>
                <w:color w:val="000000"/>
                <w:kern w:val="0"/>
                <w:sz w:val="24"/>
                <w:szCs w:val="24"/>
              </w:rPr>
              <w:t>1.746</w:t>
            </w:r>
          </w:p>
        </w:tc>
        <w:tc>
          <w:tcPr>
            <w:tcW w:w="2678" w:type="dxa"/>
            <w:gridSpan w:val="2"/>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Times New Roman" w:hAnsi="Times New Roman" w:eastAsia="仿宋" w:cs="Times New Roman"/>
                <w:color w:val="000000" w:themeColor="text1"/>
                <w:sz w:val="24"/>
                <w:szCs w:val="24"/>
                <w14:textFill>
                  <w14:solidFill>
                    <w14:schemeClr w14:val="tx1"/>
                  </w14:solidFill>
                </w14:textFill>
              </w:rPr>
              <w:t>11.030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200" w:type="dxa"/>
            <w:vMerge w:val="continue"/>
            <w:vAlign w:val="center"/>
          </w:tcPr>
          <w:p>
            <w:pPr>
              <w:widowControl/>
              <w:jc w:val="center"/>
              <w:rPr>
                <w:rFonts w:ascii="仿宋" w:hAnsi="仿宋" w:eastAsia="仿宋" w:cs="宋体"/>
                <w:color w:val="000000"/>
                <w:kern w:val="0"/>
                <w:sz w:val="24"/>
                <w:szCs w:val="24"/>
              </w:rPr>
            </w:pPr>
          </w:p>
        </w:tc>
        <w:tc>
          <w:tcPr>
            <w:tcW w:w="1200" w:type="dxa"/>
            <w:vMerge w:val="continue"/>
            <w:vAlign w:val="center"/>
          </w:tcPr>
          <w:p>
            <w:pPr>
              <w:widowControl/>
              <w:jc w:val="center"/>
              <w:rPr>
                <w:rFonts w:ascii="仿宋" w:hAnsi="仿宋" w:eastAsia="仿宋" w:cs="宋体"/>
                <w:color w:val="000000"/>
                <w:kern w:val="0"/>
                <w:sz w:val="24"/>
                <w:szCs w:val="24"/>
              </w:rPr>
            </w:pPr>
          </w:p>
        </w:tc>
        <w:tc>
          <w:tcPr>
            <w:tcW w:w="1200" w:type="dxa"/>
            <w:vMerge w:val="continue"/>
            <w:vAlign w:val="center"/>
          </w:tcPr>
          <w:p>
            <w:pPr>
              <w:widowControl/>
              <w:jc w:val="center"/>
              <w:rPr>
                <w:rFonts w:ascii="仿宋" w:hAnsi="仿宋" w:eastAsia="仿宋" w:cs="宋体"/>
                <w:color w:val="000000"/>
                <w:kern w:val="0"/>
                <w:sz w:val="24"/>
                <w:szCs w:val="24"/>
              </w:rPr>
            </w:pPr>
          </w:p>
        </w:tc>
        <w:tc>
          <w:tcPr>
            <w:tcW w:w="1199" w:type="dxa"/>
            <w:vMerge w:val="continue"/>
            <w:vAlign w:val="center"/>
          </w:tcPr>
          <w:p>
            <w:pPr>
              <w:widowControl/>
              <w:jc w:val="center"/>
              <w:rPr>
                <w:rFonts w:ascii="Times New Roman" w:hAnsi="Times New Roman" w:eastAsia="等线" w:cs="Times New Roman"/>
                <w:color w:val="000000"/>
                <w:kern w:val="0"/>
                <w:sz w:val="24"/>
                <w:szCs w:val="24"/>
              </w:rPr>
            </w:pPr>
          </w:p>
        </w:tc>
        <w:tc>
          <w:tcPr>
            <w:tcW w:w="1199" w:type="dxa"/>
            <w:vMerge w:val="continue"/>
            <w:vAlign w:val="center"/>
          </w:tcPr>
          <w:p>
            <w:pPr>
              <w:widowControl/>
              <w:jc w:val="center"/>
              <w:rPr>
                <w:rFonts w:ascii="仿宋" w:hAnsi="仿宋" w:eastAsia="仿宋" w:cs="宋体"/>
                <w:color w:val="000000"/>
                <w:kern w:val="0"/>
                <w:sz w:val="24"/>
                <w:szCs w:val="24"/>
              </w:rPr>
            </w:pPr>
          </w:p>
        </w:tc>
        <w:tc>
          <w:tcPr>
            <w:tcW w:w="1244" w:type="dxa"/>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Times New Roman" w:hAnsi="Times New Roman" w:eastAsia="等线" w:cs="Times New Roman"/>
                <w:color w:val="000000"/>
                <w:kern w:val="0"/>
                <w:sz w:val="24"/>
                <w:szCs w:val="24"/>
              </w:rPr>
              <w:t>/</w:t>
            </w:r>
          </w:p>
        </w:tc>
        <w:tc>
          <w:tcPr>
            <w:tcW w:w="1576" w:type="dxa"/>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Times New Roman" w:hAnsi="Times New Roman" w:eastAsia="等线" w:cs="Times New Roman"/>
                <w:color w:val="000000"/>
                <w:kern w:val="0"/>
                <w:sz w:val="24"/>
                <w:szCs w:val="24"/>
              </w:rPr>
              <w:t>0.805</w:t>
            </w:r>
          </w:p>
        </w:tc>
        <w:tc>
          <w:tcPr>
            <w:tcW w:w="1417" w:type="dxa"/>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w:t>
            </w:r>
          </w:p>
        </w:tc>
        <w:tc>
          <w:tcPr>
            <w:tcW w:w="1261" w:type="dxa"/>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Times New Roman" w:hAnsi="Times New Roman" w:eastAsia="等线" w:cs="Times New Roman"/>
                <w:color w:val="000000"/>
                <w:kern w:val="0"/>
                <w:sz w:val="24"/>
                <w:szCs w:val="24"/>
              </w:rPr>
              <w:t>1.746</w:t>
            </w:r>
          </w:p>
        </w:tc>
        <w:tc>
          <w:tcPr>
            <w:tcW w:w="1417" w:type="dxa"/>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w:t>
            </w:r>
          </w:p>
        </w:tc>
        <w:tc>
          <w:tcPr>
            <w:tcW w:w="1261" w:type="dxa"/>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Times New Roman" w:hAnsi="Times New Roman" w:eastAsia="仿宋" w:cs="Times New Roman"/>
                <w:color w:val="000000" w:themeColor="text1"/>
                <w:sz w:val="24"/>
                <w:szCs w:val="24"/>
                <w14:textFill>
                  <w14:solidFill>
                    <w14:schemeClr w14:val="tx1"/>
                  </w14:solidFill>
                </w14:textFill>
              </w:rPr>
              <w:t>11.030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4" w:hRule="atLeast"/>
        </w:trPr>
        <w:tc>
          <w:tcPr>
            <w:tcW w:w="1200" w:type="dxa"/>
            <w:vMerge w:val="continue"/>
            <w:vAlign w:val="center"/>
          </w:tcPr>
          <w:p>
            <w:pPr>
              <w:widowControl/>
              <w:jc w:val="center"/>
              <w:rPr>
                <w:rFonts w:ascii="仿宋" w:hAnsi="仿宋" w:eastAsia="仿宋" w:cs="宋体"/>
                <w:color w:val="000000"/>
                <w:kern w:val="0"/>
                <w:sz w:val="24"/>
                <w:szCs w:val="24"/>
              </w:rPr>
            </w:pPr>
          </w:p>
        </w:tc>
        <w:tc>
          <w:tcPr>
            <w:tcW w:w="1200" w:type="dxa"/>
            <w:vMerge w:val="continue"/>
            <w:vAlign w:val="center"/>
          </w:tcPr>
          <w:p>
            <w:pPr>
              <w:widowControl/>
              <w:jc w:val="center"/>
              <w:rPr>
                <w:rFonts w:ascii="仿宋" w:hAnsi="仿宋" w:eastAsia="仿宋" w:cs="宋体"/>
                <w:color w:val="000000"/>
                <w:kern w:val="0"/>
                <w:sz w:val="24"/>
                <w:szCs w:val="24"/>
              </w:rPr>
            </w:pPr>
          </w:p>
        </w:tc>
        <w:tc>
          <w:tcPr>
            <w:tcW w:w="1200" w:type="dxa"/>
            <w:vMerge w:val="continue"/>
            <w:vAlign w:val="center"/>
          </w:tcPr>
          <w:p>
            <w:pPr>
              <w:widowControl/>
              <w:jc w:val="center"/>
              <w:rPr>
                <w:rFonts w:ascii="仿宋" w:hAnsi="仿宋" w:eastAsia="仿宋" w:cs="宋体"/>
                <w:color w:val="000000"/>
                <w:kern w:val="0"/>
                <w:sz w:val="24"/>
                <w:szCs w:val="24"/>
              </w:rPr>
            </w:pPr>
          </w:p>
        </w:tc>
        <w:tc>
          <w:tcPr>
            <w:tcW w:w="1199" w:type="dxa"/>
            <w:vMerge w:val="continue"/>
            <w:vAlign w:val="center"/>
          </w:tcPr>
          <w:p>
            <w:pPr>
              <w:widowControl/>
              <w:jc w:val="center"/>
              <w:rPr>
                <w:rFonts w:ascii="Times New Roman" w:hAnsi="Times New Roman" w:eastAsia="等线" w:cs="Times New Roman"/>
                <w:color w:val="000000"/>
                <w:kern w:val="0"/>
                <w:sz w:val="24"/>
                <w:szCs w:val="24"/>
              </w:rPr>
            </w:pPr>
          </w:p>
        </w:tc>
        <w:tc>
          <w:tcPr>
            <w:tcW w:w="1199"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保护区范围</w:t>
            </w:r>
          </w:p>
        </w:tc>
        <w:tc>
          <w:tcPr>
            <w:tcW w:w="2820" w:type="dxa"/>
            <w:gridSpan w:val="2"/>
            <w:shd w:val="clear" w:color="auto" w:fill="auto"/>
            <w:vAlign w:val="center"/>
          </w:tcPr>
          <w:p>
            <w:pPr>
              <w:rPr>
                <w:rFonts w:ascii="Times New Roman" w:hAnsi="Times New Roman" w:eastAsia="仿宋" w:cs="Times New Roman"/>
                <w:color w:val="000000"/>
                <w:kern w:val="0"/>
                <w:sz w:val="24"/>
                <w:szCs w:val="24"/>
              </w:rPr>
            </w:pPr>
            <w:r>
              <w:rPr>
                <w:rFonts w:hint="eastAsia" w:ascii="Times New Roman" w:hAnsi="Times New Roman" w:eastAsia="仿宋" w:cs="Times New Roman"/>
                <w:color w:val="000000"/>
                <w:kern w:val="0"/>
                <w:sz w:val="24"/>
                <w:szCs w:val="24"/>
              </w:rPr>
              <w:t>水域：伏流出口（取水口）上游1100m河段，其中伏流段约770m，地表河段（伏流入口上游）330m。</w:t>
            </w:r>
          </w:p>
          <w:p>
            <w:pPr>
              <w:rPr>
                <w:rFonts w:ascii="Times New Roman" w:hAnsi="Times New Roman" w:eastAsia="仿宋" w:cs="Times New Roman"/>
                <w:color w:val="000000"/>
                <w:kern w:val="0"/>
                <w:sz w:val="24"/>
                <w:szCs w:val="24"/>
              </w:rPr>
            </w:pPr>
            <w:r>
              <w:rPr>
                <w:rFonts w:hint="eastAsia" w:ascii="Times New Roman" w:hAnsi="Times New Roman" w:eastAsia="仿宋" w:cs="Times New Roman"/>
                <w:color w:val="000000"/>
                <w:kern w:val="0"/>
                <w:sz w:val="24"/>
                <w:szCs w:val="24"/>
              </w:rPr>
              <w:t>陆域：伏流段为下游以伏流出口为圆心半径100m范围为边界，上游以伏流出口与入口间地下管道上方整个地表汇水区为边界；河流段为伏流入口上游330m河段两侧地表汇水区。</w:t>
            </w:r>
          </w:p>
        </w:tc>
        <w:tc>
          <w:tcPr>
            <w:tcW w:w="2678" w:type="dxa"/>
            <w:gridSpan w:val="2"/>
            <w:shd w:val="clear" w:color="auto" w:fill="auto"/>
            <w:vAlign w:val="center"/>
          </w:tcPr>
          <w:p>
            <w:pPr>
              <w:widowControl/>
              <w:rPr>
                <w:rFonts w:ascii="Times New Roman" w:hAnsi="Times New Roman" w:eastAsia="仿宋" w:cs="Times New Roman"/>
                <w:color w:val="0D0D0D"/>
                <w:kern w:val="0"/>
                <w:sz w:val="24"/>
                <w:szCs w:val="24"/>
              </w:rPr>
            </w:pPr>
            <w:r>
              <w:rPr>
                <w:rFonts w:ascii="Times New Roman" w:hAnsi="Times New Roman" w:eastAsia="仿宋" w:cs="Times New Roman"/>
                <w:color w:val="0D0D0D"/>
                <w:kern w:val="0"/>
                <w:sz w:val="24"/>
                <w:szCs w:val="24"/>
              </w:rPr>
              <w:t>水域：一级保护区边界上游2000m河段。</w:t>
            </w:r>
          </w:p>
          <w:p>
            <w:pPr>
              <w:widowControl/>
              <w:rPr>
                <w:rFonts w:ascii="仿宋" w:hAnsi="仿宋" w:eastAsia="仿宋" w:cs="宋体"/>
                <w:color w:val="0D0D0D"/>
                <w:kern w:val="0"/>
                <w:sz w:val="24"/>
                <w:szCs w:val="24"/>
              </w:rPr>
            </w:pPr>
            <w:r>
              <w:rPr>
                <w:rFonts w:ascii="Times New Roman" w:hAnsi="Times New Roman" w:eastAsia="仿宋" w:cs="Times New Roman"/>
                <w:color w:val="0D0D0D"/>
                <w:kern w:val="0"/>
                <w:sz w:val="24"/>
                <w:szCs w:val="24"/>
              </w:rPr>
              <w:t>陆域：一级保护区边界上游2000m河段两侧汇水区。</w:t>
            </w:r>
          </w:p>
        </w:tc>
        <w:tc>
          <w:tcPr>
            <w:tcW w:w="2678" w:type="dxa"/>
            <w:gridSpan w:val="2"/>
            <w:shd w:val="clear" w:color="auto" w:fill="auto"/>
            <w:vAlign w:val="center"/>
          </w:tcPr>
          <w:p>
            <w:pPr>
              <w:widowControl/>
              <w:rPr>
                <w:rFonts w:ascii="Times New Roman" w:hAnsi="Times New Roman" w:eastAsia="仿宋" w:cs="Times New Roman"/>
                <w:color w:val="000000"/>
                <w:kern w:val="0"/>
                <w:sz w:val="24"/>
                <w:szCs w:val="24"/>
              </w:rPr>
            </w:pPr>
            <w:r>
              <w:rPr>
                <w:rFonts w:hint="eastAsia" w:ascii="Times New Roman" w:hAnsi="Times New Roman" w:eastAsia="仿宋" w:cs="Times New Roman"/>
                <w:color w:val="000000"/>
                <w:kern w:val="0"/>
                <w:sz w:val="24"/>
                <w:szCs w:val="24"/>
              </w:rPr>
              <w:t>水域：二级保护区边界上游全河段，长约5242m。</w:t>
            </w:r>
          </w:p>
          <w:p>
            <w:pPr>
              <w:widowControl/>
              <w:rPr>
                <w:rFonts w:ascii="Times New Roman" w:hAnsi="Times New Roman" w:eastAsia="等线" w:cs="Times New Roman"/>
                <w:color w:val="000000"/>
                <w:kern w:val="0"/>
                <w:sz w:val="24"/>
                <w:szCs w:val="24"/>
              </w:rPr>
            </w:pPr>
            <w:r>
              <w:rPr>
                <w:rFonts w:hint="eastAsia" w:ascii="Times New Roman" w:hAnsi="Times New Roman" w:eastAsia="仿宋" w:cs="Times New Roman"/>
                <w:color w:val="000000"/>
                <w:kern w:val="0"/>
                <w:sz w:val="24"/>
                <w:szCs w:val="24"/>
              </w:rPr>
              <w:t>陆域：二级保护区上游河流地表汇水范围内北部农村居民点和耕地集中分布区，北至尖山一带山脊线，南至更康北侧山脊线，西南至花木梁子，西至上阿勒西侧分水岭。</w:t>
            </w:r>
          </w:p>
        </w:tc>
      </w:tr>
    </w:tbl>
    <w:p>
      <w:pPr>
        <w:widowControl/>
        <w:jc w:val="center"/>
        <w:rPr>
          <w:rFonts w:ascii="宋体" w:hAnsi="宋体"/>
          <w:b/>
          <w:color w:val="000000" w:themeColor="text1"/>
          <w:sz w:val="24"/>
          <w:szCs w:val="24"/>
          <w14:textFill>
            <w14:solidFill>
              <w14:schemeClr w14:val="tx1"/>
            </w14:solidFill>
          </w14:textFill>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Calibri Light">
    <w:altName w:val="PMingLiU"/>
    <w:panose1 w:val="020F0302020204030204"/>
    <w:charset w:val="00"/>
    <w:family w:val="swiss"/>
    <w:pitch w:val="default"/>
    <w:sig w:usb0="00000000" w:usb1="00000000" w:usb2="00000000" w:usb3="00000000" w:csb0="0000019F" w:csb1="00000000"/>
  </w:font>
  <w:font w:name="仿宋">
    <w:altName w:val="仿宋_GB2312"/>
    <w:panose1 w:val="02010609060101010101"/>
    <w:charset w:val="86"/>
    <w:family w:val="modern"/>
    <w:pitch w:val="default"/>
    <w:sig w:usb0="00000000" w:usb1="00000000" w:usb2="00000016" w:usb3="00000000" w:csb0="00040001" w:csb1="00000000"/>
  </w:font>
  <w:font w:name="等线">
    <w:altName w:val="宋体"/>
    <w:panose1 w:val="00000000000000000000"/>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PMingLiU">
    <w:panose1 w:val="02020300000000000000"/>
    <w:charset w:val="88"/>
    <w:family w:val="auto"/>
    <w:pitch w:val="default"/>
    <w:sig w:usb0="00000003" w:usb1="082E0000" w:usb2="00000016" w:usb3="00000000" w:csb0="00100001" w:csb1="00000000"/>
  </w:font>
  <w:font w:name="方正仿宋_GBK">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56A"/>
    <w:rsid w:val="00017DF1"/>
    <w:rsid w:val="000254B8"/>
    <w:rsid w:val="0004613F"/>
    <w:rsid w:val="000505CE"/>
    <w:rsid w:val="00066202"/>
    <w:rsid w:val="00076AD6"/>
    <w:rsid w:val="000C1928"/>
    <w:rsid w:val="000E2B37"/>
    <w:rsid w:val="000F19DA"/>
    <w:rsid w:val="00122285"/>
    <w:rsid w:val="00164CEB"/>
    <w:rsid w:val="001A69C0"/>
    <w:rsid w:val="001C1990"/>
    <w:rsid w:val="001C5066"/>
    <w:rsid w:val="001D477F"/>
    <w:rsid w:val="001E2F76"/>
    <w:rsid w:val="001E667B"/>
    <w:rsid w:val="001F3EAC"/>
    <w:rsid w:val="00246D10"/>
    <w:rsid w:val="002566CB"/>
    <w:rsid w:val="00261D25"/>
    <w:rsid w:val="002620B5"/>
    <w:rsid w:val="002A7E1A"/>
    <w:rsid w:val="002B6A09"/>
    <w:rsid w:val="002B71CC"/>
    <w:rsid w:val="002C39CC"/>
    <w:rsid w:val="002C4860"/>
    <w:rsid w:val="002D3D86"/>
    <w:rsid w:val="002F0F43"/>
    <w:rsid w:val="0031261F"/>
    <w:rsid w:val="003177E6"/>
    <w:rsid w:val="00317BDE"/>
    <w:rsid w:val="00317E39"/>
    <w:rsid w:val="00322E8F"/>
    <w:rsid w:val="0032756A"/>
    <w:rsid w:val="0033263F"/>
    <w:rsid w:val="00355A5F"/>
    <w:rsid w:val="003633EF"/>
    <w:rsid w:val="00371F95"/>
    <w:rsid w:val="00375B07"/>
    <w:rsid w:val="00385299"/>
    <w:rsid w:val="00386C6E"/>
    <w:rsid w:val="00387218"/>
    <w:rsid w:val="003A1A67"/>
    <w:rsid w:val="003D646A"/>
    <w:rsid w:val="003F034D"/>
    <w:rsid w:val="00404B0C"/>
    <w:rsid w:val="00414EB3"/>
    <w:rsid w:val="00430547"/>
    <w:rsid w:val="004306F3"/>
    <w:rsid w:val="00440DA9"/>
    <w:rsid w:val="00453812"/>
    <w:rsid w:val="00461587"/>
    <w:rsid w:val="00485280"/>
    <w:rsid w:val="00490F06"/>
    <w:rsid w:val="00494D66"/>
    <w:rsid w:val="004A47EB"/>
    <w:rsid w:val="004A6DAB"/>
    <w:rsid w:val="004B22AB"/>
    <w:rsid w:val="004B50E9"/>
    <w:rsid w:val="004C72DB"/>
    <w:rsid w:val="004D7630"/>
    <w:rsid w:val="004F0796"/>
    <w:rsid w:val="004F1CB3"/>
    <w:rsid w:val="004F3E30"/>
    <w:rsid w:val="004F61F3"/>
    <w:rsid w:val="00516845"/>
    <w:rsid w:val="00526A4B"/>
    <w:rsid w:val="005305F2"/>
    <w:rsid w:val="00533F23"/>
    <w:rsid w:val="00552EB2"/>
    <w:rsid w:val="005569A3"/>
    <w:rsid w:val="00574318"/>
    <w:rsid w:val="00582F9E"/>
    <w:rsid w:val="00590A65"/>
    <w:rsid w:val="0059728A"/>
    <w:rsid w:val="005A31E3"/>
    <w:rsid w:val="005B52A0"/>
    <w:rsid w:val="005B5A28"/>
    <w:rsid w:val="005B7C1D"/>
    <w:rsid w:val="005C094A"/>
    <w:rsid w:val="005C7DCC"/>
    <w:rsid w:val="005E6C6E"/>
    <w:rsid w:val="005F38AD"/>
    <w:rsid w:val="00600817"/>
    <w:rsid w:val="00630BD9"/>
    <w:rsid w:val="00636CDC"/>
    <w:rsid w:val="006426C6"/>
    <w:rsid w:val="00644539"/>
    <w:rsid w:val="006927A1"/>
    <w:rsid w:val="00694B63"/>
    <w:rsid w:val="006B1B55"/>
    <w:rsid w:val="006B4D88"/>
    <w:rsid w:val="006B56E6"/>
    <w:rsid w:val="006B6657"/>
    <w:rsid w:val="006D1930"/>
    <w:rsid w:val="006D3453"/>
    <w:rsid w:val="006E1AAF"/>
    <w:rsid w:val="006F68FA"/>
    <w:rsid w:val="0070729B"/>
    <w:rsid w:val="0070790A"/>
    <w:rsid w:val="00790426"/>
    <w:rsid w:val="007A0927"/>
    <w:rsid w:val="007A212D"/>
    <w:rsid w:val="007C0828"/>
    <w:rsid w:val="007C4514"/>
    <w:rsid w:val="007F6AD8"/>
    <w:rsid w:val="00802C8F"/>
    <w:rsid w:val="00807CFE"/>
    <w:rsid w:val="00821FBD"/>
    <w:rsid w:val="00831419"/>
    <w:rsid w:val="0085752F"/>
    <w:rsid w:val="00864CD2"/>
    <w:rsid w:val="008956F6"/>
    <w:rsid w:val="008A4291"/>
    <w:rsid w:val="008D0F9A"/>
    <w:rsid w:val="008E19CB"/>
    <w:rsid w:val="00907548"/>
    <w:rsid w:val="00907A19"/>
    <w:rsid w:val="00934FF0"/>
    <w:rsid w:val="00945429"/>
    <w:rsid w:val="00955ECE"/>
    <w:rsid w:val="009C564F"/>
    <w:rsid w:val="009F756B"/>
    <w:rsid w:val="00A10E8B"/>
    <w:rsid w:val="00A1353F"/>
    <w:rsid w:val="00A9222A"/>
    <w:rsid w:val="00AC52F3"/>
    <w:rsid w:val="00AC63A5"/>
    <w:rsid w:val="00AD2462"/>
    <w:rsid w:val="00AD2D2C"/>
    <w:rsid w:val="00B05118"/>
    <w:rsid w:val="00B12AD9"/>
    <w:rsid w:val="00B23D03"/>
    <w:rsid w:val="00B26853"/>
    <w:rsid w:val="00B26991"/>
    <w:rsid w:val="00B31D68"/>
    <w:rsid w:val="00B33E62"/>
    <w:rsid w:val="00B348D2"/>
    <w:rsid w:val="00B360EE"/>
    <w:rsid w:val="00B52976"/>
    <w:rsid w:val="00B803B1"/>
    <w:rsid w:val="00B871FA"/>
    <w:rsid w:val="00BA108E"/>
    <w:rsid w:val="00BA1537"/>
    <w:rsid w:val="00BA2732"/>
    <w:rsid w:val="00BB1CFC"/>
    <w:rsid w:val="00BD2059"/>
    <w:rsid w:val="00C11F45"/>
    <w:rsid w:val="00C12103"/>
    <w:rsid w:val="00C12DD9"/>
    <w:rsid w:val="00C14D3B"/>
    <w:rsid w:val="00C2048C"/>
    <w:rsid w:val="00C40F07"/>
    <w:rsid w:val="00C46807"/>
    <w:rsid w:val="00C7603C"/>
    <w:rsid w:val="00C92329"/>
    <w:rsid w:val="00C97D91"/>
    <w:rsid w:val="00CA3F4F"/>
    <w:rsid w:val="00CB4720"/>
    <w:rsid w:val="00CB7496"/>
    <w:rsid w:val="00CB7BBE"/>
    <w:rsid w:val="00CF24C8"/>
    <w:rsid w:val="00CF6791"/>
    <w:rsid w:val="00CF78DD"/>
    <w:rsid w:val="00D27B5D"/>
    <w:rsid w:val="00D3029C"/>
    <w:rsid w:val="00D5505C"/>
    <w:rsid w:val="00D55DA8"/>
    <w:rsid w:val="00D57CE7"/>
    <w:rsid w:val="00D61CED"/>
    <w:rsid w:val="00D61D19"/>
    <w:rsid w:val="00DB7028"/>
    <w:rsid w:val="00DC3D46"/>
    <w:rsid w:val="00DD0233"/>
    <w:rsid w:val="00DD74F9"/>
    <w:rsid w:val="00E137B3"/>
    <w:rsid w:val="00E22C77"/>
    <w:rsid w:val="00E33E63"/>
    <w:rsid w:val="00E53748"/>
    <w:rsid w:val="00E8357E"/>
    <w:rsid w:val="00E85831"/>
    <w:rsid w:val="00EB1060"/>
    <w:rsid w:val="00EC7344"/>
    <w:rsid w:val="00EE5FD2"/>
    <w:rsid w:val="00F0369F"/>
    <w:rsid w:val="00F03757"/>
    <w:rsid w:val="00F20F21"/>
    <w:rsid w:val="00F3519E"/>
    <w:rsid w:val="00F50CCB"/>
    <w:rsid w:val="00F57F3A"/>
    <w:rsid w:val="00F721D7"/>
    <w:rsid w:val="00F8629D"/>
    <w:rsid w:val="00F97410"/>
    <w:rsid w:val="00FB46BF"/>
    <w:rsid w:val="00FC54A6"/>
    <w:rsid w:val="00FD77AA"/>
    <w:rsid w:val="0A7C5A7E"/>
    <w:rsid w:val="165052EF"/>
    <w:rsid w:val="1DF16F69"/>
    <w:rsid w:val="355929A2"/>
    <w:rsid w:val="6D9823E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2"/>
    <w:unhideWhenUsed/>
    <w:qFormat/>
    <w:uiPriority w:val="99"/>
    <w:rPr>
      <w:b/>
      <w:bCs/>
    </w:rPr>
  </w:style>
  <w:style w:type="paragraph" w:styleId="5">
    <w:name w:val="annotation text"/>
    <w:basedOn w:val="1"/>
    <w:link w:val="21"/>
    <w:unhideWhenUsed/>
    <w:qFormat/>
    <w:uiPriority w:val="99"/>
    <w:pPr>
      <w:jc w:val="left"/>
    </w:pPr>
  </w:style>
  <w:style w:type="paragraph" w:styleId="6">
    <w:name w:val="Balloon Text"/>
    <w:basedOn w:val="1"/>
    <w:link w:val="23"/>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19"/>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0">
    <w:name w:val="Normal (Web)"/>
    <w:basedOn w:val="1"/>
    <w:unhideWhenUsed/>
    <w:qFormat/>
    <w:uiPriority w:val="99"/>
    <w:pPr>
      <w:widowControl/>
      <w:spacing w:after="150"/>
      <w:jc w:val="left"/>
    </w:pPr>
    <w:rPr>
      <w:rFonts w:ascii="宋体" w:hAnsi="宋体" w:eastAsia="宋体" w:cs="宋体"/>
      <w:kern w:val="0"/>
      <w:sz w:val="24"/>
      <w:szCs w:val="24"/>
    </w:rPr>
  </w:style>
  <w:style w:type="character" w:styleId="12">
    <w:name w:val="Strong"/>
    <w:basedOn w:val="11"/>
    <w:qFormat/>
    <w:uiPriority w:val="22"/>
    <w:rPr>
      <w:b/>
      <w:bCs/>
    </w:rPr>
  </w:style>
  <w:style w:type="character" w:styleId="13">
    <w:name w:val="annotation reference"/>
    <w:basedOn w:val="11"/>
    <w:unhideWhenUsed/>
    <w:qFormat/>
    <w:uiPriority w:val="99"/>
    <w:rPr>
      <w:sz w:val="21"/>
      <w:szCs w:val="21"/>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页眉 Char"/>
    <w:basedOn w:val="11"/>
    <w:link w:val="8"/>
    <w:qFormat/>
    <w:uiPriority w:val="99"/>
    <w:rPr>
      <w:sz w:val="18"/>
      <w:szCs w:val="18"/>
    </w:rPr>
  </w:style>
  <w:style w:type="character" w:customStyle="1" w:styleId="17">
    <w:name w:val="页脚 Char"/>
    <w:basedOn w:val="11"/>
    <w:link w:val="7"/>
    <w:qFormat/>
    <w:uiPriority w:val="99"/>
    <w:rPr>
      <w:sz w:val="18"/>
      <w:szCs w:val="18"/>
    </w:rPr>
  </w:style>
  <w:style w:type="paragraph" w:customStyle="1" w:styleId="18">
    <w:name w:val="List Paragraph"/>
    <w:basedOn w:val="1"/>
    <w:qFormat/>
    <w:uiPriority w:val="34"/>
    <w:pPr>
      <w:ind w:firstLine="420" w:firstLineChars="200"/>
    </w:pPr>
  </w:style>
  <w:style w:type="character" w:customStyle="1" w:styleId="19">
    <w:name w:val="副标题 Char"/>
    <w:basedOn w:val="11"/>
    <w:link w:val="9"/>
    <w:qFormat/>
    <w:uiPriority w:val="11"/>
    <w:rPr>
      <w:rFonts w:eastAsia="宋体" w:asciiTheme="majorHAnsi" w:hAnsiTheme="majorHAnsi" w:cstheme="majorBidi"/>
      <w:b/>
      <w:bCs/>
      <w:kern w:val="28"/>
      <w:sz w:val="32"/>
      <w:szCs w:val="32"/>
    </w:rPr>
  </w:style>
  <w:style w:type="character" w:customStyle="1" w:styleId="20">
    <w:name w:val="标题 2 Char"/>
    <w:basedOn w:val="11"/>
    <w:link w:val="3"/>
    <w:uiPriority w:val="9"/>
    <w:rPr>
      <w:rFonts w:asciiTheme="majorHAnsi" w:hAnsiTheme="majorHAnsi" w:eastAsiaTheme="majorEastAsia" w:cstheme="majorBidi"/>
      <w:b/>
      <w:bCs/>
      <w:sz w:val="32"/>
      <w:szCs w:val="32"/>
    </w:rPr>
  </w:style>
  <w:style w:type="character" w:customStyle="1" w:styleId="21">
    <w:name w:val="批注文字 Char"/>
    <w:basedOn w:val="11"/>
    <w:link w:val="5"/>
    <w:semiHidden/>
    <w:qFormat/>
    <w:uiPriority w:val="99"/>
  </w:style>
  <w:style w:type="character" w:customStyle="1" w:styleId="22">
    <w:name w:val="批注主题 Char"/>
    <w:basedOn w:val="21"/>
    <w:link w:val="4"/>
    <w:semiHidden/>
    <w:qFormat/>
    <w:uiPriority w:val="99"/>
    <w:rPr>
      <w:b/>
      <w:bCs/>
    </w:rPr>
  </w:style>
  <w:style w:type="character" w:customStyle="1" w:styleId="23">
    <w:name w:val="批注框文本 Char"/>
    <w:basedOn w:val="11"/>
    <w:link w:val="6"/>
    <w:semiHidden/>
    <w:uiPriority w:val="99"/>
    <w:rPr>
      <w:sz w:val="18"/>
      <w:szCs w:val="18"/>
    </w:rPr>
  </w:style>
  <w:style w:type="table" w:customStyle="1" w:styleId="24">
    <w:name w:val="网格型1"/>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5">
    <w:name w:val="标题 1 Char"/>
    <w:basedOn w:val="11"/>
    <w:link w:val="2"/>
    <w:uiPriority w:val="9"/>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B4C706-A2EB-461B-A234-BCD51014130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278</Words>
  <Characters>1591</Characters>
  <Lines>13</Lines>
  <Paragraphs>3</Paragraphs>
  <ScaleCrop>false</ScaleCrop>
  <LinksUpToDate>false</LinksUpToDate>
  <CharactersWithSpaces>1866</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2020-04-10T01:10:00Z</dcterms:created>
  <dc:creator>Administrator</dc:creator>
  <cp:lastModifiedBy>Administrator</cp:lastModifiedBy>
  <dcterms:modified xsi:type="dcterms:W3CDTF">2020-09-11T08:13:54Z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